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28" w:tblpY="723"/>
        <w:tblOverlap w:val="never"/>
        <w:tblW w:w="1518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1560"/>
        <w:gridCol w:w="2292"/>
        <w:gridCol w:w="2302"/>
        <w:gridCol w:w="1559"/>
        <w:gridCol w:w="1140"/>
        <w:gridCol w:w="2295"/>
        <w:gridCol w:w="2490"/>
        <w:gridCol w:w="96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183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48"/>
                <w:szCs w:val="48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  <w:lang w:bidi="ar"/>
              </w:rPr>
              <w:t>中共海丰县委政法委员会政府聘员岗位表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582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工作描述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学位要求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专业要求及代码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县镇两级民情地图联勤指挥中心政府聘员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</w:rPr>
              <w:t>从事机关公文写作、档案管理、政务信息和综合性调研、熟悉计算机操作、处理机关各项行政事务等工作。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</w:rPr>
              <w:t>40人</w:t>
            </w:r>
            <w:r>
              <w:rPr>
                <w:rFonts w:hint="eastAsia" w:eastAsia="仿宋_GB2312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eastAsia="仿宋_GB2312"/>
                <w:color w:val="000000"/>
                <w:sz w:val="22"/>
                <w:szCs w:val="22"/>
              </w:rPr>
              <w:t>其中：海丰县联勤指挥中心政府聘员4人；各镇民情地图联勤指挥中心政府聘员36人（海城、附城、城东、梅陇、可塘、公平各4人，黄羌、平东、赤坑、大湖、陶河、联安各2人）。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全日制大专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eastAsia="仿宋_GB2312"/>
                <w:color w:val="00000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Style w:val="4"/>
                <w:rFonts w:hint="default" w:eastAsia="宋体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  <w:lang w:val="en-US" w:eastAsia="zh-CN"/>
              </w:rPr>
              <w:t>不限专业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sz w:val="22"/>
                <w:szCs w:val="22"/>
              </w:rPr>
              <w:t>民情地图平台需24小时日常运行和管理，应聘人员能适应夜间轮换值班、加班、应急等工作任务。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</w:tbl>
    <w:p>
      <w:pPr>
        <w:spacing w:line="57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94B2B"/>
    <w:rsid w:val="12A36610"/>
    <w:rsid w:val="4669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2021-08-23T07:24:00Z</dcterms:created>
  <dc:creator>涼しい朝露</dc:creator>
  <cp:lastModifiedBy>涼しい朝露</cp:lastModifiedBy>
  <dcterms:modified xsi:type="dcterms:W3CDTF">2021-08-23T07:25:30Z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