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08</w:t>
      </w:r>
      <w:r>
        <w:rPr>
          <w:rFonts w:hint="eastAsia" w:ascii="仿宋" w:hAnsi="仿宋" w:eastAsia="仿宋" w:cs="仿宋"/>
          <w:color w:val="auto"/>
          <w:sz w:val="32"/>
          <w:szCs w:val="32"/>
          <w:highlight w:val="none"/>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当事人：海丰县城东华创针织厂</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sz w:val="32"/>
          <w:szCs w:val="32"/>
          <w:u w:val="none"/>
          <w:lang w:val="en-US" w:eastAsia="zh-CN"/>
        </w:rPr>
        <w:tab/>
      </w:r>
      <w:r>
        <w:rPr>
          <w:rFonts w:hint="eastAsia" w:ascii="仿宋" w:hAnsi="仿宋" w:eastAsia="仿宋" w:cs="仿宋"/>
          <w:sz w:val="32"/>
          <w:szCs w:val="32"/>
          <w:u w:val="none"/>
          <w:lang w:val="en-US" w:eastAsia="zh-CN"/>
        </w:rPr>
        <w:t>92441521MA4WEHM492</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经营地址：</w:t>
      </w:r>
      <w:r>
        <w:rPr>
          <w:rFonts w:hint="eastAsia" w:ascii="仿宋" w:hAnsi="仿宋" w:eastAsia="仿宋" w:cs="仿宋"/>
          <w:sz w:val="32"/>
          <w:szCs w:val="32"/>
          <w:lang w:eastAsia="zh-CN"/>
        </w:rPr>
        <w:t xml:space="preserve">海丰县城东镇老区三环路东侧(科力实业有限公司) </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2021年4月9日，汕尾市生态环境局海丰分局执法人员对位于海丰县城东镇老区三环路东侧（科力实业有限公司）的海丰县城东华创针织厂进行现场调查。经查，发现你针织</w:t>
      </w:r>
      <w:bookmarkStart w:id="0" w:name="_GoBack"/>
      <w:bookmarkEnd w:id="0"/>
      <w:r>
        <w:rPr>
          <w:rFonts w:hint="eastAsia" w:ascii="仿宋" w:hAnsi="仿宋" w:eastAsia="仿宋" w:cs="仿宋"/>
          <w:sz w:val="32"/>
          <w:szCs w:val="32"/>
          <w:lang w:val="en-US" w:eastAsia="zh-CN"/>
        </w:rPr>
        <w:t>厂的生物质锅炉未配套高效除尘设施，锅炉废气直接通过12米的烟囱向外环境排放。</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1、汕尾市生态环境局海丰分局现场检查笔录，2021年4月9日。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2、汕尾市生态环境局海丰分局调查询问笔录，2021年4月9日。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3、现场拍摄照片，2021年4月9日。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针织厂的上述行为违反了《广东省大气污染防治条例》第二十二条第二款“生物质锅炉应当以经过加工的木本植物或者草本植物为燃料，禁止掺杂添加燃烧后产生有毒有害烟尘和恶臭气体的其他物质，并配备高效除尘设施，按照国家和省的有关规定安装自动监控或者监测设备。”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rPr>
        <w:t>告知</w:t>
      </w:r>
      <w:r>
        <w:rPr>
          <w:rFonts w:hint="eastAsia" w:ascii="仿宋" w:hAnsi="仿宋" w:eastAsia="仿宋" w:cs="仿宋"/>
          <w:sz w:val="32"/>
          <w:szCs w:val="32"/>
          <w:lang w:eastAsia="zh-CN"/>
        </w:rPr>
        <w:t>你针织厂</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你针织厂</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广东省大气污染防治条例》第七十三条第三款“违反本条例第二十二条第二款规定，生物质锅炉未配备高效除尘设施，未按照国家和省的有关规定安装自动监控或者监测设备的，由县级以上人民政府生态环境主管部门责令改正，处二万元以上二十万元以下的罚款；拒不改正的，责令停产整治。”的规定，我局决定对你针织厂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二万元整。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你针织厂应自接到本处罚决定之日起十五日内，到我局开具非税收入罚没缴款书，凭缴款书将罚款缴至指定银行任一营业网点。你针织厂缴纳罚款后，应将缴款凭据报送我局备案。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你针织厂</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default"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val="en-US" w:eastAsia="zh-CN"/>
        </w:rPr>
        <w:t>2021年5月14日</w:t>
      </w:r>
      <w:r>
        <w:rPr>
          <w:rFonts w:hint="eastAsia" w:ascii="仿宋" w:hAnsi="仿宋" w:eastAsia="仿宋" w:cs="仿宋"/>
          <w:color w:val="0000FF"/>
          <w:sz w:val="32"/>
          <w:szCs w:val="32"/>
          <w:highlight w:val="none"/>
          <w:lang w:val="en-US" w:eastAsia="zh-CN"/>
        </w:rPr>
        <w:t xml:space="preserve"> </w:t>
      </w:r>
    </w:p>
    <w:p/>
    <w:p>
      <w:pPr>
        <w:rPr>
          <w:rFonts w:hint="eastAsia" w:ascii="仿宋" w:hAnsi="仿宋" w:eastAsia="仿宋" w:cs="仿宋"/>
          <w:sz w:val="32"/>
          <w:szCs w:val="32"/>
          <w:lang w:val="en-US" w:eastAsia="zh-CN"/>
        </w:rPr>
      </w:pPr>
      <w:r>
        <w:rPr>
          <w:rFonts w:hint="eastAsia"/>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right"/>
        <w:textAlignment w:val="auto"/>
        <w:rPr>
          <w:rFonts w:hint="default" w:ascii="仿宋_GB2312" w:hAnsi="仿宋_GB2312" w:eastAsia="仿宋_GB2312" w:cs="仿宋_GB2312"/>
          <w:sz w:val="32"/>
          <w:szCs w:val="32"/>
          <w:lang w:val="en-US" w:eastAsia="zh-CN"/>
        </w:rPr>
      </w:pPr>
    </w:p>
    <w:p>
      <w:pPr>
        <w:adjustRightInd w:val="0"/>
        <w:snapToGrid w:val="0"/>
        <w:spacing w:line="500" w:lineRule="exact"/>
        <w:ind w:firstLine="640" w:firstLineChars="200"/>
        <w:jc w:val="both"/>
        <w:rPr>
          <w:rFonts w:hint="eastAsia" w:ascii="仿宋_GB2312" w:hAnsi="仿宋_GB2312" w:eastAsia="仿宋_GB2312" w:cs="仿宋_GB2312"/>
          <w:color w:val="auto"/>
          <w:sz w:val="32"/>
          <w:szCs w:val="32"/>
          <w:lang w:val="en-US" w:eastAsia="zh-CN"/>
        </w:rPr>
      </w:pPr>
    </w:p>
    <w:p/>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499B"/>
    <w:rsid w:val="02901E25"/>
    <w:rsid w:val="02CA0DEE"/>
    <w:rsid w:val="04562F9E"/>
    <w:rsid w:val="08615D1A"/>
    <w:rsid w:val="09747243"/>
    <w:rsid w:val="0BCC3569"/>
    <w:rsid w:val="109B3846"/>
    <w:rsid w:val="11014C26"/>
    <w:rsid w:val="11990427"/>
    <w:rsid w:val="16C62BCE"/>
    <w:rsid w:val="17933999"/>
    <w:rsid w:val="17C05515"/>
    <w:rsid w:val="1903051A"/>
    <w:rsid w:val="1C79028F"/>
    <w:rsid w:val="1D91360D"/>
    <w:rsid w:val="1F593759"/>
    <w:rsid w:val="22520F9D"/>
    <w:rsid w:val="25BC4A1F"/>
    <w:rsid w:val="270959A0"/>
    <w:rsid w:val="2F7C7568"/>
    <w:rsid w:val="35681CE5"/>
    <w:rsid w:val="385F1070"/>
    <w:rsid w:val="3D1E2744"/>
    <w:rsid w:val="402D4673"/>
    <w:rsid w:val="4C841903"/>
    <w:rsid w:val="4E2D6C59"/>
    <w:rsid w:val="4F6E5053"/>
    <w:rsid w:val="50D31005"/>
    <w:rsid w:val="56D5564B"/>
    <w:rsid w:val="57940EF2"/>
    <w:rsid w:val="585F4F77"/>
    <w:rsid w:val="5AA33088"/>
    <w:rsid w:val="5ECF3B18"/>
    <w:rsid w:val="6176005B"/>
    <w:rsid w:val="64534AA3"/>
    <w:rsid w:val="6666332B"/>
    <w:rsid w:val="668A3E8D"/>
    <w:rsid w:val="69282FD0"/>
    <w:rsid w:val="6F113D17"/>
    <w:rsid w:val="6FEE2621"/>
    <w:rsid w:val="7279751E"/>
    <w:rsid w:val="76F1158B"/>
    <w:rsid w:val="77C93D57"/>
    <w:rsid w:val="7824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2021-05-06T01:06:00Z</cp:lastPrinted>
  <dcterms:modified xsi:type="dcterms:W3CDTF">2021-11-08T09:14:29Z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8ACDC13FC4E648A8A38560B90E8B0F15</vt:lpwstr>
  </property>
</Properties>
</file>