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firstLineChars="200"/>
        <w:rPr>
          <w:rFonts w:hint="eastAsia" w:eastAsia="仿宋_GB2312"/>
          <w:sz w:val="32"/>
        </w:rPr>
      </w:pPr>
    </w:p>
    <w:p>
      <w:pPr>
        <w:pStyle w:val="2"/>
        <w:rPr>
          <w:rFonts w:hint="eastAsia"/>
        </w:rPr>
      </w:pPr>
    </w:p>
    <w:p>
      <w:pPr>
        <w:shd w:val="solid" w:color="FFFFFF" w:fill="auto"/>
        <w:autoSpaceDN w:val="0"/>
        <w:spacing w:line="560" w:lineRule="exact"/>
        <w:ind w:firstLine="450"/>
        <w:jc w:val="right"/>
        <w:rPr>
          <w:rFonts w:ascii="仿宋_GB2312" w:hAnsi="仿宋_GB2312" w:eastAsia="仿宋_GB2312"/>
          <w:kern w:val="0"/>
          <w:sz w:val="32"/>
          <w:shd w:val="clear" w:color="auto" w:fill="FFFFFF"/>
        </w:rPr>
      </w:pPr>
      <w:r>
        <w:rPr>
          <w:rFonts w:hint="eastAsia" w:ascii="仿宋_GB2312" w:hAnsi="仿宋_GB2312" w:eastAsia="仿宋_GB2312"/>
          <w:kern w:val="0"/>
          <w:sz w:val="32"/>
          <w:shd w:val="clear" w:color="auto" w:fill="FFFFFF"/>
        </w:rPr>
        <w:t>汕环海丰函〔2019〕</w:t>
      </w:r>
      <w:r>
        <w:rPr>
          <w:rFonts w:hint="eastAsia" w:ascii="仿宋_GB2312" w:hAnsi="仿宋_GB2312" w:eastAsia="仿宋_GB2312"/>
          <w:kern w:val="0"/>
          <w:sz w:val="32"/>
          <w:shd w:val="clear" w:color="auto" w:fill="FFFFFF"/>
          <w:lang w:val="en-US" w:eastAsia="zh-CN"/>
        </w:rPr>
        <w:t>58</w:t>
      </w:r>
      <w:r>
        <w:rPr>
          <w:rFonts w:hint="eastAsia" w:ascii="仿宋_GB2312" w:hAnsi="仿宋_GB2312" w:eastAsia="仿宋_GB2312"/>
          <w:kern w:val="0"/>
          <w:sz w:val="32"/>
          <w:shd w:val="clear" w:color="auto" w:fill="FFFFFF"/>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kern w:val="0"/>
          <w:sz w:val="36"/>
          <w:szCs w:val="36"/>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kern w:val="0"/>
          <w:sz w:val="44"/>
          <w:szCs w:val="44"/>
          <w:lang w:val="en-US" w:eastAsia="zh-CN" w:bidi="ar"/>
        </w:rPr>
      </w:pPr>
      <w:r>
        <w:rPr>
          <w:rFonts w:hint="eastAsia" w:ascii="宋体" w:hAnsi="宋体" w:eastAsia="宋体" w:cs="宋体"/>
          <w:b/>
          <w:kern w:val="0"/>
          <w:sz w:val="44"/>
          <w:szCs w:val="44"/>
          <w:lang w:val="en-US" w:eastAsia="zh-CN" w:bidi="ar"/>
        </w:rPr>
        <w:t>关于海丰县梅陇龙兴首饰厂建设项目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sz w:val="44"/>
          <w:szCs w:val="44"/>
        </w:rPr>
      </w:pPr>
      <w:r>
        <w:rPr>
          <w:rFonts w:hint="eastAsia" w:ascii="宋体" w:hAnsi="宋体" w:eastAsia="宋体" w:cs="宋体"/>
          <w:b/>
          <w:kern w:val="0"/>
          <w:sz w:val="44"/>
          <w:szCs w:val="44"/>
          <w:lang w:val="en-US" w:eastAsia="zh-CN" w:bidi="ar"/>
        </w:rPr>
        <w:t xml:space="preserve">环境影响报告表的批复 </w:t>
      </w:r>
    </w:p>
    <w:p>
      <w:pPr>
        <w:keepNext w:val="0"/>
        <w:keepLines w:val="0"/>
        <w:pageBreakBefore w:val="0"/>
        <w:widowControl w:val="0"/>
        <w:kinsoku/>
        <w:wordWrap/>
        <w:overflowPunct/>
        <w:topLinePunct w:val="0"/>
        <w:autoSpaceDE/>
        <w:autoSpaceDN/>
        <w:bidi w:val="0"/>
        <w:adjustRightInd/>
        <w:snapToGrid/>
        <w:spacing w:line="580" w:lineRule="exact"/>
        <w:ind w:firstLine="360" w:firstLineChars="200"/>
        <w:textAlignment w:val="auto"/>
        <w:rPr>
          <w:rFonts w:hint="eastAsia" w:eastAsia="仿宋_GB2312"/>
          <w:sz w:val="32"/>
        </w:rPr>
      </w:pPr>
      <w:r>
        <w:rPr>
          <w:rFonts w:hint="eastAsia" w:ascii="宋体" w:hAnsi="宋体" w:eastAsia="宋体" w:cs="宋体"/>
          <w:sz w:val="18"/>
          <w:szCs w:val="18"/>
        </w:rPr>
        <w:br w:type="textWrapping"/>
      </w:r>
      <w:r>
        <w:rPr>
          <w:rFonts w:hint="eastAsia" w:eastAsia="仿宋_GB2312"/>
          <w:sz w:val="32"/>
        </w:rPr>
        <w:t xml:space="preserve">海丰县梅陇龙兴首饰厂：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你厂报送的《海丰县梅陇龙兴首饰厂建设项目环境影响报告表》（以下简称《报告表》）及相关材料收悉。经研究，批复如下：</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150"/>
        <w:textAlignment w:val="auto"/>
        <w:rPr>
          <w:rFonts w:ascii="仿宋" w:hAnsi="仿宋" w:eastAsia="仿宋" w:cs="仿宋"/>
          <w:kern w:val="0"/>
          <w:sz w:val="32"/>
          <w:szCs w:val="32"/>
        </w:rPr>
      </w:pPr>
      <w:r>
        <w:rPr>
          <w:rFonts w:hint="eastAsia" w:eastAsia="仿宋_GB2312"/>
          <w:sz w:val="32"/>
        </w:rPr>
        <w:t>一、该项目位于海丰县梅陇镇花果山前灌渠道西侧（中心坐标点：</w:t>
      </w:r>
      <w:r>
        <w:rPr>
          <w:rFonts w:eastAsia="仿宋_GB2312"/>
          <w:sz w:val="32"/>
        </w:rPr>
        <w:t>N22</w:t>
      </w:r>
      <w:r>
        <w:rPr>
          <w:rFonts w:hint="eastAsia" w:eastAsia="仿宋_GB2312"/>
          <w:sz w:val="32"/>
        </w:rPr>
        <w:t>°</w:t>
      </w:r>
      <w:r>
        <w:rPr>
          <w:rFonts w:eastAsia="仿宋_GB2312"/>
          <w:sz w:val="32"/>
        </w:rPr>
        <w:t>54</w:t>
      </w:r>
      <w:r>
        <w:rPr>
          <w:rFonts w:hint="eastAsia" w:eastAsia="仿宋_GB2312"/>
          <w:sz w:val="32"/>
        </w:rPr>
        <w:t>′</w:t>
      </w:r>
      <w:r>
        <w:rPr>
          <w:rFonts w:eastAsia="仿宋_GB2312"/>
          <w:sz w:val="32"/>
        </w:rPr>
        <w:t>32.34</w:t>
      </w:r>
      <w:r>
        <w:rPr>
          <w:rFonts w:hint="eastAsia" w:eastAsia="仿宋_GB2312"/>
          <w:sz w:val="32"/>
        </w:rPr>
        <w:t>″、</w:t>
      </w:r>
      <w:r>
        <w:rPr>
          <w:rFonts w:eastAsia="仿宋_GB2312"/>
          <w:sz w:val="32"/>
        </w:rPr>
        <w:t>E115</w:t>
      </w:r>
      <w:r>
        <w:rPr>
          <w:rFonts w:hint="eastAsia" w:eastAsia="仿宋_GB2312"/>
          <w:sz w:val="32"/>
        </w:rPr>
        <w:t>°</w:t>
      </w:r>
      <w:r>
        <w:rPr>
          <w:rFonts w:eastAsia="仿宋_GB2312"/>
          <w:sz w:val="32"/>
        </w:rPr>
        <w:t>13</w:t>
      </w:r>
      <w:r>
        <w:rPr>
          <w:rFonts w:hint="eastAsia" w:eastAsia="仿宋_GB2312"/>
          <w:sz w:val="32"/>
        </w:rPr>
        <w:t>′</w:t>
      </w:r>
      <w:r>
        <w:rPr>
          <w:rFonts w:eastAsia="仿宋_GB2312"/>
          <w:sz w:val="32"/>
        </w:rPr>
        <w:t>2.72</w:t>
      </w:r>
      <w:r>
        <w:rPr>
          <w:rFonts w:hint="eastAsia" w:eastAsia="仿宋_GB2312"/>
          <w:sz w:val="32"/>
        </w:rPr>
        <w:t>″），项目占地面积</w:t>
      </w:r>
      <w:r>
        <w:rPr>
          <w:rFonts w:eastAsia="仿宋_GB2312"/>
          <w:sz w:val="32"/>
        </w:rPr>
        <w:t>7449</w:t>
      </w:r>
      <w:r>
        <w:rPr>
          <w:rFonts w:hint="eastAsia" w:eastAsia="仿宋_GB2312"/>
          <w:sz w:val="32"/>
        </w:rPr>
        <w:t>平方米，建筑面积为</w:t>
      </w:r>
      <w:r>
        <w:rPr>
          <w:rFonts w:eastAsia="仿宋_GB2312"/>
          <w:sz w:val="32"/>
        </w:rPr>
        <w:t>9000</w:t>
      </w:r>
      <w:r>
        <w:rPr>
          <w:rFonts w:hint="eastAsia" w:eastAsia="仿宋_GB2312"/>
          <w:sz w:val="32"/>
        </w:rPr>
        <w:t>平方米。项目利用已建成</w:t>
      </w:r>
      <w:r>
        <w:rPr>
          <w:rFonts w:eastAsia="仿宋_GB2312"/>
          <w:sz w:val="32"/>
        </w:rPr>
        <w:t>12</w:t>
      </w:r>
      <w:r>
        <w:rPr>
          <w:rFonts w:hint="eastAsia" w:eastAsia="仿宋_GB2312"/>
          <w:sz w:val="32"/>
        </w:rPr>
        <w:t>层厂房作为生产场地，从事银、铜首饰加工生产中的倒模工序，规划设计首饰倒模生产线车间共</w:t>
      </w:r>
      <w:r>
        <w:rPr>
          <w:rFonts w:eastAsia="仿宋_GB2312"/>
          <w:sz w:val="32"/>
        </w:rPr>
        <w:t>77</w:t>
      </w:r>
      <w:r>
        <w:rPr>
          <w:rFonts w:hint="eastAsia" w:eastAsia="仿宋_GB2312"/>
          <w:sz w:val="32"/>
        </w:rPr>
        <w:t>间，设计年产能为银饰铸件</w:t>
      </w:r>
      <w:r>
        <w:rPr>
          <w:rFonts w:eastAsia="仿宋_GB2312"/>
          <w:sz w:val="32"/>
        </w:rPr>
        <w:t>100</w:t>
      </w:r>
      <w:r>
        <w:rPr>
          <w:rFonts w:hint="eastAsia" w:eastAsia="仿宋_GB2312"/>
          <w:sz w:val="32"/>
        </w:rPr>
        <w:t>吨，铜饰铸件</w:t>
      </w:r>
      <w:r>
        <w:rPr>
          <w:rFonts w:eastAsia="仿宋_GB2312"/>
          <w:sz w:val="32"/>
        </w:rPr>
        <w:t>200</w:t>
      </w:r>
      <w:r>
        <w:rPr>
          <w:rFonts w:hint="eastAsia" w:eastAsia="仿宋_GB2312"/>
          <w:sz w:val="32"/>
        </w:rPr>
        <w:t>吨。项目总投资</w:t>
      </w:r>
      <w:r>
        <w:rPr>
          <w:rFonts w:eastAsia="仿宋_GB2312"/>
          <w:sz w:val="32"/>
        </w:rPr>
        <w:t>2000</w:t>
      </w:r>
      <w:r>
        <w:rPr>
          <w:rFonts w:hint="eastAsia" w:eastAsia="仿宋_GB2312"/>
          <w:sz w:val="32"/>
        </w:rPr>
        <w:t>万元，其中环保投资</w:t>
      </w:r>
      <w:r>
        <w:rPr>
          <w:rFonts w:eastAsia="仿宋_GB2312"/>
          <w:sz w:val="32"/>
        </w:rPr>
        <w:t>100</w:t>
      </w:r>
      <w:r>
        <w:rPr>
          <w:rFonts w:hint="eastAsia" w:eastAsia="仿宋_GB2312"/>
          <w:sz w:val="32"/>
        </w:rPr>
        <w:t>万元。根据《报告表》的评价结论以及</w:t>
      </w:r>
      <w:r>
        <w:rPr>
          <w:rFonts w:hint="eastAsia" w:ascii="仿宋_GB2312" w:hAnsi="Arial" w:eastAsia="仿宋_GB2312"/>
          <w:kern w:val="0"/>
          <w:sz w:val="32"/>
        </w:rPr>
        <w:t>结合</w:t>
      </w:r>
      <w:r>
        <w:rPr>
          <w:rFonts w:hint="eastAsia" w:eastAsia="仿宋_GB2312"/>
          <w:sz w:val="32"/>
        </w:rPr>
        <w:t>梅陇镇人民政府的意见，</w:t>
      </w:r>
      <w:r>
        <w:rPr>
          <w:rFonts w:hint="eastAsia" w:ascii="仿宋_GB2312" w:hAnsi="Arial" w:eastAsia="仿宋_GB2312"/>
          <w:kern w:val="0"/>
          <w:sz w:val="32"/>
        </w:rPr>
        <w:t>项目在采取切实可行的污染防治措施</w:t>
      </w:r>
      <w:r>
        <w:rPr>
          <w:rFonts w:ascii="仿宋_GB2312" w:hAnsi="Arial" w:eastAsia="仿宋_GB2312"/>
          <w:kern w:val="0"/>
          <w:sz w:val="32"/>
        </w:rPr>
        <w:t>,</w:t>
      </w:r>
      <w:r>
        <w:rPr>
          <w:rFonts w:hint="eastAsia" w:ascii="仿宋_GB2312" w:hAnsi="Arial" w:eastAsia="仿宋_GB2312"/>
          <w:kern w:val="0"/>
          <w:sz w:val="32"/>
        </w:rPr>
        <w:t>污染物稳定达标排放的前提下，</w:t>
      </w:r>
      <w:r>
        <w:rPr>
          <w:rFonts w:hint="eastAsia" w:ascii="仿宋" w:hAnsi="仿宋" w:eastAsia="仿宋" w:cs="仿宋"/>
          <w:kern w:val="0"/>
          <w:sz w:val="32"/>
          <w:szCs w:val="32"/>
        </w:rPr>
        <w:t>从环境保护角度分析，同意该项目建设。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二、项目建设应认真落实好《报告表》提出的各项环境保护措施，并重点做好以下工作：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（一）</w:t>
      </w:r>
      <w:r>
        <w:rPr>
          <w:rFonts w:hint="eastAsia" w:ascii="仿宋" w:hAnsi="仿宋" w:eastAsia="仿宋" w:cs="仿宋"/>
          <w:kern w:val="0"/>
          <w:sz w:val="32"/>
          <w:szCs w:val="32"/>
        </w:rPr>
        <w:t>按照“清污分流、雨污分流”的原则优化设置给排水系统。近期</w:t>
      </w:r>
      <w:r>
        <w:rPr>
          <w:rFonts w:hint="eastAsia" w:eastAsia="仿宋_GB2312"/>
          <w:sz w:val="32"/>
        </w:rPr>
        <w:t>（海丰县梅陇镇污水处理厂管网完善前）项目运营产后的生活污水经三级粪池预处理后与生产废水废水一并进入配套建设的污水处理设备处理达到广东省地方标准《水污染物排放限值》（</w:t>
      </w:r>
      <w:r>
        <w:rPr>
          <w:rFonts w:eastAsia="仿宋_GB2312"/>
          <w:sz w:val="32"/>
        </w:rPr>
        <w:t>DB44/26-2001</w:t>
      </w:r>
      <w:r>
        <w:rPr>
          <w:rFonts w:hint="eastAsia" w:eastAsia="仿宋_GB2312"/>
          <w:sz w:val="32"/>
        </w:rPr>
        <w:t>）第二时段一级标准后排入附近排洪渠，最终排入安步溪；海丰县梅陇镇污水处理厂管网完善后，项目运营产生的生活污水经三级粪池处理、生产废水经自建污水处理设备处理达到广东省地方标准《水污染物排放限值》（</w:t>
      </w:r>
      <w:r>
        <w:rPr>
          <w:rFonts w:eastAsia="仿宋_GB2312"/>
          <w:sz w:val="32"/>
        </w:rPr>
        <w:t>DB44/26-2001</w:t>
      </w:r>
      <w:r>
        <w:rPr>
          <w:rFonts w:hint="eastAsia" w:eastAsia="仿宋_GB2312"/>
          <w:sz w:val="32"/>
        </w:rPr>
        <w:t>）第二时段三级标准与海丰县梅陇镇污水处理厂接管标准的较严值后排入市政管网，进入海丰县梅陇镇污水处理厂进行深化处理后排放。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（二）加强生产车间废气的收集和处理工作。熔化、注模工序产生的废气经集气罩收集进入净化装置处理达到《大气污染物排放限值》（</w:t>
      </w:r>
      <w:r>
        <w:rPr>
          <w:rFonts w:eastAsia="仿宋_GB2312"/>
          <w:sz w:val="32"/>
        </w:rPr>
        <w:t>DB44/27-2001</w:t>
      </w:r>
      <w:r>
        <w:rPr>
          <w:rFonts w:hint="eastAsia" w:eastAsia="仿宋_GB2312"/>
          <w:sz w:val="32"/>
        </w:rPr>
        <w:t>）第二时段二级标准后引向高空排放；同时，应加强通风，确保车间无组织废气排放满足广东省《大气污染物排放限值》（</w:t>
      </w:r>
      <w:r>
        <w:rPr>
          <w:rFonts w:eastAsia="仿宋_GB2312"/>
          <w:sz w:val="32"/>
        </w:rPr>
        <w:t>DB44/27-2001</w:t>
      </w:r>
      <w:r>
        <w:rPr>
          <w:rFonts w:hint="eastAsia" w:eastAsia="仿宋_GB2312"/>
          <w:sz w:val="32"/>
        </w:rPr>
        <w:t>）浓度限值要求。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（三）选用低噪声设备，合理安排工作时间，对噪声大的生产设备须采取有效隔音、减震、防噪等措施，确保项目厂界噪声符合《工业企业厂界环境噪声排放标准》（</w:t>
      </w:r>
      <w:r>
        <w:rPr>
          <w:rFonts w:eastAsia="仿宋_GB2312"/>
          <w:sz w:val="32"/>
        </w:rPr>
        <w:t>GB12348-2008</w:t>
      </w:r>
      <w:r>
        <w:rPr>
          <w:rFonts w:hint="eastAsia" w:eastAsia="仿宋_GB2312"/>
          <w:sz w:val="32"/>
        </w:rPr>
        <w:t>）</w:t>
      </w:r>
      <w:r>
        <w:rPr>
          <w:rFonts w:eastAsia="仿宋_GB2312"/>
          <w:sz w:val="32"/>
        </w:rPr>
        <w:t>3</w:t>
      </w:r>
      <w:r>
        <w:rPr>
          <w:rFonts w:hint="eastAsia" w:eastAsia="仿宋_GB2312"/>
          <w:sz w:val="32"/>
        </w:rPr>
        <w:t>类标准的要求。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
          <w:kern w:val="0"/>
          <w:sz w:val="32"/>
          <w:szCs w:val="32"/>
        </w:rPr>
      </w:pPr>
      <w:r>
        <w:rPr>
          <w:rFonts w:hint="eastAsia" w:eastAsia="仿宋_GB2312"/>
          <w:sz w:val="32"/>
        </w:rPr>
        <w:t>（四）</w:t>
      </w:r>
      <w:r>
        <w:rPr>
          <w:rFonts w:hint="eastAsia" w:ascii="仿宋" w:hAnsi="仿宋" w:eastAsia="仿宋" w:cs="仿宋"/>
          <w:kern w:val="0"/>
          <w:sz w:val="32"/>
          <w:szCs w:val="32"/>
        </w:rPr>
        <w:t>加强对各类固体废物的管理和处置工作。生产过程中产生废石腊回用于生产工序，废石膏、沉淀池产生的石膏污泥应妥善收集后有关单位进行回收利用，废紫外</w:t>
      </w:r>
      <w:bookmarkStart w:id="0" w:name="_GoBack"/>
      <w:bookmarkEnd w:id="0"/>
      <w:r>
        <w:rPr>
          <w:rFonts w:hint="eastAsia" w:ascii="仿宋" w:hAnsi="仿宋" w:eastAsia="仿宋" w:cs="仿宋"/>
          <w:kern w:val="0"/>
          <w:sz w:val="32"/>
          <w:szCs w:val="32"/>
        </w:rPr>
        <w:t>灯贮存场所应严格按照《危险废物贮存污染控制标准》（</w:t>
      </w:r>
      <w:r>
        <w:rPr>
          <w:rFonts w:ascii="仿宋" w:hAnsi="仿宋" w:eastAsia="仿宋" w:cs="仿宋"/>
          <w:kern w:val="0"/>
          <w:sz w:val="32"/>
          <w:szCs w:val="32"/>
        </w:rPr>
        <w:t>GB18597-2001</w:t>
      </w:r>
      <w:r>
        <w:rPr>
          <w:rFonts w:hint="eastAsia" w:ascii="仿宋" w:hAnsi="仿宋" w:eastAsia="仿宋" w:cs="仿宋"/>
          <w:kern w:val="0"/>
          <w:sz w:val="32"/>
          <w:szCs w:val="32"/>
        </w:rPr>
        <w:t>）及其</w:t>
      </w:r>
      <w:r>
        <w:rPr>
          <w:rFonts w:ascii="仿宋" w:hAnsi="仿宋" w:eastAsia="仿宋" w:cs="仿宋"/>
          <w:kern w:val="0"/>
          <w:sz w:val="32"/>
          <w:szCs w:val="32"/>
        </w:rPr>
        <w:t xml:space="preserve"> 2013 </w:t>
      </w:r>
      <w:r>
        <w:rPr>
          <w:rFonts w:hint="eastAsia" w:ascii="仿宋" w:hAnsi="仿宋" w:eastAsia="仿宋" w:cs="仿宋"/>
          <w:kern w:val="0"/>
          <w:sz w:val="32"/>
          <w:szCs w:val="32"/>
        </w:rPr>
        <w:t>年修改单要求进行设置，并严格执行危险废物转移联单制度，及时交由有资质单位进行处理；生活垃圾统一收集后交由环卫部门处理。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三、本项目总量控制指标为：非甲烷总烃≤</w:t>
      </w:r>
      <w:r>
        <w:rPr>
          <w:rFonts w:eastAsia="仿宋_GB2312"/>
          <w:sz w:val="32"/>
        </w:rPr>
        <w:t>0.19t/a</w:t>
      </w:r>
      <w:r>
        <w:rPr>
          <w:rFonts w:hint="eastAsia" w:eastAsia="仿宋_GB2312"/>
          <w:sz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四、项目建设必须严格执行配套建设的环境保护设施与主体工程同时设计、同时施工、同时投产使用的环境保护“三同时”制度。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五、项目建成后，须按规定落实项目竣工环境保护验收工作，经验收合格后，方可正式投产。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eastAsia="仿宋_GB2312"/>
          <w:sz w:val="32"/>
        </w:rPr>
      </w:pPr>
      <w:r>
        <w:rPr>
          <w:rFonts w:hint="eastAsia" w:eastAsia="仿宋_GB2312"/>
          <w:sz w:val="32"/>
        </w:rPr>
        <w:t>六、以上批复仅限《报告表》中确定的内容，如项目的建设地点、规模、性质等发生重大变化，须重新办理环保审批手续。</w:t>
      </w:r>
    </w:p>
    <w:p>
      <w:pPr>
        <w:keepNext w:val="0"/>
        <w:keepLines w:val="0"/>
        <w:pageBreakBefore w:val="0"/>
        <w:widowControl w:val="0"/>
        <w:kinsoku/>
        <w:wordWrap/>
        <w:overflowPunct/>
        <w:topLinePunct w:val="0"/>
        <w:autoSpaceDE/>
        <w:autoSpaceDN/>
        <w:bidi w:val="0"/>
        <w:adjustRightInd/>
        <w:snapToGrid/>
        <w:spacing w:line="580" w:lineRule="exact"/>
        <w:textAlignment w:val="auto"/>
      </w:pPr>
    </w:p>
    <w:p>
      <w:pPr>
        <w:pStyle w:val="18"/>
      </w:pPr>
    </w:p>
    <w:p>
      <w:pPr>
        <w:pStyle w:val="18"/>
      </w:pPr>
    </w:p>
    <w:p>
      <w:pPr>
        <w:pStyle w:val="18"/>
      </w:pPr>
    </w:p>
    <w:p>
      <w:pPr>
        <w:pStyle w:val="18"/>
      </w:pPr>
    </w:p>
    <w:p>
      <w:pPr>
        <w:pStyle w:val="18"/>
      </w:pPr>
    </w:p>
    <w:p>
      <w:pPr>
        <w:wordWrap w:val="0"/>
        <w:snapToGrid w:val="0"/>
        <w:spacing w:line="288" w:lineRule="auto"/>
        <w:jc w:val="right"/>
        <w:rPr>
          <w:rFonts w:hint="eastAsia" w:ascii="仿宋_GB2312" w:hAnsi="仿宋_GB2312" w:eastAsia="仿宋_GB2312"/>
          <w:sz w:val="32"/>
          <w:shd w:val="clear" w:color="auto" w:fill="FFFFFF"/>
        </w:rPr>
      </w:pPr>
      <w:r>
        <w:rPr>
          <w:rFonts w:hint="eastAsia" w:ascii="仿宋_GB2312" w:hAnsi="仿宋_GB2312" w:eastAsia="仿宋_GB2312"/>
          <w:sz w:val="32"/>
          <w:shd w:val="clear" w:color="auto" w:fill="FFFFFF"/>
          <w:lang w:val="en-US" w:eastAsia="zh-CN"/>
        </w:rPr>
        <w:t xml:space="preserve">  </w:t>
      </w:r>
      <w:r>
        <w:rPr>
          <w:rFonts w:hint="eastAsia" w:ascii="仿宋_GB2312" w:hAnsi="仿宋_GB2312" w:eastAsia="仿宋_GB2312"/>
          <w:sz w:val="32"/>
          <w:shd w:val="clear" w:color="auto" w:fill="FFFFFF"/>
        </w:rPr>
        <w:t>2</w:t>
      </w:r>
      <w:r>
        <w:rPr>
          <w:rFonts w:ascii="仿宋_GB2312" w:hAnsi="仿宋_GB2312" w:eastAsia="仿宋_GB2312"/>
          <w:sz w:val="32"/>
          <w:shd w:val="clear" w:color="auto" w:fill="FFFFFF"/>
        </w:rPr>
        <w:t>01</w:t>
      </w:r>
      <w:r>
        <w:rPr>
          <w:rFonts w:hint="eastAsia" w:ascii="仿宋_GB2312" w:hAnsi="仿宋_GB2312" w:eastAsia="仿宋_GB2312"/>
          <w:sz w:val="32"/>
          <w:shd w:val="clear" w:color="auto" w:fill="FFFFFF"/>
        </w:rPr>
        <w:t>9年</w:t>
      </w:r>
      <w:r>
        <w:rPr>
          <w:rFonts w:hint="eastAsia" w:ascii="仿宋_GB2312" w:hAnsi="仿宋_GB2312" w:eastAsia="仿宋_GB2312"/>
          <w:sz w:val="32"/>
          <w:shd w:val="clear" w:color="auto" w:fill="FFFFFF"/>
          <w:lang w:val="en-US" w:eastAsia="zh-CN"/>
        </w:rPr>
        <w:t>9</w:t>
      </w:r>
      <w:r>
        <w:rPr>
          <w:rFonts w:hint="eastAsia" w:ascii="仿宋_GB2312" w:hAnsi="仿宋_GB2312" w:eastAsia="仿宋_GB2312"/>
          <w:sz w:val="32"/>
          <w:shd w:val="clear" w:color="auto" w:fill="FFFFFF"/>
        </w:rPr>
        <w:t>月</w:t>
      </w:r>
      <w:r>
        <w:rPr>
          <w:rFonts w:hint="eastAsia" w:ascii="仿宋_GB2312" w:hAnsi="仿宋_GB2312" w:eastAsia="仿宋_GB2312"/>
          <w:sz w:val="32"/>
          <w:shd w:val="clear" w:color="auto" w:fill="FFFFFF"/>
          <w:lang w:val="en-US" w:eastAsia="zh-CN"/>
        </w:rPr>
        <w:t>2</w:t>
      </w:r>
      <w:r>
        <w:rPr>
          <w:rFonts w:hint="eastAsia" w:ascii="仿宋_GB2312" w:hAnsi="仿宋_GB2312" w:eastAsia="仿宋_GB2312"/>
          <w:sz w:val="32"/>
          <w:shd w:val="clear" w:color="auto" w:fill="FFFFFF"/>
        </w:rPr>
        <w:t xml:space="preserve">日 </w:t>
      </w:r>
    </w:p>
    <w:p>
      <w:pPr>
        <w:pStyle w:val="4"/>
        <w:ind w:left="0" w:leftChars="0" w:firstLine="0" w:firstLineChars="0"/>
        <w:rPr>
          <w:rFonts w:hint="eastAsia" w:ascii="仿宋_GB2312" w:hAnsi="仿宋_GB2312" w:eastAsia="仿宋_GB2312"/>
          <w:sz w:val="32"/>
          <w:shd w:val="clear" w:color="auto" w:fill="FFFFFF"/>
        </w:rPr>
      </w:pPr>
    </w:p>
    <w:p>
      <w:pPr>
        <w:rPr>
          <w:rFonts w:hint="eastAsia" w:ascii="仿宋_GB2312" w:hAnsi="仿宋_GB2312" w:eastAsia="仿宋_GB2312"/>
          <w:sz w:val="32"/>
          <w:shd w:val="clear" w:color="auto" w:fill="FFFFFF"/>
        </w:rPr>
      </w:pPr>
    </w:p>
    <w:p>
      <w:pPr>
        <w:pStyle w:val="2"/>
        <w:rPr>
          <w:rFonts w:hint="eastAsia" w:ascii="仿宋_GB2312" w:hAnsi="仿宋_GB2312" w:eastAsia="仿宋_GB2312"/>
          <w:sz w:val="32"/>
          <w:shd w:val="clear" w:color="auto" w:fill="FFFFFF"/>
        </w:rPr>
      </w:pPr>
    </w:p>
    <w:p>
      <w:pPr>
        <w:pStyle w:val="4"/>
        <w:rPr>
          <w:rFonts w:hint="eastAsia"/>
        </w:rPr>
      </w:pPr>
    </w:p>
    <w:p>
      <w:pPr>
        <w:rPr>
          <w:rFonts w:hint="eastAsia"/>
        </w:rPr>
      </w:pPr>
    </w:p>
    <w:p>
      <w:pPr>
        <w:wordWrap w:val="0"/>
        <w:snapToGrid w:val="0"/>
        <w:spacing w:line="288" w:lineRule="auto"/>
        <w:jc w:val="both"/>
        <w:rPr>
          <w:rFonts w:hint="eastAsia" w:ascii="仿宋_GB2312" w:hAnsi="仿宋_GB2312" w:eastAsia="仿宋_GB2312"/>
          <w:sz w:val="32"/>
          <w:shd w:val="clear" w:color="auto" w:fill="FFFFFF"/>
        </w:rPr>
      </w:pPr>
    </w:p>
    <w:p>
      <w:pPr>
        <w:snapToGrid w:val="0"/>
        <w:spacing w:line="288" w:lineRule="auto"/>
      </w:pPr>
      <w:r>
        <w:rPr>
          <w:rFonts w:hint="eastAsia"/>
          <w:szCs w:val="20"/>
        </w:rPr>
        <w:pict>
          <v:line id="Line 2" o:spid="_x0000_s1026" o:spt="20" style="position:absolute;left:0pt;margin-left:-9.1pt;margin-top:28.35pt;height:0.05pt;width:438pt;z-index:251660288;mso-width-relative:page;mso-height-relative:page;" coordsize="21600,21600">
            <v:path arrowok="t"/>
            <v:fill focussize="0,0"/>
            <v:stroke/>
            <v:imagedata o:title=""/>
            <o:lock v:ext="edit"/>
          </v:line>
        </w:pict>
      </w:r>
      <w:r>
        <w:rPr>
          <w:rFonts w:hint="eastAsia"/>
          <w:szCs w:val="20"/>
        </w:rPr>
        <w:pict>
          <v:line id="Line 3" o:spid="_x0000_s1027" o:spt="20" style="position:absolute;left:0pt;margin-left:-10.95pt;margin-top:0pt;height:0pt;width:438pt;z-index:251659264;mso-width-relative:page;mso-height-relative:page;" coordsize="21600,21600">
            <v:path arrowok="t"/>
            <v:fill focussize="0,0"/>
            <v:stroke/>
            <v:imagedata o:title=""/>
            <o:lock v:ext="edit"/>
          </v:line>
        </w:pict>
      </w:r>
      <w:r>
        <w:rPr>
          <w:rFonts w:hint="eastAsia" w:ascii="仿宋_GB2312" w:hAnsi="仿宋_GB2312" w:eastAsia="仿宋_GB2312"/>
          <w:sz w:val="32"/>
          <w:szCs w:val="32"/>
        </w:rPr>
        <w:t>汕尾市生态环境局海丰分局</w:t>
      </w:r>
      <w:r>
        <w:rPr>
          <w:rFonts w:hint="eastAsia" w:ascii="仿宋_GB2312" w:hAnsi="仿宋_GB2312" w:eastAsia="仿宋_GB2312"/>
          <w:sz w:val="32"/>
          <w:szCs w:val="32"/>
          <w:lang w:eastAsia="zh-CN"/>
        </w:rPr>
        <w:t>办公室</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 xml:space="preserve">    </w:t>
      </w:r>
      <w:r>
        <w:rPr>
          <w:rFonts w:hint="eastAsia" w:ascii="仿宋_GB2312" w:hAnsi="仿宋_GB2312" w:eastAsia="仿宋_GB2312"/>
          <w:sz w:val="32"/>
          <w:szCs w:val="32"/>
        </w:rPr>
        <w:t>2019年月</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日印发</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VjYWUwYzExMDgwMTMxYjZiOTIyMWRkYTcyZjAyZjQifQ=="/>
  </w:docVars>
  <w:rsids>
    <w:rsidRoot w:val="5E007123"/>
    <w:rsid w:val="0000154C"/>
    <w:rsid w:val="0028434B"/>
    <w:rsid w:val="00351EF7"/>
    <w:rsid w:val="00353E6D"/>
    <w:rsid w:val="003F25DF"/>
    <w:rsid w:val="00514E62"/>
    <w:rsid w:val="00623535"/>
    <w:rsid w:val="00A66771"/>
    <w:rsid w:val="00AE5E3F"/>
    <w:rsid w:val="00D17169"/>
    <w:rsid w:val="00E55176"/>
    <w:rsid w:val="265C50CE"/>
    <w:rsid w:val="2A711FB6"/>
    <w:rsid w:val="5E007123"/>
    <w:rsid w:val="6A3D0BC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before="0" w:after="120"/>
      <w:ind w:left="420" w:firstLine="210"/>
    </w:pPr>
    <w:rPr>
      <w:rFonts w:ascii="Times New Roman"/>
      <w:sz w:val="21"/>
    </w:rPr>
  </w:style>
  <w:style w:type="paragraph" w:styleId="3">
    <w:name w:val="Body Text Indent"/>
    <w:basedOn w:val="1"/>
    <w:qFormat/>
    <w:uiPriority w:val="0"/>
    <w:pPr>
      <w:spacing w:before="240"/>
      <w:ind w:firstLine="570"/>
    </w:pPr>
    <w:rPr>
      <w:rFonts w:ascii="宋体"/>
    </w:rPr>
  </w:style>
  <w:style w:type="paragraph" w:styleId="4">
    <w:name w:val="Body Text First Indent"/>
    <w:basedOn w:val="5"/>
    <w:next w:val="1"/>
    <w:qFormat/>
    <w:uiPriority w:val="0"/>
    <w:pPr>
      <w:ind w:firstLine="420" w:firstLineChars="100"/>
    </w:pPr>
  </w:style>
  <w:style w:type="paragraph" w:styleId="5">
    <w:name w:val="Body Text"/>
    <w:basedOn w:val="1"/>
    <w:qFormat/>
    <w:uiPriority w:val="0"/>
    <w:pPr>
      <w:ind w:firstLine="0"/>
    </w:pPr>
    <w:rPr>
      <w:sz w:val="24"/>
    </w:r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FollowedHyperlink"/>
    <w:basedOn w:val="9"/>
    <w:semiHidden/>
    <w:unhideWhenUsed/>
    <w:uiPriority w:val="99"/>
    <w:rPr>
      <w:color w:val="800080"/>
      <w:u w:val="none"/>
    </w:rPr>
  </w:style>
  <w:style w:type="character" w:styleId="11">
    <w:name w:val="Emphasis"/>
    <w:basedOn w:val="9"/>
    <w:qFormat/>
    <w:locked/>
    <w:uiPriority w:val="0"/>
  </w:style>
  <w:style w:type="character" w:styleId="12">
    <w:name w:val="HTML Definition"/>
    <w:basedOn w:val="9"/>
    <w:semiHidden/>
    <w:unhideWhenUsed/>
    <w:qFormat/>
    <w:uiPriority w:val="99"/>
  </w:style>
  <w:style w:type="character" w:styleId="13">
    <w:name w:val="HTML Acronym"/>
    <w:basedOn w:val="9"/>
    <w:semiHidden/>
    <w:unhideWhenUsed/>
    <w:qFormat/>
    <w:uiPriority w:val="99"/>
  </w:style>
  <w:style w:type="character" w:styleId="14">
    <w:name w:val="HTML Variable"/>
    <w:basedOn w:val="9"/>
    <w:semiHidden/>
    <w:unhideWhenUsed/>
    <w:uiPriority w:val="99"/>
  </w:style>
  <w:style w:type="character" w:styleId="15">
    <w:name w:val="Hyperlink"/>
    <w:basedOn w:val="9"/>
    <w:semiHidden/>
    <w:unhideWhenUsed/>
    <w:qFormat/>
    <w:uiPriority w:val="99"/>
    <w:rPr>
      <w:color w:val="0000FF"/>
      <w:u w:val="none"/>
    </w:rPr>
  </w:style>
  <w:style w:type="character" w:styleId="16">
    <w:name w:val="HTML Code"/>
    <w:basedOn w:val="9"/>
    <w:semiHidden/>
    <w:unhideWhenUsed/>
    <w:uiPriority w:val="99"/>
    <w:rPr>
      <w:rFonts w:ascii="Courier New" w:hAnsi="Courier New"/>
      <w:sz w:val="18"/>
      <w:szCs w:val="18"/>
    </w:rPr>
  </w:style>
  <w:style w:type="character" w:styleId="17">
    <w:name w:val="HTML Cite"/>
    <w:basedOn w:val="9"/>
    <w:semiHidden/>
    <w:unhideWhenUsed/>
    <w:qFormat/>
    <w:uiPriority w:val="99"/>
  </w:style>
  <w:style w:type="paragraph" w:customStyle="1" w:styleId="18">
    <w:name w:val="Default"/>
    <w:qFormat/>
    <w:uiPriority w:val="99"/>
    <w:pPr>
      <w:widowControl w:val="0"/>
      <w:autoSpaceDE w:val="0"/>
      <w:autoSpaceDN w:val="0"/>
      <w:adjustRightInd w:val="0"/>
    </w:pPr>
    <w:rPr>
      <w:rFonts w:ascii="黑体" w:hAnsi="黑体" w:eastAsia="黑体" w:cs="Times New Roman"/>
      <w:color w:val="000000"/>
      <w:kern w:val="0"/>
      <w:sz w:val="24"/>
      <w:szCs w:val="22"/>
      <w:lang w:val="en-US" w:eastAsia="zh-CN" w:bidi="ar-SA"/>
    </w:rPr>
  </w:style>
  <w:style w:type="character" w:customStyle="1" w:styleId="19">
    <w:name w:val="ex"/>
    <w:basedOn w:val="9"/>
    <w:qFormat/>
    <w:uiPriority w:val="0"/>
  </w:style>
  <w:style w:type="character" w:customStyle="1" w:styleId="20">
    <w:name w:val="mail"/>
    <w:basedOn w:val="9"/>
    <w:qFormat/>
    <w:uiPriority w:val="0"/>
  </w:style>
  <w:style w:type="character" w:customStyle="1" w:styleId="21">
    <w:name w:val="styhelp"/>
    <w:basedOn w:val="9"/>
    <w:qFormat/>
    <w:uiPriority w:val="0"/>
  </w:style>
  <w:style w:type="character" w:customStyle="1" w:styleId="22">
    <w:name w:val="itc"/>
    <w:basedOn w:val="9"/>
    <w:qFormat/>
    <w:uiPriority w:val="0"/>
  </w:style>
  <w:style w:type="character" w:customStyle="1" w:styleId="23">
    <w:name w:val="pw"/>
    <w:basedOn w:val="9"/>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textRotate="1"/>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1218</Words>
  <Characters>1334</Characters>
  <Lines>0</Lines>
  <Paragraphs>0</Paragraphs>
  <TotalTime>11</TotalTime>
  <ScaleCrop>false</ScaleCrop>
  <LinksUpToDate>false</LinksUpToDate>
  <CharactersWithSpaces>1347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2019-08-27T10:06:00Z</dcterms:created>
  <dc:creator>陈朝雨</dc:creator>
  <cp:lastModifiedBy>寄念</cp:lastModifiedBy>
  <cp:lastPrinted>2019-09-03T09:58:00Z</cp:lastPrinted>
  <dcterms:modified xsi:type="dcterms:W3CDTF">2022-05-25T08:06:56Z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26559CCE486D4C7EB8A77B680E39788F</vt:lpwstr>
  </property>
</Properties>
</file>