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jc w:val="center"/>
        <w:textAlignment w:val="auto"/>
        <w:rPr>
          <w:rFonts w:ascii="方正小标宋简体" w:cs="方正小标宋简体" w:eastAsia="方正小标宋简体" w:hAnsi="方正小标宋简体" w:hint="eastAsia"/>
          <w:sz w:val="44"/>
          <w:szCs w:val="4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jc w:val="center"/>
        <w:textAlignment w:val="auto"/>
        <w:rPr>
          <w:rFonts w:ascii="方正小标宋简体" w:cs="方正小标宋简体" w:eastAsia="方正小标宋简体" w:hAnsi="方正小标宋简体" w:hint="eastAsia"/>
          <w:sz w:val="44"/>
          <w:szCs w:val="44"/>
        </w:rPr>
      </w:pPr>
    </w:p>
    <w:p>
      <w:pPr>
        <w:pStyle w:val="style46"/>
        <w:rPr>
          <w:rFonts w:hint="eastAsia"/>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jc w:val="center"/>
        <w:textAlignment w:val="auto"/>
        <w:rPr>
          <w:rFonts w:ascii="方正小标宋简体" w:cs="方正小标宋简体" w:eastAsia="方正小标宋简体" w:hAnsi="方正小标宋简体" w:hint="eastAsia"/>
          <w:sz w:val="44"/>
          <w:szCs w:val="44"/>
        </w:rPr>
      </w:pPr>
      <w:r>
        <w:rPr>
          <w:rFonts w:ascii="方正小标宋简体" w:cs="方正小标宋简体" w:eastAsia="方正小标宋简体" w:hAnsi="方正小标宋简体" w:hint="eastAsia"/>
          <w:sz w:val="44"/>
          <w:szCs w:val="44"/>
        </w:rPr>
        <w:t>陶河镇2022年经济社会发展主要</w:t>
      </w:r>
      <w:r>
        <w:rPr>
          <w:rFonts w:ascii="方正小标宋简体" w:cs="方正小标宋简体" w:eastAsia="方正小标宋简体" w:hAnsi="方正小标宋简体" w:hint="eastAsia"/>
          <w:sz w:val="44"/>
          <w:szCs w:val="44"/>
          <w:lang w:val="en-US" w:eastAsia="zh-CN"/>
        </w:rPr>
        <w:t>成绩</w:t>
      </w:r>
      <w:r>
        <w:rPr>
          <w:rFonts w:ascii="方正小标宋简体" w:cs="方正小标宋简体" w:eastAsia="方正小标宋简体" w:hAnsi="方正小标宋简体" w:hint="eastAsia"/>
          <w:sz w:val="44"/>
          <w:szCs w:val="44"/>
        </w:rPr>
        <w:t>和</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jc w:val="center"/>
        <w:textAlignment w:val="auto"/>
        <w:rPr>
          <w:rFonts w:ascii="方正小标宋简体" w:cs="方正小标宋简体" w:eastAsia="方正小标宋简体" w:hAnsi="方正小标宋简体" w:hint="eastAsia"/>
          <w:sz w:val="44"/>
          <w:szCs w:val="44"/>
          <w:lang w:val="en-US" w:eastAsia="zh-CN"/>
        </w:rPr>
      </w:pPr>
      <w:r>
        <w:rPr>
          <w:rFonts w:ascii="方正小标宋简体" w:cs="方正小标宋简体" w:eastAsia="方正小标宋简体" w:hAnsi="方正小标宋简体" w:hint="eastAsia"/>
          <w:sz w:val="44"/>
          <w:szCs w:val="44"/>
        </w:rPr>
        <w:t>2023年工作计划</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textAlignment w:val="auto"/>
        <w:rPr>
          <w:rFonts w:hint="default"/>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hint="eastAsia"/>
          <w:lang w:val="en-US" w:eastAsia="zh-CN"/>
        </w:rPr>
      </w:pPr>
      <w:r>
        <w:rPr>
          <w:rFonts w:ascii="仿宋_GB2312" w:cs="仿宋_GB2312" w:eastAsia="仿宋_GB2312" w:hAnsi="仿宋_GB2312" w:hint="eastAsia"/>
          <w:color w:val="auto"/>
          <w:sz w:val="32"/>
          <w:szCs w:val="32"/>
          <w:lang w:val="en-US" w:eastAsia="zh-CN"/>
        </w:rPr>
        <w:t>今年以来，陶河镇在县委、县政府的正确领导下，深入贯彻落实习近平新时代中国特色社会主义思想，按照“疫情要防住、经济要稳住、发展要安全”的工作要求，扎实抓好各项工作落地落实，力促全镇经济社会持续稳定向好</w:t>
      </w:r>
      <w:r>
        <w:rPr>
          <w:rFonts w:cs="仿宋_GB2312" w:hint="eastAsia"/>
          <w:color w:val="auto"/>
          <w:sz w:val="32"/>
          <w:szCs w:val="32"/>
          <w:lang w:val="en-US" w:eastAsia="zh-CN"/>
        </w:rPr>
        <w:t>，并取得不错成效</w:t>
      </w:r>
      <w:r>
        <w:rPr>
          <w:rFonts w:hint="eastAsia"/>
          <w:lang w:val="en-US" w:eastAsia="zh-CN"/>
        </w:rPr>
        <w:t>。主要体现在以下几个方面：</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600"/>
        <w:ind w:right="0" w:firstLine="640" w:firstLineChars="200"/>
        <w:textAlignment w:val="auto"/>
        <w:rPr>
          <w:rFonts w:ascii="黑体" w:cs="黑体" w:eastAsia="黑体" w:hAnsi="黑体" w:hint="eastAsia"/>
          <w:b w:val="false"/>
          <w:bCs w:val="false"/>
          <w:color w:val="auto"/>
          <w:sz w:val="32"/>
          <w:szCs w:val="32"/>
          <w:lang w:val="en-US" w:eastAsia="zh-CN"/>
        </w:rPr>
      </w:pPr>
      <w:r>
        <w:rPr>
          <w:rFonts w:ascii="黑体" w:cs="黑体" w:eastAsia="黑体" w:hAnsi="黑体" w:hint="eastAsia"/>
          <w:b w:val="false"/>
          <w:bCs w:val="false"/>
          <w:color w:val="auto"/>
          <w:sz w:val="32"/>
          <w:szCs w:val="32"/>
          <w:lang w:val="en-US" w:eastAsia="zh-CN"/>
        </w:rPr>
        <w:t>一、2022年主要成绩</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Rule="exact" w:line="600"/>
        <w:ind w:right="0" w:firstLine="643" w:firstLineChars="200"/>
        <w:textAlignment w:val="auto"/>
        <w:rPr>
          <w:rFonts w:ascii="仿宋_GB2312" w:cs="仿宋_GB2312" w:eastAsia="仿宋_GB2312" w:hAnsi="仿宋_GB2312" w:hint="eastAsia"/>
          <w:color w:val="auto"/>
          <w:kern w:val="0"/>
          <w:sz w:val="32"/>
          <w:szCs w:val="32"/>
          <w:lang w:val="en-US" w:eastAsia="zh-CN"/>
        </w:rPr>
      </w:pPr>
      <w:r>
        <w:rPr>
          <w:rFonts w:cs="仿宋_GB2312" w:hint="eastAsia"/>
          <w:b/>
          <w:bCs/>
          <w:color w:val="auto"/>
          <w:sz w:val="32"/>
          <w:szCs w:val="32"/>
          <w:lang w:val="en-US" w:eastAsia="zh-CN"/>
        </w:rPr>
        <w:t>（一）</w:t>
      </w:r>
      <w:r>
        <w:rPr>
          <w:rFonts w:ascii="仿宋_GB2312" w:cs="仿宋_GB2312" w:eastAsia="仿宋_GB2312" w:hAnsi="仿宋_GB2312" w:hint="eastAsia"/>
          <w:b/>
          <w:bCs/>
          <w:color w:val="auto"/>
          <w:sz w:val="32"/>
          <w:szCs w:val="32"/>
          <w:lang w:val="en-US" w:eastAsia="zh-CN"/>
        </w:rPr>
        <w:t>坚持以优质服务推动产业项目落地。一是培育好特色产业</w:t>
      </w:r>
      <w:r>
        <w:rPr>
          <w:rFonts w:ascii="仿宋_GB2312" w:cs="仿宋_GB2312" w:eastAsia="仿宋_GB2312" w:hAnsi="仿宋_GB2312" w:hint="eastAsia"/>
          <w:b/>
          <w:bCs/>
          <w:color w:val="auto"/>
          <w:sz w:val="32"/>
          <w:szCs w:val="32"/>
          <w:lang w:eastAsia="zh-CN"/>
        </w:rPr>
        <w:t>。</w:t>
      </w:r>
      <w:r>
        <w:rPr>
          <w:rFonts w:ascii="仿宋_GB2312" w:cs="仿宋_GB2312" w:eastAsia="仿宋_GB2312" w:hAnsi="仿宋_GB2312" w:hint="eastAsia"/>
          <w:b w:val="false"/>
          <w:bCs w:val="false"/>
          <w:color w:val="auto"/>
          <w:sz w:val="32"/>
          <w:szCs w:val="32"/>
          <w:lang w:val="en-US" w:eastAsia="zh-CN"/>
        </w:rPr>
        <w:t>积极践行“店小二”服务，扶持做大做强莲藕、铁皮石斛、竹笋、食用菌等特色农产品</w:t>
      </w:r>
      <w:r>
        <w:rPr>
          <w:rFonts w:cs="仿宋_GB2312" w:hint="eastAsia"/>
          <w:b w:val="false"/>
          <w:bCs w:val="false"/>
          <w:color w:val="auto"/>
          <w:sz w:val="32"/>
          <w:szCs w:val="32"/>
          <w:lang w:val="en-US" w:eastAsia="zh-CN"/>
        </w:rPr>
        <w:t>，</w:t>
      </w:r>
      <w:r>
        <w:rPr>
          <w:rFonts w:ascii="仿宋_GB2312" w:cs="仿宋_GB2312" w:eastAsia="仿宋_GB2312" w:hAnsi="仿宋_GB2312" w:hint="eastAsia"/>
          <w:b w:val="false"/>
          <w:bCs w:val="false"/>
          <w:color w:val="auto"/>
          <w:sz w:val="32"/>
          <w:szCs w:val="32"/>
          <w:lang w:val="en-US" w:eastAsia="zh-CN"/>
        </w:rPr>
        <w:t>主动探索“经济联合（总）社+生产基地+农户”产业模式，</w:t>
      </w:r>
      <w:r>
        <w:rPr>
          <w:rFonts w:ascii="仿宋_GB2312" w:cs="仿宋_GB2312" w:eastAsia="仿宋_GB2312" w:hAnsi="仿宋_GB2312" w:hint="eastAsia"/>
          <w:b w:val="false"/>
          <w:bCs w:val="false"/>
          <w:i w:val="false"/>
          <w:iCs w:val="false"/>
          <w:color w:val="auto"/>
          <w:sz w:val="32"/>
          <w:szCs w:val="32"/>
          <w:lang w:val="en-US" w:eastAsia="zh-CN"/>
        </w:rPr>
        <w:t>支持铁皮石斛增大投资，新建培育棚3个，年产值比增10%；</w:t>
      </w:r>
      <w:r>
        <w:rPr>
          <w:rFonts w:ascii="仿宋_GB2312" w:cs="仿宋_GB2312" w:eastAsia="仿宋_GB2312" w:hAnsi="仿宋_GB2312" w:hint="eastAsia"/>
          <w:b w:val="false"/>
          <w:bCs w:val="false"/>
          <w:color w:val="auto"/>
          <w:sz w:val="32"/>
          <w:szCs w:val="32"/>
          <w:lang w:val="en-US" w:eastAsia="zh-CN"/>
        </w:rPr>
        <w:t>引进广东昊兴公司落户建设3000平方米农产品生产基地，并合作联产1000余亩土地种植芥菜、辣椒；积极推动土地流转，促使步雅光伏渔业、桐埔“红灯笼”荔枝、股票树等项目落地，</w:t>
      </w:r>
      <w:r>
        <w:rPr>
          <w:rFonts w:cs="仿宋_GB2312" w:hint="eastAsia"/>
          <w:b w:val="false"/>
          <w:bCs w:val="false"/>
          <w:color w:val="auto"/>
          <w:sz w:val="32"/>
          <w:szCs w:val="32"/>
          <w:lang w:val="en-US" w:eastAsia="zh-CN"/>
        </w:rPr>
        <w:t>并带动</w:t>
      </w:r>
      <w:r>
        <w:rPr>
          <w:rFonts w:ascii="仿宋_GB2312" w:cs="仿宋_GB2312" w:eastAsia="仿宋_GB2312" w:hAnsi="仿宋_GB2312" w:hint="eastAsia"/>
          <w:b w:val="false"/>
          <w:bCs w:val="false"/>
          <w:color w:val="auto"/>
          <w:sz w:val="32"/>
          <w:szCs w:val="32"/>
          <w:lang w:val="en-US" w:eastAsia="zh-CN"/>
        </w:rPr>
        <w:t>其他村</w:t>
      </w:r>
      <w:r>
        <w:rPr>
          <w:rFonts w:cs="仿宋_GB2312" w:hint="eastAsia"/>
          <w:b w:val="false"/>
          <w:bCs w:val="false"/>
          <w:color w:val="auto"/>
          <w:sz w:val="32"/>
          <w:szCs w:val="32"/>
          <w:lang w:val="en-US" w:eastAsia="zh-CN"/>
        </w:rPr>
        <w:t>（社区）土地有序流转</w:t>
      </w:r>
      <w:r>
        <w:rPr>
          <w:rFonts w:ascii="仿宋_GB2312" w:cs="仿宋_GB2312" w:eastAsia="仿宋_GB2312" w:hAnsi="仿宋_GB2312" w:hint="eastAsia"/>
          <w:b w:val="false"/>
          <w:bCs w:val="false"/>
          <w:color w:val="auto"/>
          <w:sz w:val="32"/>
          <w:szCs w:val="32"/>
          <w:lang w:val="en-US" w:eastAsia="zh-CN"/>
        </w:rPr>
        <w:t>，村集体经济增强效果渐显</w:t>
      </w:r>
      <w:r>
        <w:rPr>
          <w:rFonts w:ascii="仿宋_GB2312" w:cs="仿宋_GB2312" w:eastAsia="仿宋_GB2312" w:hAnsi="仿宋_GB2312" w:hint="eastAsia"/>
          <w:b w:val="false"/>
          <w:bCs w:val="false"/>
          <w:i w:val="false"/>
          <w:iCs w:val="false"/>
          <w:color w:val="auto"/>
          <w:sz w:val="32"/>
          <w:szCs w:val="32"/>
          <w:lang w:val="en-US" w:eastAsia="zh-CN"/>
        </w:rPr>
        <w:t>。</w:t>
      </w:r>
      <w:r>
        <w:rPr>
          <w:rFonts w:ascii="仿宋_GB2312" w:cs="仿宋_GB2312" w:eastAsia="仿宋_GB2312" w:hAnsi="仿宋_GB2312" w:hint="eastAsia"/>
          <w:b/>
          <w:bCs/>
          <w:color w:val="auto"/>
          <w:sz w:val="32"/>
          <w:szCs w:val="32"/>
          <w:lang w:val="en-US" w:eastAsia="zh-CN"/>
        </w:rPr>
        <w:t>二是服务好重点项目。</w:t>
      </w:r>
      <w:r>
        <w:rPr>
          <w:rFonts w:ascii="仿宋_GB2312" w:cs="仿宋_GB2312" w:eastAsia="仿宋_GB2312" w:hAnsi="仿宋_GB2312" w:hint="eastAsia"/>
          <w:b w:val="false"/>
          <w:bCs w:val="false"/>
          <w:color w:val="auto"/>
          <w:sz w:val="32"/>
          <w:szCs w:val="32"/>
          <w:lang w:val="en-US" w:eastAsia="zh-CN"/>
        </w:rPr>
        <w:t>坚持把无障碍施工作为推动重点项目建设的首要保障来抓好，有力推进了深汕西高速公路改扩建工程、粤东天然气管网、中燃、深燃燃气泵站、220千伏琉璃线塔基建设等“综合交通大会战”“城市提能大会战”项目的用地征收工作，实现了项目建设的有序推进。</w:t>
      </w:r>
      <w:r>
        <w:rPr>
          <w:rFonts w:ascii="仿宋_GB2312" w:cs="仿宋_GB2312" w:eastAsia="仿宋_GB2312" w:hAnsi="仿宋_GB2312" w:hint="eastAsia"/>
          <w:b/>
          <w:bCs/>
          <w:color w:val="auto"/>
          <w:sz w:val="32"/>
          <w:szCs w:val="32"/>
          <w:lang w:val="en-US" w:eastAsia="zh-CN"/>
        </w:rPr>
        <w:t>三是完善好基础设施。</w:t>
      </w:r>
      <w:r>
        <w:rPr>
          <w:rFonts w:ascii="仿宋_GB2312" w:cs="仿宋_GB2312" w:eastAsia="仿宋_GB2312" w:hAnsi="仿宋_GB2312" w:hint="eastAsia"/>
          <w:b w:val="false"/>
          <w:bCs w:val="false"/>
          <w:color w:val="auto"/>
          <w:sz w:val="32"/>
          <w:szCs w:val="32"/>
          <w:lang w:val="en-US" w:eastAsia="zh-CN"/>
        </w:rPr>
        <w:t>坚持把打好“乡村振兴大会战”作为陶河补短强基的主要抓手，摸清摸准群众关注的民生热点、堵点，建立“乡村振兴项目库”，建成或上马了镇区自来水管网改造、陶北路路灯架设、陶联横山危桥重建、县道129陶河段亮化项目等项目；农村集中供水主管网埋设工程、镇区三清三拆三整治（一期）项目、杨西农贸市场建设项目、霞西村委笏雅村和杨南村委高湖村人居环境整治项目等乡村振兴项目前期工作扎实推进；农村生活污水资源化利用项目已落地实施建设；多渠道争取资金，金锡灌区节水改造工程、杨西杨南供水泵站纳入深圳对口帮扶项目库；主动谋划解决陶河用水难问题，积极配合县推动了东部片区供水提升工程顺利获得国债资金支持，为解决陶河用水难问题</w:t>
      </w:r>
      <w:r>
        <w:rPr>
          <w:rFonts w:cs="仿宋_GB2312" w:hint="eastAsia"/>
          <w:b w:val="false"/>
          <w:bCs w:val="false"/>
          <w:color w:val="auto"/>
          <w:sz w:val="32"/>
          <w:szCs w:val="32"/>
          <w:lang w:val="en-US" w:eastAsia="zh-CN"/>
        </w:rPr>
        <w:t>付出最大</w:t>
      </w:r>
      <w:r>
        <w:rPr>
          <w:rFonts w:ascii="仿宋_GB2312" w:cs="仿宋_GB2312" w:eastAsia="仿宋_GB2312" w:hAnsi="仿宋_GB2312" w:hint="eastAsia"/>
          <w:b w:val="false"/>
          <w:bCs w:val="false"/>
          <w:color w:val="auto"/>
          <w:sz w:val="32"/>
          <w:szCs w:val="32"/>
          <w:lang w:val="en-US" w:eastAsia="zh-CN"/>
        </w:rPr>
        <w:t>努力。</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600"/>
        <w:ind w:right="0" w:firstLine="643" w:firstLineChars="200"/>
        <w:textAlignment w:val="auto"/>
        <w:rPr>
          <w:rFonts w:ascii="仿宋_GB2312" w:cs="仿宋_GB2312" w:eastAsia="仿宋_GB2312" w:hAnsi="仿宋_GB2312" w:hint="eastAsia"/>
          <w:b w:val="false"/>
          <w:bCs w:val="false"/>
          <w:color w:val="auto"/>
          <w:sz w:val="32"/>
          <w:szCs w:val="32"/>
          <w:lang w:val="en-US" w:eastAsia="zh-CN"/>
        </w:rPr>
      </w:pPr>
      <w:r>
        <w:rPr>
          <w:rFonts w:ascii="仿宋_GB2312" w:cs="仿宋_GB2312" w:eastAsia="仿宋_GB2312" w:hAnsi="仿宋_GB2312" w:hint="eastAsia"/>
          <w:b/>
          <w:bCs/>
          <w:color w:val="auto"/>
          <w:sz w:val="32"/>
          <w:szCs w:val="32"/>
          <w:lang w:val="en-US" w:eastAsia="zh-CN"/>
        </w:rPr>
        <w:t>（</w:t>
      </w:r>
      <w:r>
        <w:rPr>
          <w:rFonts w:cs="仿宋_GB2312" w:hint="eastAsia"/>
          <w:b/>
          <w:bCs/>
          <w:color w:val="auto"/>
          <w:sz w:val="32"/>
          <w:szCs w:val="32"/>
          <w:lang w:val="en-US" w:eastAsia="zh-CN"/>
        </w:rPr>
        <w:t>二</w:t>
      </w:r>
      <w:r>
        <w:rPr>
          <w:rFonts w:ascii="仿宋_GB2312" w:cs="仿宋_GB2312" w:eastAsia="仿宋_GB2312" w:hAnsi="仿宋_GB2312" w:hint="eastAsia"/>
          <w:b/>
          <w:bCs/>
          <w:color w:val="auto"/>
          <w:sz w:val="32"/>
          <w:szCs w:val="32"/>
          <w:lang w:val="en-US" w:eastAsia="zh-CN"/>
        </w:rPr>
        <w:t>）坚持以“零容忍”态度维护社会平安稳定。一是强化社会治理能力。</w:t>
      </w:r>
      <w:r>
        <w:rPr>
          <w:rFonts w:ascii="仿宋_GB2312" w:cs="仿宋_GB2312" w:eastAsia="仿宋_GB2312" w:hAnsi="仿宋_GB2312" w:hint="eastAsia"/>
          <w:color w:val="auto"/>
          <w:sz w:val="32"/>
          <w:szCs w:val="32"/>
          <w:lang w:val="en-US" w:eastAsia="zh-CN"/>
        </w:rPr>
        <w:t>深化拓展</w:t>
      </w:r>
      <w:r>
        <w:rPr>
          <w:rFonts w:ascii="仿宋_GB2312" w:cs="仿宋_GB2312" w:eastAsia="仿宋_GB2312" w:hAnsi="仿宋_GB2312" w:hint="eastAsia"/>
          <w:color w:val="auto"/>
          <w:sz w:val="32"/>
          <w:szCs w:val="32"/>
          <w:highlight w:val="none"/>
          <w:lang w:val="en-US" w:eastAsia="zh-CN"/>
        </w:rPr>
        <w:t>“民情地图”，</w:t>
      </w:r>
      <w:r>
        <w:rPr>
          <w:rFonts w:ascii="仿宋_GB2312" w:cs="仿宋_GB2312" w:eastAsia="仿宋_GB2312" w:hAnsi="仿宋_GB2312" w:hint="eastAsia"/>
          <w:color w:val="auto"/>
          <w:sz w:val="32"/>
          <w:szCs w:val="32"/>
          <w:lang w:val="en-US" w:eastAsia="zh-CN"/>
        </w:rPr>
        <w:t>常态化开展消防、禁毒、治安维稳等领域网格巡查，认真落实“一村一研判”制度，排查稳控住重点对象，确保“四个不发生”；</w:t>
      </w:r>
      <w:r>
        <w:rPr>
          <w:rFonts w:ascii="仿宋_GB2312" w:cs="仿宋_GB2312" w:eastAsia="仿宋_GB2312" w:hAnsi="仿宋_GB2312" w:hint="eastAsia"/>
          <w:color w:val="auto"/>
          <w:sz w:val="32"/>
          <w:szCs w:val="32"/>
        </w:rPr>
        <w:t>全面推进社会治安防控体系建设</w:t>
      </w:r>
      <w:r>
        <w:rPr>
          <w:rFonts w:ascii="仿宋_GB2312" w:cs="仿宋_GB2312" w:eastAsia="仿宋_GB2312" w:hAnsi="仿宋_GB2312" w:hint="eastAsia"/>
          <w:color w:val="auto"/>
          <w:sz w:val="32"/>
          <w:szCs w:val="32"/>
          <w:lang w:eastAsia="zh-CN"/>
        </w:rPr>
        <w:t>，落实</w:t>
      </w:r>
      <w:r>
        <w:rPr>
          <w:rFonts w:ascii="仿宋_GB2312" w:cs="仿宋_GB2312" w:eastAsia="仿宋_GB2312" w:hAnsi="仿宋_GB2312" w:hint="eastAsia"/>
          <w:color w:val="auto"/>
          <w:sz w:val="32"/>
          <w:szCs w:val="32"/>
        </w:rPr>
        <w:t>“三日一巡查”</w:t>
      </w:r>
      <w:r>
        <w:rPr>
          <w:rFonts w:ascii="仿宋_GB2312" w:cs="仿宋_GB2312" w:eastAsia="仿宋_GB2312" w:hAnsi="仿宋_GB2312" w:hint="eastAsia"/>
          <w:color w:val="auto"/>
          <w:sz w:val="32"/>
          <w:szCs w:val="32"/>
          <w:lang w:eastAsia="zh-CN"/>
        </w:rPr>
        <w:t>工作制度</w:t>
      </w:r>
      <w:r>
        <w:rPr>
          <w:rFonts w:ascii="仿宋_GB2312" w:cs="仿宋_GB2312" w:eastAsia="仿宋_GB2312" w:hAnsi="仿宋_GB2312" w:hint="eastAsia"/>
          <w:color w:val="auto"/>
          <w:sz w:val="32"/>
          <w:szCs w:val="32"/>
        </w:rPr>
        <w:t>，</w:t>
      </w:r>
      <w:r>
        <w:rPr>
          <w:rFonts w:ascii="仿宋_GB2312" w:cs="仿宋_GB2312" w:eastAsia="仿宋_GB2312" w:hAnsi="仿宋_GB2312" w:hint="eastAsia"/>
          <w:color w:val="auto"/>
          <w:sz w:val="32"/>
          <w:szCs w:val="32"/>
          <w:lang w:eastAsia="zh-CN"/>
        </w:rPr>
        <w:t>充分发挥</w:t>
      </w:r>
      <w:r>
        <w:rPr>
          <w:rFonts w:ascii="仿宋_GB2312" w:cs="仿宋_GB2312" w:eastAsia="仿宋_GB2312" w:hAnsi="仿宋_GB2312" w:hint="eastAsia"/>
          <w:color w:val="auto"/>
          <w:sz w:val="32"/>
          <w:szCs w:val="32"/>
          <w:lang w:val="en-US" w:eastAsia="zh-CN"/>
        </w:rPr>
        <w:t>88个</w:t>
      </w:r>
      <w:r>
        <w:rPr>
          <w:rFonts w:ascii="仿宋_GB2312" w:cs="仿宋_GB2312" w:eastAsia="仿宋_GB2312" w:hAnsi="仿宋_GB2312" w:hint="eastAsia"/>
          <w:color w:val="auto"/>
          <w:sz w:val="32"/>
          <w:szCs w:val="32"/>
        </w:rPr>
        <w:t>电子监控探头</w:t>
      </w:r>
      <w:r>
        <w:rPr>
          <w:rFonts w:ascii="仿宋_GB2312" w:cs="仿宋_GB2312" w:eastAsia="仿宋_GB2312" w:hAnsi="仿宋_GB2312" w:hint="eastAsia"/>
          <w:color w:val="auto"/>
          <w:sz w:val="32"/>
          <w:szCs w:val="32"/>
          <w:lang w:eastAsia="zh-CN"/>
        </w:rPr>
        <w:t>作用，</w:t>
      </w:r>
      <w:r>
        <w:rPr>
          <w:rFonts w:ascii="仿宋_GB2312" w:cs="仿宋_GB2312" w:eastAsia="仿宋_GB2312" w:hAnsi="仿宋_GB2312" w:hint="eastAsia"/>
          <w:color w:val="auto"/>
          <w:sz w:val="32"/>
          <w:szCs w:val="32"/>
          <w:lang w:val="en-US" w:eastAsia="zh-CN"/>
        </w:rPr>
        <w:t>进一步强化社会治安，有效防范违法犯罪行为</w:t>
      </w:r>
      <w:r>
        <w:rPr>
          <w:rFonts w:ascii="仿宋_GB2312" w:cs="仿宋_GB2312" w:eastAsia="仿宋_GB2312" w:hAnsi="仿宋_GB2312" w:hint="eastAsia"/>
          <w:color w:val="auto"/>
          <w:sz w:val="32"/>
          <w:szCs w:val="32"/>
          <w:highlight w:val="none"/>
          <w:lang w:val="en-US" w:eastAsia="zh-CN"/>
        </w:rPr>
        <w:t>；</w:t>
      </w:r>
      <w:r>
        <w:rPr>
          <w:rFonts w:ascii="仿宋_GB2312" w:cs="仿宋_GB2312" w:eastAsia="仿宋_GB2312" w:hAnsi="仿宋_GB2312" w:hint="eastAsia"/>
          <w:b/>
          <w:bCs/>
          <w:color w:val="auto"/>
          <w:sz w:val="32"/>
          <w:szCs w:val="32"/>
          <w:highlight w:val="none"/>
          <w:lang w:val="en-US" w:eastAsia="zh-CN"/>
        </w:rPr>
        <w:t>二是全面防治安全隐患</w:t>
      </w:r>
      <w:r>
        <w:rPr>
          <w:rFonts w:ascii="仿宋_GB2312" w:cs="仿宋_GB2312" w:eastAsia="仿宋_GB2312" w:hAnsi="仿宋_GB2312" w:hint="eastAsia"/>
          <w:color w:val="auto"/>
          <w:sz w:val="32"/>
          <w:szCs w:val="32"/>
          <w:highlight w:val="none"/>
          <w:lang w:val="en-US" w:eastAsia="zh-CN"/>
        </w:rPr>
        <w:t>。</w:t>
      </w:r>
      <w:r>
        <w:rPr>
          <w:rFonts w:ascii="仿宋_GB2312" w:cs="仿宋_GB2312" w:eastAsia="仿宋_GB2312" w:hAnsi="仿宋_GB2312" w:hint="eastAsia"/>
          <w:color w:val="auto"/>
          <w:sz w:val="32"/>
          <w:szCs w:val="32"/>
          <w:lang w:val="en-US" w:eastAsia="zh-CN"/>
        </w:rPr>
        <w:t>提高应急处置效率，“应急一键通”实现全覆盖，做到早发现、早整治，有效应对安全生产、防汛防风等风险隐患；严厉打击野外用火行为，通过山口设卡和加强巡山等举措，使今年清明节期间实现了“零山火”，扭转了以往遍地“狼烟”的局面；</w:t>
      </w:r>
      <w:r>
        <w:rPr>
          <w:rFonts w:ascii="仿宋_GB2312" w:cs="仿宋_GB2312" w:eastAsia="仿宋_GB2312" w:hAnsi="仿宋_GB2312" w:hint="eastAsia"/>
          <w:b w:val="false"/>
          <w:bCs w:val="false"/>
          <w:color w:val="auto"/>
          <w:sz w:val="32"/>
          <w:szCs w:val="32"/>
          <w:lang w:eastAsia="zh-CN"/>
        </w:rPr>
        <w:t>常态化</w:t>
      </w:r>
      <w:r>
        <w:rPr>
          <w:rFonts w:ascii="仿宋_GB2312" w:cs="仿宋_GB2312" w:eastAsia="仿宋_GB2312" w:hAnsi="仿宋_GB2312" w:hint="eastAsia"/>
          <w:b w:val="false"/>
          <w:bCs w:val="false"/>
          <w:color w:val="auto"/>
          <w:sz w:val="32"/>
          <w:szCs w:val="32"/>
        </w:rPr>
        <w:t>开展</w:t>
      </w:r>
      <w:r>
        <w:rPr>
          <w:rFonts w:ascii="仿宋_GB2312" w:cs="仿宋_GB2312" w:eastAsia="仿宋_GB2312" w:hAnsi="仿宋_GB2312" w:hint="eastAsia"/>
          <w:b w:val="false"/>
          <w:bCs w:val="false"/>
          <w:color w:val="auto"/>
          <w:sz w:val="32"/>
          <w:szCs w:val="32"/>
          <w:lang w:val="en-US" w:eastAsia="zh-CN"/>
        </w:rPr>
        <w:t>居住类场所和314家“三小场所”的</w:t>
      </w:r>
      <w:r>
        <w:rPr>
          <w:rFonts w:ascii="仿宋_GB2312" w:cs="仿宋_GB2312" w:eastAsia="仿宋_GB2312" w:hAnsi="仿宋_GB2312" w:hint="eastAsia"/>
          <w:b w:val="false"/>
          <w:bCs w:val="false"/>
          <w:color w:val="auto"/>
          <w:sz w:val="32"/>
          <w:szCs w:val="32"/>
          <w:lang w:eastAsia="zh-CN"/>
        </w:rPr>
        <w:t>消防安全</w:t>
      </w:r>
      <w:r>
        <w:rPr>
          <w:rFonts w:ascii="仿宋_GB2312" w:cs="仿宋_GB2312" w:eastAsia="仿宋_GB2312" w:hAnsi="仿宋_GB2312" w:hint="eastAsia"/>
          <w:b w:val="false"/>
          <w:bCs w:val="false"/>
          <w:color w:val="auto"/>
          <w:sz w:val="32"/>
          <w:szCs w:val="32"/>
        </w:rPr>
        <w:t>隐患排查</w:t>
      </w:r>
      <w:r>
        <w:rPr>
          <w:rFonts w:ascii="仿宋_GB2312" w:cs="仿宋_GB2312" w:eastAsia="仿宋_GB2312" w:hAnsi="仿宋_GB2312" w:hint="eastAsia"/>
          <w:b w:val="false"/>
          <w:bCs w:val="false"/>
          <w:color w:val="auto"/>
          <w:sz w:val="32"/>
          <w:szCs w:val="32"/>
          <w:lang w:eastAsia="zh-CN"/>
        </w:rPr>
        <w:t>整治</w:t>
      </w:r>
      <w:r>
        <w:rPr>
          <w:rFonts w:ascii="仿宋_GB2312" w:cs="仿宋_GB2312" w:eastAsia="仿宋_GB2312" w:hAnsi="仿宋_GB2312" w:hint="eastAsia"/>
          <w:color w:val="auto"/>
          <w:sz w:val="32"/>
          <w:szCs w:val="32"/>
          <w:lang w:val="en-US" w:eastAsia="zh-CN"/>
        </w:rPr>
        <w:t>；</w:t>
      </w:r>
      <w:r>
        <w:rPr>
          <w:rFonts w:ascii="仿宋_GB2312" w:cs="仿宋_GB2312" w:eastAsia="仿宋_GB2312" w:hAnsi="仿宋_GB2312" w:hint="eastAsia"/>
          <w:b/>
          <w:bCs/>
          <w:color w:val="auto"/>
          <w:sz w:val="32"/>
          <w:szCs w:val="32"/>
          <w:lang w:val="en-US" w:eastAsia="zh-CN"/>
        </w:rPr>
        <w:t>三是严格压实防疫工作。</w:t>
      </w:r>
      <w:r>
        <w:rPr>
          <w:rFonts w:ascii="仿宋_GB2312" w:cs="仿宋_GB2312" w:eastAsia="仿宋_GB2312" w:hAnsi="仿宋_GB2312" w:hint="eastAsia"/>
          <w:color w:val="auto"/>
          <w:sz w:val="32"/>
          <w:szCs w:val="32"/>
          <w:highlight w:val="none"/>
          <w:lang w:val="en-US" w:eastAsia="zh-CN"/>
        </w:rPr>
        <w:t>面对今年疫情多地频发的严峻形势，扎实抓好重点人员、重点场所、重点环节涉疫管控，全面推广“场所码”，落实疫情防控措施；开展“敲门行动”入户排查，加强疫苗接种宣传引导，确保实现应接尽接，持续筑牢群体免疫屏障</w:t>
      </w:r>
      <w:r>
        <w:rPr>
          <w:rFonts w:ascii="仿宋_GB2312" w:cs="仿宋_GB2312" w:eastAsia="仿宋_GB2312" w:hAnsi="仿宋_GB2312" w:hint="eastAsia"/>
          <w:color w:val="auto"/>
          <w:sz w:val="32"/>
          <w:szCs w:val="32"/>
          <w:lang w:val="en-US" w:eastAsia="zh-CN"/>
        </w:rPr>
        <w:t>。</w:t>
      </w:r>
      <w:r>
        <w:rPr>
          <w:rFonts w:ascii="仿宋_GB2312" w:cs="仿宋_GB2312" w:eastAsia="仿宋_GB2312" w:hAnsi="仿宋_GB2312" w:hint="eastAsia"/>
          <w:b/>
          <w:bCs/>
          <w:color w:val="auto"/>
          <w:sz w:val="32"/>
          <w:szCs w:val="32"/>
          <w:lang w:val="en-US" w:eastAsia="zh-CN"/>
        </w:rPr>
        <w:t>四是营造尊法守法氛围。</w:t>
      </w:r>
      <w:r>
        <w:rPr>
          <w:rFonts w:ascii="仿宋_GB2312" w:cs="仿宋_GB2312" w:eastAsia="仿宋_GB2312" w:hAnsi="仿宋_GB2312" w:hint="eastAsia"/>
          <w:color w:val="auto"/>
          <w:sz w:val="32"/>
          <w:szCs w:val="32"/>
          <w:lang w:val="en-US" w:eastAsia="zh-CN"/>
        </w:rPr>
        <w:t>强化普法教育，常态化开展扫黑除恶，坚决打击影响陶河发展大局的不法行为，重点查处“携地要挟”“漫天要价”等不法乱象，严厉惩处</w:t>
      </w:r>
      <w:r>
        <w:rPr>
          <w:rFonts w:ascii="仿宋_GB2312" w:cs="仿宋_GB2312" w:eastAsia="仿宋_GB2312" w:hAnsi="仿宋_GB2312" w:hint="eastAsia"/>
          <w:b w:val="false"/>
          <w:bCs w:val="false"/>
          <w:color w:val="auto"/>
          <w:sz w:val="32"/>
          <w:szCs w:val="32"/>
          <w:lang w:val="en-US" w:eastAsia="zh-CN"/>
        </w:rPr>
        <w:t>“两违”、违法采矿、违法养殖等行为，</w:t>
      </w:r>
      <w:r>
        <w:rPr>
          <w:rFonts w:ascii="仿宋_GB2312" w:cs="仿宋_GB2312" w:eastAsia="仿宋_GB2312" w:hAnsi="仿宋_GB2312" w:hint="eastAsia"/>
          <w:color w:val="auto"/>
          <w:sz w:val="32"/>
          <w:szCs w:val="32"/>
          <w:lang w:val="en-US" w:eastAsia="zh-CN"/>
        </w:rPr>
        <w:t>保持涉毒、涉“两抢一盗”、涉赌、涉诈等高压态势，</w:t>
      </w:r>
      <w:r>
        <w:rPr>
          <w:rFonts w:ascii="仿宋_GB2312" w:cs="仿宋_GB2312" w:eastAsia="仿宋_GB2312" w:hAnsi="仿宋_GB2312" w:hint="eastAsia"/>
          <w:b w:val="false"/>
          <w:bCs w:val="false"/>
          <w:color w:val="auto"/>
          <w:sz w:val="32"/>
          <w:szCs w:val="32"/>
          <w:lang w:val="en-US" w:eastAsia="zh-CN"/>
        </w:rPr>
        <w:t>以“零容忍”的态度，做到“发现一宗，处理一宗”，</w:t>
      </w:r>
      <w:r>
        <w:rPr>
          <w:rFonts w:ascii="仿宋_GB2312" w:cs="仿宋_GB2312" w:eastAsia="仿宋_GB2312" w:hAnsi="仿宋_GB2312" w:hint="eastAsia"/>
          <w:color w:val="auto"/>
          <w:sz w:val="32"/>
          <w:szCs w:val="32"/>
          <w:lang w:val="en-US" w:eastAsia="zh-CN"/>
        </w:rPr>
        <w:t>为陶河发展营造好平安守法的社会秩序</w:t>
      </w:r>
      <w:r>
        <w:rPr>
          <w:rFonts w:ascii="仿宋_GB2312" w:cs="仿宋_GB2312" w:eastAsia="仿宋_GB2312" w:hAnsi="仿宋_GB2312" w:hint="eastAsia"/>
          <w:b w:val="false"/>
          <w:bCs w:val="false"/>
          <w:color w:val="auto"/>
          <w:sz w:val="32"/>
          <w:szCs w:val="32"/>
          <w:lang w:val="en-US" w:eastAsia="zh-CN"/>
        </w:rPr>
        <w:t>。</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600"/>
        <w:ind w:right="0" w:firstLine="643" w:firstLineChars="200"/>
        <w:jc w:val="both"/>
        <w:textAlignment w:val="auto"/>
        <w:rPr>
          <w:rFonts w:ascii="仿宋_GB2312" w:cs="仿宋_GB2312" w:eastAsia="仿宋_GB2312" w:hAnsi="仿宋_GB2312" w:hint="eastAsia"/>
          <w:b w:val="false"/>
          <w:bCs w:val="false"/>
          <w:color w:val="auto"/>
          <w:sz w:val="32"/>
          <w:szCs w:val="32"/>
          <w:lang w:val="en-US" w:eastAsia="zh-CN"/>
        </w:rPr>
      </w:pPr>
      <w:r>
        <w:rPr>
          <w:rFonts w:ascii="仿宋_GB2312" w:cs="仿宋_GB2312" w:eastAsia="仿宋_GB2312" w:hAnsi="仿宋_GB2312" w:hint="eastAsia"/>
          <w:b/>
          <w:bCs/>
          <w:color w:val="auto"/>
          <w:sz w:val="32"/>
          <w:szCs w:val="32"/>
          <w:lang w:val="en-US" w:eastAsia="zh-CN"/>
        </w:rPr>
        <w:t>（</w:t>
      </w:r>
      <w:r>
        <w:rPr>
          <w:rFonts w:cs="仿宋_GB2312" w:hint="eastAsia"/>
          <w:b/>
          <w:bCs/>
          <w:color w:val="auto"/>
          <w:sz w:val="32"/>
          <w:szCs w:val="32"/>
          <w:lang w:val="en-US" w:eastAsia="zh-CN"/>
        </w:rPr>
        <w:t>三</w:t>
      </w:r>
      <w:r>
        <w:rPr>
          <w:rFonts w:ascii="仿宋_GB2312" w:cs="仿宋_GB2312" w:eastAsia="仿宋_GB2312" w:hAnsi="仿宋_GB2312" w:hint="eastAsia"/>
          <w:b/>
          <w:bCs/>
          <w:color w:val="auto"/>
          <w:sz w:val="32"/>
          <w:szCs w:val="32"/>
          <w:lang w:val="en-US" w:eastAsia="zh-CN"/>
        </w:rPr>
        <w:t>）坚持以严实作风持续增进民生福祉。</w:t>
      </w:r>
      <w:r>
        <w:rPr>
          <w:rFonts w:ascii="仿宋_GB2312" w:cs="仿宋_GB2312" w:eastAsia="仿宋_GB2312" w:hAnsi="仿宋_GB2312" w:hint="eastAsia"/>
          <w:b/>
          <w:bCs/>
          <w:i w:val="false"/>
          <w:iCs w:val="false"/>
          <w:color w:val="auto"/>
          <w:sz w:val="32"/>
          <w:szCs w:val="32"/>
          <w:lang w:val="en-US" w:eastAsia="zh-CN"/>
        </w:rPr>
        <w:t>一是抓好抓优政务环境</w:t>
      </w:r>
      <w:r>
        <w:rPr>
          <w:rFonts w:ascii="仿宋_GB2312" w:cs="仿宋_GB2312" w:eastAsia="仿宋_GB2312" w:hAnsi="仿宋_GB2312" w:hint="eastAsia"/>
          <w:b/>
          <w:bCs/>
          <w:i w:val="false"/>
          <w:iCs w:val="false"/>
          <w:color w:val="auto"/>
          <w:sz w:val="32"/>
          <w:szCs w:val="32"/>
          <w:lang w:eastAsia="zh-CN"/>
        </w:rPr>
        <w:t>。</w:t>
      </w:r>
      <w:r>
        <w:rPr>
          <w:rFonts w:ascii="仿宋_GB2312" w:cs="仿宋_GB2312" w:eastAsia="仿宋_GB2312" w:hAnsi="仿宋_GB2312" w:hint="eastAsia"/>
          <w:b w:val="false"/>
          <w:bCs w:val="false"/>
          <w:i w:val="false"/>
          <w:iCs w:val="false"/>
          <w:color w:val="auto"/>
          <w:sz w:val="32"/>
          <w:szCs w:val="32"/>
          <w:lang w:eastAsia="zh-CN"/>
        </w:rPr>
        <w:t>牵头加强推进</w:t>
      </w:r>
      <w:r>
        <w:rPr>
          <w:rFonts w:ascii="仿宋_GB2312" w:cs="仿宋_GB2312" w:eastAsia="仿宋_GB2312" w:hAnsi="仿宋_GB2312" w:hint="eastAsia"/>
          <w:b w:val="false"/>
          <w:bCs w:val="false"/>
          <w:i w:val="false"/>
          <w:iCs w:val="false"/>
          <w:color w:val="auto"/>
          <w:sz w:val="32"/>
          <w:szCs w:val="32"/>
          <w:lang w:val="en-US" w:eastAsia="zh-CN"/>
        </w:rPr>
        <w:t>体制改革后半篇文章</w:t>
      </w:r>
      <w:r>
        <w:rPr>
          <w:rFonts w:ascii="仿宋_GB2312" w:cs="仿宋_GB2312" w:eastAsia="仿宋_GB2312" w:hAnsi="仿宋_GB2312" w:hint="eastAsia"/>
          <w:b w:val="false"/>
          <w:bCs w:val="false"/>
          <w:i w:val="false"/>
          <w:iCs w:val="false"/>
          <w:color w:val="auto"/>
          <w:sz w:val="32"/>
          <w:szCs w:val="32"/>
          <w:lang w:eastAsia="zh-CN"/>
        </w:rPr>
        <w:t>，</w:t>
      </w:r>
      <w:r>
        <w:rPr>
          <w:rFonts w:ascii="仿宋_GB2312" w:cs="仿宋_GB2312" w:eastAsia="仿宋_GB2312" w:hAnsi="仿宋_GB2312" w:hint="eastAsia"/>
          <w:b w:val="false"/>
          <w:bCs w:val="false"/>
          <w:i w:val="false"/>
          <w:iCs w:val="false"/>
          <w:color w:val="auto"/>
          <w:sz w:val="32"/>
          <w:szCs w:val="32"/>
          <w:lang w:val="en-US" w:eastAsia="zh-CN"/>
        </w:rPr>
        <w:t>充分发挥“一中心四平台”作用</w:t>
      </w:r>
      <w:r>
        <w:rPr>
          <w:rFonts w:ascii="仿宋_GB2312" w:cs="仿宋_GB2312" w:eastAsia="仿宋_GB2312" w:hAnsi="仿宋_GB2312" w:hint="eastAsia"/>
          <w:b w:val="false"/>
          <w:bCs w:val="false"/>
          <w:i w:val="false"/>
          <w:iCs w:val="false"/>
          <w:color w:val="auto"/>
          <w:sz w:val="32"/>
          <w:szCs w:val="32"/>
          <w:lang w:eastAsia="zh-CN"/>
        </w:rPr>
        <w:t>，推动把支部建在平台上，细化工作制度、工作举措，统筹加强部门之间合作联动；全面强化综合行政执法力量，选优配强执法队伍，整合增容办公场所，配置执法仪、无人机、执法车以及办公电脑等设施设备，加强执法人员业务培训和实战锻炼，确保下放行政执法权限“接得住”“接得稳”“接得好”。另外，选派18名骨干力量下沉基层全脱产驻村（社区），构建“多对一”、“多对多”服务联系</w:t>
      </w:r>
      <w:r>
        <w:rPr>
          <w:rFonts w:ascii="仿宋_GB2312" w:cs="仿宋_GB2312" w:eastAsia="仿宋_GB2312" w:hAnsi="仿宋_GB2312" w:hint="eastAsia"/>
          <w:b w:val="false"/>
          <w:bCs w:val="false"/>
          <w:i w:val="false"/>
          <w:iCs w:val="false"/>
          <w:color w:val="auto"/>
          <w:sz w:val="32"/>
          <w:szCs w:val="32"/>
          <w:lang w:val="en-US" w:eastAsia="zh-CN"/>
        </w:rPr>
        <w:t>企业</w:t>
      </w:r>
      <w:r>
        <w:rPr>
          <w:rFonts w:ascii="仿宋_GB2312" w:cs="仿宋_GB2312" w:eastAsia="仿宋_GB2312" w:hAnsi="仿宋_GB2312" w:hint="eastAsia"/>
          <w:b w:val="false"/>
          <w:bCs w:val="false"/>
          <w:i w:val="false"/>
          <w:iCs w:val="false"/>
          <w:color w:val="auto"/>
          <w:sz w:val="32"/>
          <w:szCs w:val="32"/>
          <w:lang w:eastAsia="zh-CN"/>
        </w:rPr>
        <w:t>群众，帮助解决“急难愁盼”问题1500余件</w:t>
      </w:r>
      <w:r>
        <w:rPr>
          <w:rFonts w:ascii="仿宋_GB2312" w:cs="仿宋_GB2312" w:eastAsia="仿宋_GB2312" w:hAnsi="仿宋_GB2312" w:hint="eastAsia"/>
          <w:b w:val="false"/>
          <w:bCs w:val="false"/>
          <w:color w:val="auto"/>
          <w:kern w:val="0"/>
          <w:sz w:val="32"/>
          <w:szCs w:val="32"/>
          <w:highlight w:val="none"/>
          <w:lang w:val="en-US" w:eastAsia="zh-CN"/>
        </w:rPr>
        <w:t>。</w:t>
      </w:r>
      <w:r>
        <w:rPr>
          <w:rFonts w:ascii="仿宋_GB2312" w:cs="仿宋_GB2312" w:eastAsia="仿宋_GB2312" w:hAnsi="仿宋_GB2312" w:hint="eastAsia"/>
          <w:b/>
          <w:bCs w:val="false"/>
          <w:color w:val="auto"/>
          <w:kern w:val="0"/>
          <w:sz w:val="32"/>
          <w:szCs w:val="32"/>
          <w:highlight w:val="none"/>
          <w:lang w:val="en-US" w:eastAsia="zh-CN"/>
        </w:rPr>
        <w:t>二是持续改善人居环境。</w:t>
      </w:r>
      <w:r>
        <w:rPr>
          <w:rFonts w:ascii="仿宋_GB2312" w:cs="仿宋_GB2312" w:eastAsia="仿宋_GB2312" w:hAnsi="仿宋_GB2312" w:hint="eastAsia"/>
          <w:b w:val="false"/>
          <w:bCs w:val="false"/>
          <w:color w:val="auto"/>
          <w:sz w:val="32"/>
          <w:szCs w:val="32"/>
          <w:lang w:val="en-US" w:eastAsia="zh-CN"/>
        </w:rPr>
        <w:t>加快推进国土空间规划及村庄建设规划的编制工作，积极谋划陶河市民广场的建设，争取将原陶河粮所和卫生院用地划拨建设市民广场，为群众提供一个休闲娱乐场所，目前各项工作正在有序推进之中，争取短时间内将项目落地；推进</w:t>
      </w:r>
      <w:r>
        <w:rPr>
          <w:rFonts w:ascii="仿宋_GB2312" w:cs="仿宋_GB2312" w:eastAsia="仿宋_GB2312" w:hAnsi="仿宋_GB2312" w:hint="eastAsia"/>
          <w:color w:val="auto"/>
          <w:sz w:val="32"/>
          <w:szCs w:val="32"/>
          <w:lang w:val="en-US" w:eastAsia="zh-CN"/>
        </w:rPr>
        <w:t>镇区示范一条街创建工作</w:t>
      </w:r>
      <w:r>
        <w:rPr>
          <w:rFonts w:ascii="仿宋_GB2312" w:cs="仿宋_GB2312" w:eastAsia="仿宋_GB2312" w:hAnsi="仿宋_GB2312" w:hint="eastAsia"/>
          <w:b w:val="false"/>
          <w:bCs/>
          <w:color w:val="auto"/>
          <w:sz w:val="32"/>
          <w:szCs w:val="32"/>
          <w:lang w:val="en-US" w:eastAsia="zh-CN"/>
        </w:rPr>
        <w:t>，把准“三线”“牛皮癣”、交通秩序、农贸市场等关键环节</w:t>
      </w:r>
      <w:r>
        <w:rPr>
          <w:rFonts w:ascii="仿宋_GB2312" w:cs="仿宋_GB2312" w:eastAsia="仿宋_GB2312" w:hAnsi="仿宋_GB2312" w:hint="eastAsia"/>
          <w:b w:val="false"/>
          <w:bCs w:val="false"/>
          <w:color w:val="auto"/>
          <w:sz w:val="32"/>
          <w:szCs w:val="32"/>
          <w:lang w:val="en-US" w:eastAsia="zh-CN"/>
        </w:rPr>
        <w:t>，开展“一月一主题”</w:t>
      </w:r>
      <w:r>
        <w:rPr>
          <w:rFonts w:ascii="仿宋_GB2312" w:cs="仿宋_GB2312" w:eastAsia="仿宋_GB2312" w:hAnsi="仿宋_GB2312" w:hint="eastAsia"/>
          <w:b w:val="false"/>
          <w:bCs/>
          <w:color w:val="auto"/>
          <w:kern w:val="2"/>
          <w:sz w:val="32"/>
          <w:szCs w:val="32"/>
          <w:lang w:val="en-US" w:bidi="ar-SA" w:eastAsia="zh-CN"/>
        </w:rPr>
        <w:t>整治行动</w:t>
      </w:r>
      <w:r>
        <w:rPr>
          <w:rFonts w:ascii="仿宋_GB2312" w:cs="仿宋_GB2312" w:eastAsia="仿宋_GB2312" w:hAnsi="仿宋_GB2312" w:hint="eastAsia"/>
          <w:color w:val="auto"/>
          <w:sz w:val="32"/>
          <w:szCs w:val="32"/>
          <w:lang w:val="en-US" w:eastAsia="zh-CN"/>
        </w:rPr>
        <w:t>，全面</w:t>
      </w:r>
      <w:r>
        <w:rPr>
          <w:rFonts w:ascii="仿宋_GB2312" w:cs="仿宋_GB2312" w:eastAsia="仿宋_GB2312" w:hAnsi="仿宋_GB2312" w:hint="eastAsia"/>
          <w:b w:val="false"/>
          <w:bCs/>
          <w:color w:val="auto"/>
          <w:sz w:val="32"/>
          <w:szCs w:val="32"/>
          <w:lang w:val="en-US" w:eastAsia="zh-CN"/>
        </w:rPr>
        <w:t>整治</w:t>
      </w:r>
      <w:r>
        <w:rPr>
          <w:rFonts w:ascii="仿宋_GB2312" w:cs="仿宋_GB2312" w:eastAsia="仿宋_GB2312" w:hAnsi="仿宋_GB2312" w:hint="eastAsia"/>
          <w:color w:val="auto"/>
          <w:sz w:val="32"/>
          <w:szCs w:val="32"/>
          <w:lang w:val="en-US" w:eastAsia="zh-CN"/>
        </w:rPr>
        <w:t>摊贩占道、车辆违停、垃圾杂物堆积等顽疾</w:t>
      </w:r>
      <w:r>
        <w:rPr>
          <w:rFonts w:ascii="仿宋_GB2312" w:cs="仿宋_GB2312" w:eastAsia="仿宋_GB2312" w:hAnsi="仿宋_GB2312" w:hint="eastAsia"/>
          <w:b w:val="false"/>
          <w:bCs/>
          <w:color w:val="auto"/>
          <w:sz w:val="32"/>
          <w:szCs w:val="32"/>
          <w:lang w:val="en-US" w:eastAsia="zh-CN"/>
        </w:rPr>
        <w:t>；</w:t>
      </w:r>
      <w:r>
        <w:rPr>
          <w:rFonts w:ascii="仿宋_GB2312" w:cs="仿宋_GB2312" w:eastAsia="仿宋_GB2312" w:hAnsi="仿宋_GB2312" w:hint="eastAsia"/>
          <w:b w:val="false"/>
          <w:bCs w:val="false"/>
          <w:i w:val="false"/>
          <w:iCs w:val="false"/>
          <w:color w:val="auto"/>
          <w:sz w:val="32"/>
          <w:szCs w:val="32"/>
          <w:lang w:val="en-US" w:eastAsia="zh-CN"/>
        </w:rPr>
        <w:t>改造垃圾收集点13个，</w:t>
      </w:r>
      <w:r>
        <w:rPr>
          <w:rFonts w:ascii="仿宋_GB2312" w:cs="仿宋_GB2312" w:eastAsia="仿宋_GB2312" w:hAnsi="仿宋_GB2312" w:hint="eastAsia"/>
          <w:color w:val="auto"/>
          <w:sz w:val="32"/>
          <w:szCs w:val="32"/>
          <w:lang w:val="en-US" w:eastAsia="zh-CN"/>
        </w:rPr>
        <w:t>落实垃圾“日产日清”“门前三包”；</w:t>
      </w:r>
      <w:r>
        <w:rPr>
          <w:rFonts w:ascii="仿宋_GB2312" w:cs="仿宋_GB2312" w:eastAsia="仿宋_GB2312" w:hAnsi="仿宋_GB2312" w:hint="eastAsia"/>
          <w:b w:val="false"/>
          <w:bCs w:val="false"/>
          <w:i w:val="false"/>
          <w:iCs w:val="false"/>
          <w:color w:val="auto"/>
          <w:sz w:val="32"/>
          <w:szCs w:val="32"/>
          <w:lang w:val="en-US" w:eastAsia="zh-CN"/>
        </w:rPr>
        <w:t>充分利用村内闲置地，绿化改善闲置地面积建设“四小园”155个</w:t>
      </w:r>
      <w:r>
        <w:rPr>
          <w:rFonts w:ascii="仿宋_GB2312" w:cs="仿宋_GB2312" w:eastAsia="仿宋_GB2312" w:hAnsi="仿宋_GB2312" w:hint="eastAsia"/>
          <w:b w:val="false"/>
          <w:bCs/>
          <w:color w:val="auto"/>
          <w:sz w:val="32"/>
          <w:szCs w:val="32"/>
          <w:lang w:val="en-US" w:eastAsia="zh-CN"/>
        </w:rPr>
        <w:t>，</w:t>
      </w:r>
      <w:r>
        <w:rPr>
          <w:rFonts w:ascii="仿宋_GB2312" w:cs="仿宋_GB2312" w:eastAsia="仿宋_GB2312" w:hAnsi="仿宋_GB2312" w:hint="eastAsia"/>
          <w:color w:val="auto"/>
          <w:sz w:val="32"/>
          <w:szCs w:val="32"/>
          <w:lang w:val="en-US" w:eastAsia="zh-CN"/>
        </w:rPr>
        <w:t>大大改善了居民生活环境。</w:t>
      </w:r>
      <w:r>
        <w:rPr>
          <w:rFonts w:ascii="仿宋_GB2312" w:cs="仿宋_GB2312" w:eastAsia="仿宋_GB2312" w:hAnsi="仿宋_GB2312" w:hint="eastAsia"/>
          <w:b/>
          <w:bCs/>
          <w:color w:val="auto"/>
          <w:sz w:val="32"/>
          <w:szCs w:val="32"/>
          <w:lang w:val="en-US" w:eastAsia="zh-CN"/>
        </w:rPr>
        <w:t>三是大力推动乡风文明</w:t>
      </w:r>
      <w:r>
        <w:rPr>
          <w:rFonts w:ascii="仿宋_GB2312" w:cs="仿宋_GB2312" w:eastAsia="仿宋_GB2312" w:hAnsi="仿宋_GB2312" w:hint="eastAsia"/>
          <w:b w:val="false"/>
          <w:bCs w:val="false"/>
          <w:color w:val="auto"/>
          <w:sz w:val="32"/>
          <w:szCs w:val="32"/>
          <w:lang w:val="en-US" w:eastAsia="zh-CN"/>
        </w:rPr>
        <w:t>。彻底整治农村陈规陋习，</w:t>
      </w:r>
      <w:r>
        <w:rPr>
          <w:rFonts w:ascii="仿宋_GB2312" w:cs="仿宋_GB2312" w:eastAsia="仿宋_GB2312" w:hAnsi="仿宋_GB2312" w:hint="eastAsia"/>
          <w:b w:val="false"/>
          <w:bCs/>
          <w:color w:val="auto"/>
          <w:kern w:val="2"/>
          <w:sz w:val="32"/>
          <w:szCs w:val="32"/>
          <w:lang w:val="en-US" w:bidi="ar-SA" w:eastAsia="zh-CN"/>
        </w:rPr>
        <w:t>开展移风易俗</w:t>
      </w:r>
      <w:r>
        <w:rPr>
          <w:rFonts w:ascii="仿宋_GB2312" w:cs="仿宋_GB2312" w:eastAsia="仿宋_GB2312" w:hAnsi="仿宋_GB2312" w:hint="eastAsia"/>
          <w:b w:val="false"/>
          <w:bCs/>
          <w:i w:val="false"/>
          <w:caps w:val="false"/>
          <w:color w:val="auto"/>
          <w:spacing w:val="0"/>
          <w:w w:val="100"/>
          <w:kern w:val="2"/>
          <w:sz w:val="32"/>
          <w:szCs w:val="32"/>
          <w:lang w:val="en-US" w:bidi="ar-SA" w:eastAsia="zh-CN"/>
        </w:rPr>
        <w:t>主题活动，</w:t>
      </w:r>
      <w:r>
        <w:rPr>
          <w:rFonts w:ascii="仿宋_GB2312" w:cs="仿宋_GB2312" w:eastAsia="仿宋_GB2312" w:hAnsi="仿宋_GB2312" w:hint="eastAsia"/>
          <w:color w:val="auto"/>
          <w:sz w:val="32"/>
          <w:szCs w:val="32"/>
          <w:highlight w:val="none"/>
          <w:lang w:val="en-US" w:eastAsia="zh-CN"/>
        </w:rPr>
        <w:t>发挥专职驻村干部“好邻居”“金厝边”作用，</w:t>
      </w:r>
      <w:r>
        <w:rPr>
          <w:rFonts w:ascii="仿宋_GB2312" w:cs="仿宋_GB2312" w:eastAsia="仿宋_GB2312" w:hAnsi="仿宋_GB2312" w:hint="eastAsia"/>
          <w:b w:val="false"/>
          <w:bCs/>
          <w:color w:val="auto"/>
          <w:kern w:val="2"/>
          <w:sz w:val="32"/>
          <w:szCs w:val="32"/>
          <w:lang w:val="en-US" w:bidi="ar-SA" w:eastAsia="zh-CN"/>
        </w:rPr>
        <w:t>指导落实“一约四会”制度，加强宣传推广“八项倡议”，摈除“大操大办”奢靡之风</w:t>
      </w:r>
      <w:r>
        <w:rPr>
          <w:rFonts w:ascii="仿宋_GB2312" w:cs="仿宋_GB2312" w:eastAsia="仿宋_GB2312" w:hAnsi="仿宋_GB2312" w:hint="eastAsia"/>
          <w:b w:val="false"/>
          <w:bCs/>
          <w:i w:val="false"/>
          <w:caps w:val="false"/>
          <w:color w:val="auto"/>
          <w:spacing w:val="0"/>
          <w:w w:val="100"/>
          <w:sz w:val="32"/>
          <w:szCs w:val="32"/>
          <w:lang w:val="en-US" w:eastAsia="zh-CN"/>
        </w:rPr>
        <w:t>。</w:t>
      </w:r>
      <w:r>
        <w:rPr>
          <w:rFonts w:ascii="仿宋_GB2312" w:cs="仿宋_GB2312" w:eastAsia="仿宋_GB2312" w:hAnsi="仿宋_GB2312" w:hint="eastAsia"/>
          <w:b w:val="false"/>
          <w:bCs w:val="false"/>
          <w:color w:val="auto"/>
          <w:sz w:val="32"/>
          <w:szCs w:val="32"/>
          <w:lang w:val="en-US" w:eastAsia="zh-CN"/>
        </w:rPr>
        <w:t>镇、村两级新时代文明实践站所“五有”建设到位，强化宣传教育，促使群众法治意识、规矩意识及综合素质得到了提升。</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黑体" w:cs="黑体" w:eastAsia="黑体" w:hAnsi="黑体" w:hint="eastAsia"/>
          <w:lang w:val="en-US" w:eastAsia="zh-CN"/>
        </w:rPr>
      </w:pPr>
      <w:r>
        <w:rPr>
          <w:rFonts w:ascii="黑体" w:cs="黑体" w:eastAsia="黑体" w:hAnsi="黑体" w:hint="eastAsia"/>
          <w:lang w:val="en-US" w:eastAsia="zh-CN"/>
        </w:rPr>
        <w:t>二、下一步计划</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hint="default"/>
          <w:lang w:val="en-US" w:eastAsia="zh-CN"/>
        </w:rPr>
      </w:pPr>
      <w:r>
        <w:rPr>
          <w:rFonts w:hint="eastAsia"/>
          <w:lang w:val="en-US" w:eastAsia="zh-CN"/>
        </w:rPr>
        <w:t>下来，我镇将进一步学习领会贯彻党的二十大精神，紧扣乡村振兴发展总体目标，认真落实市委市政府、县委县政府的决策部署，立足镇情、科学谋划，全力推动各项工作任务落地落实，奋力开创陶河经济社会发展新格局。</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hint="default"/>
          <w:lang w:val="en-US" w:eastAsia="zh-CN"/>
        </w:rPr>
      </w:pPr>
      <w:r>
        <w:rPr>
          <w:rFonts w:hint="eastAsia"/>
          <w:b/>
          <w:bCs/>
          <w:lang w:val="en-US" w:eastAsia="zh-CN"/>
        </w:rPr>
        <w:t>一要全面激活产业发展动能。</w:t>
      </w:r>
      <w:r>
        <w:rPr>
          <w:rFonts w:hint="eastAsia"/>
          <w:lang w:val="en-US" w:eastAsia="zh-CN"/>
        </w:rPr>
        <w:t>扎实推进“一村一品、一镇一业”特色农业发展格局，持续挖掘陶河特色资源，进一步谋划大屿莲藕、铁皮石斛等特色产品深加工产业；着力引进一至两家龙头企业，建立“企业+村（社区）+合作社+农户”连带经营模式，合力打造生产、加工、包装闭合循环产业链，推动农业产业规模化、集约化发展；邀请省农科院等专家团队指导企业农户改良种植技术、提升产品产量，同时依托驻镇帮镇扶村工作组资源，主动</w:t>
      </w:r>
      <w:r>
        <w:rPr>
          <w:rFonts w:cs="仿宋_GB2312" w:hint="eastAsia"/>
          <w:color w:val="auto"/>
          <w:lang w:val="en-US" w:eastAsia="zh-CN"/>
        </w:rPr>
        <w:t>对接“双区”大市场，以延伸产业链条、营造品牌效应、拓宽销售渠道、引入电商物流为抓手，持续推动产品增值、产业增收。此外，积极摸索多元发展要素，充分整合土地资源和生产材料，科学谋划乡村旅游、休闲农业、民宿经济等新产业新业态，实现“以旅兴农”。</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hint="eastAsia"/>
          <w:lang w:val="en-US" w:eastAsia="zh-CN"/>
        </w:rPr>
      </w:pPr>
      <w:r>
        <w:rPr>
          <w:rFonts w:hint="eastAsia"/>
          <w:b/>
          <w:bCs/>
          <w:lang w:val="en-US" w:eastAsia="zh-CN"/>
        </w:rPr>
        <w:t>二要全面优化乡村人居环境。</w:t>
      </w:r>
      <w:r>
        <w:rPr>
          <w:rFonts w:hint="eastAsia"/>
          <w:lang w:val="en-US" w:eastAsia="zh-CN"/>
        </w:rPr>
        <w:t>高标准推进“美丽圩镇”建设，不断增强圩镇集聚和辐射功能；深化垃圾、厕所、污水“三大革命”成果，因地制宜推动建设“四小园”，全面扭转“脏乱差”局面；贯彻落实“河长制”，进一步强化黄江东溪辖区河道水质治理，严厉打击沿岸非法养殖、违规排废排污行为；加快推进农村集中供水主管网埋设工程等项目落地，主动对接融入“黄江走廊乡村振兴示范带”规划设计，谋划新一批乡村振兴补短强弱项目，全面完善农村水、电、路、气、通信、广播电视等基础设施，进一步优化乡村生产生活生态环境，筑牢陶河振兴发展基石。</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cs="仿宋_GB2312" w:hint="eastAsia"/>
          <w:b w:val="false"/>
          <w:bCs w:val="false"/>
          <w:kern w:val="2"/>
          <w:sz w:val="32"/>
          <w:szCs w:val="32"/>
          <w:highlight w:val="none"/>
          <w:lang w:val="en-US" w:bidi="ar-SA" w:eastAsia="zh-CN"/>
        </w:rPr>
      </w:pPr>
      <w:r>
        <w:rPr>
          <w:rFonts w:hint="eastAsia"/>
          <w:b/>
          <w:bCs/>
          <w:lang w:val="en-US" w:eastAsia="zh-CN"/>
        </w:rPr>
        <w:t>三要全面夯实社会治理成效。</w:t>
      </w:r>
      <w:r>
        <w:rPr>
          <w:rFonts w:hint="eastAsia"/>
          <w:lang w:val="en-US" w:eastAsia="zh-CN"/>
        </w:rPr>
        <w:t>围绕不发生重大群体性事件和“非访”事件，持续加大信访维稳风险隐患排查力度，</w:t>
      </w:r>
      <w:r>
        <w:rPr>
          <w:rFonts w:ascii="仿宋_GB2312" w:cs="仿宋_GB2312" w:hAnsi="仿宋_GB2312" w:hint="eastAsia"/>
          <w:color w:val="auto"/>
          <w:lang w:val="en-US" w:eastAsia="zh-CN"/>
        </w:rPr>
        <w:t>坚持</w:t>
      </w:r>
      <w:r>
        <w:rPr>
          <w:rFonts w:cs="仿宋_GB2312" w:hint="eastAsia"/>
          <w:color w:val="auto"/>
          <w:lang w:val="en-US" w:eastAsia="zh-CN"/>
        </w:rPr>
        <w:t>关口前移、源头</w:t>
      </w:r>
      <w:r>
        <w:rPr>
          <w:rFonts w:ascii="仿宋_GB2312" w:cs="仿宋_GB2312" w:hAnsi="仿宋_GB2312" w:hint="eastAsia"/>
          <w:color w:val="auto"/>
          <w:lang w:val="en-US" w:eastAsia="zh-CN"/>
        </w:rPr>
        <w:t>处置，实现化“堵”为“疏”，把各类风险隐患化解在萌芽状态，</w:t>
      </w:r>
      <w:r>
        <w:rPr>
          <w:rFonts w:cs="仿宋_GB2312" w:hint="eastAsia"/>
          <w:color w:val="auto"/>
          <w:lang w:val="en-US" w:eastAsia="zh-CN"/>
        </w:rPr>
        <w:t>推动矛盾风险消存量、控增量、防变量；</w:t>
      </w:r>
      <w:r>
        <w:rPr>
          <w:rFonts w:ascii="仿宋_GB2312" w:cs="仿宋_GB2312" w:hAnsi="仿宋_GB2312" w:hint="eastAsia"/>
          <w:color w:val="auto"/>
          <w:lang w:val="en-US" w:eastAsia="zh-CN"/>
        </w:rPr>
        <w:t>强化</w:t>
      </w:r>
      <w:r>
        <w:rPr>
          <w:rFonts w:cs="仿宋_GB2312" w:hint="eastAsia"/>
          <w:color w:val="auto"/>
          <w:lang w:val="en-US" w:eastAsia="zh-CN"/>
        </w:rPr>
        <w:t>数字化管理效能</w:t>
      </w:r>
      <w:r>
        <w:rPr>
          <w:rFonts w:ascii="仿宋_GB2312" w:cs="仿宋_GB2312" w:hAnsi="仿宋_GB2312" w:hint="eastAsia"/>
          <w:color w:val="auto"/>
          <w:lang w:val="en-US" w:eastAsia="zh-CN"/>
        </w:rPr>
        <w:t>，</w:t>
      </w:r>
      <w:r>
        <w:rPr>
          <w:rFonts w:cs="仿宋_GB2312" w:hint="eastAsia"/>
          <w:color w:val="auto"/>
          <w:lang w:val="en-US" w:eastAsia="zh-CN"/>
        </w:rPr>
        <w:t>常用</w:t>
      </w:r>
      <w:r>
        <w:rPr>
          <w:rFonts w:ascii="仿宋_GB2312" w:cs="仿宋_GB2312" w:hAnsi="仿宋_GB2312" w:hint="eastAsia"/>
          <w:color w:val="auto"/>
          <w:lang w:val="en-US" w:eastAsia="zh-CN"/>
        </w:rPr>
        <w:t>活用“民情地图”、“善美</w:t>
      </w:r>
      <w:r>
        <w:rPr>
          <w:rFonts w:cs="仿宋_GB2312" w:hint="eastAsia"/>
          <w:color w:val="auto"/>
          <w:lang w:val="en-US" w:eastAsia="zh-CN"/>
        </w:rPr>
        <w:t>村居</w:t>
      </w:r>
      <w:r>
        <w:rPr>
          <w:rFonts w:ascii="仿宋_GB2312" w:cs="仿宋_GB2312" w:hAnsi="仿宋_GB2312" w:hint="eastAsia"/>
          <w:color w:val="auto"/>
          <w:lang w:val="en-US" w:eastAsia="zh-CN"/>
        </w:rPr>
        <w:t>”，动态掌握村情民情，实现基层情况可视、可管、可控</w:t>
      </w:r>
      <w:r>
        <w:rPr>
          <w:rFonts w:cs="仿宋_GB2312" w:hint="eastAsia"/>
          <w:color w:val="auto"/>
          <w:lang w:val="en-US" w:eastAsia="zh-CN"/>
        </w:rPr>
        <w:t>；</w:t>
      </w:r>
      <w:r>
        <w:rPr>
          <w:rFonts w:ascii="仿宋_GB2312" w:cs="仿宋_GB2312" w:hAnsi="仿宋_GB2312" w:hint="eastAsia"/>
          <w:color w:val="auto"/>
          <w:lang w:val="en-US" w:eastAsia="zh-CN"/>
        </w:rPr>
        <w:t>进一步提升禁毒工作成效，</w:t>
      </w:r>
      <w:r>
        <w:rPr>
          <w:rFonts w:ascii="仿宋_GB2312" w:cs="仿宋_GB2312" w:eastAsia="仿宋_GB2312" w:hAnsi="仿宋_GB2312" w:hint="eastAsia"/>
          <w:b w:val="false"/>
          <w:bCs w:val="false"/>
          <w:kern w:val="2"/>
          <w:sz w:val="32"/>
          <w:szCs w:val="32"/>
          <w:highlight w:val="none"/>
          <w:lang w:val="en-US" w:bidi="ar-SA" w:eastAsia="zh-CN"/>
        </w:rPr>
        <w:t>通过启用县吸毒人员智能管控系统APP（粤康阳光），随时掌握戒毒人员</w:t>
      </w:r>
      <w:r>
        <w:rPr>
          <w:rFonts w:ascii="仿宋_GB2312" w:cs="仿宋_GB2312" w:hAnsi="仿宋_GB2312" w:hint="eastAsia"/>
          <w:b w:val="false"/>
          <w:bCs w:val="false"/>
          <w:kern w:val="2"/>
          <w:sz w:val="32"/>
          <w:szCs w:val="32"/>
          <w:highlight w:val="none"/>
          <w:lang w:val="en-US" w:bidi="ar-SA" w:eastAsia="zh-CN"/>
        </w:rPr>
        <w:t>动态</w:t>
      </w:r>
      <w:r>
        <w:rPr>
          <w:rFonts w:ascii="仿宋_GB2312" w:cs="仿宋_GB2312" w:eastAsia="仿宋_GB2312" w:hAnsi="仿宋_GB2312" w:hint="eastAsia"/>
          <w:b w:val="false"/>
          <w:bCs w:val="false"/>
          <w:kern w:val="2"/>
          <w:sz w:val="32"/>
          <w:szCs w:val="32"/>
          <w:highlight w:val="none"/>
          <w:lang w:val="en-US" w:bidi="ar-SA" w:eastAsia="zh-CN"/>
        </w:rPr>
        <w:t>信息，并定期开展访谈，做到管控到位</w:t>
      </w:r>
      <w:r>
        <w:rPr>
          <w:rFonts w:ascii="仿宋_GB2312" w:cs="仿宋_GB2312" w:hAnsi="仿宋_GB2312" w:hint="eastAsia"/>
          <w:b w:val="false"/>
          <w:bCs w:val="false"/>
          <w:kern w:val="2"/>
          <w:sz w:val="32"/>
          <w:szCs w:val="32"/>
          <w:highlight w:val="none"/>
          <w:lang w:val="en-US" w:bidi="ar-SA" w:eastAsia="zh-CN"/>
        </w:rPr>
        <w:t>、保护到位</w:t>
      </w:r>
      <w:r>
        <w:rPr>
          <w:rFonts w:cs="仿宋_GB2312" w:hint="eastAsia"/>
          <w:b w:val="false"/>
          <w:bCs w:val="false"/>
          <w:kern w:val="2"/>
          <w:sz w:val="32"/>
          <w:szCs w:val="32"/>
          <w:highlight w:val="none"/>
          <w:lang w:val="en-US" w:bidi="ar-SA" w:eastAsia="zh-CN"/>
        </w:rPr>
        <w:t>；牢牢守住安全生产红线，常态化开展消防、自建房、道路交通、防灾减灾等专项巡查排查，做到隐患早发现、早处置；牢牢绷紧疫情防控之弦，坚持“事不过夜、数据清零”原则，对重点人员进行迅速、精准的核查排查和管理管控，筑牢陶河防疫安全屏障。</w:t>
      </w:r>
    </w:p>
    <w:p>
      <w:pPr>
        <w:pStyle w:val="style46"/>
        <w:rPr>
          <w:rFonts w:cs="仿宋_GB2312" w:hint="eastAsia"/>
          <w:b w:val="false"/>
          <w:bCs w:val="false"/>
          <w:kern w:val="2"/>
          <w:sz w:val="32"/>
          <w:szCs w:val="32"/>
          <w:highlight w:val="none"/>
          <w:lang w:val="en-US" w:bidi="ar-SA" w:eastAsia="zh-CN"/>
        </w:rPr>
      </w:pPr>
    </w:p>
    <w:p>
      <w:pPr>
        <w:pStyle w:val="style0"/>
        <w:rPr>
          <w:rFonts w:hint="eastAsia"/>
          <w:lang w:val="en-US" w:eastAsia="zh-CN"/>
        </w:rPr>
      </w:pPr>
    </w:p>
    <w:p>
      <w:pPr>
        <w:pStyle w:val="style46"/>
        <w:ind w:firstLine="5120" w:firstLineChars="1600"/>
        <w:rPr>
          <w:rFonts w:cs="仿宋_GB2312" w:hint="eastAsia"/>
          <w:b w:val="false"/>
          <w:bCs w:val="false"/>
          <w:kern w:val="2"/>
          <w:sz w:val="32"/>
          <w:szCs w:val="32"/>
          <w:highlight w:val="none"/>
          <w:lang w:val="en-US" w:bidi="ar-SA" w:eastAsia="zh-CN"/>
        </w:rPr>
      </w:pPr>
      <w:r>
        <w:rPr>
          <w:rFonts w:cs="仿宋_GB2312" w:hint="eastAsia"/>
          <w:b w:val="false"/>
          <w:bCs w:val="false"/>
          <w:kern w:val="2"/>
          <w:sz w:val="32"/>
          <w:szCs w:val="32"/>
          <w:highlight w:val="none"/>
          <w:lang w:val="en-US" w:bidi="ar-SA" w:eastAsia="zh-CN"/>
        </w:rPr>
        <w:t>海丰县陶河镇人民政府</w:t>
      </w:r>
    </w:p>
    <w:p>
      <w:pPr>
        <w:pStyle w:val="style0"/>
        <w:ind w:firstLine="5440" w:firstLineChars="1700"/>
        <w:rPr>
          <w:rFonts w:hint="default"/>
          <w:lang w:val="en-US" w:eastAsia="zh-CN"/>
        </w:rPr>
      </w:pPr>
      <w:r>
        <w:rPr>
          <w:rFonts w:cs="仿宋_GB2312" w:hint="eastAsia"/>
          <w:b w:val="false"/>
          <w:bCs w:val="false"/>
          <w:kern w:val="2"/>
          <w:sz w:val="32"/>
          <w:szCs w:val="32"/>
          <w:highlight w:val="none"/>
          <w:lang w:val="en-US" w:bidi="ar-SA" w:eastAsia="zh-CN"/>
        </w:rPr>
        <w:t>2022年12月2</w:t>
      </w:r>
      <w:bookmarkStart w:id="0" w:name="_GoBack"/>
      <w:bookmarkEnd w:id="0"/>
      <w:r>
        <w:rPr>
          <w:rFonts w:cs="仿宋_GB2312" w:hint="eastAsia"/>
          <w:b w:val="false"/>
          <w:bCs w:val="false"/>
          <w:kern w:val="2"/>
          <w:sz w:val="32"/>
          <w:szCs w:val="32"/>
          <w:highlight w:val="none"/>
          <w:lang w:val="en-US" w:bidi="ar-SA" w:eastAsia="zh-CN"/>
        </w:rPr>
        <w:t>日</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hint="default"/>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hint="eastAsia"/>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hint="eastAsia"/>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hint="eastAsia"/>
          <w:lang w:val="en-US" w:eastAsia="zh-CN"/>
        </w:rPr>
      </w:pPr>
    </w:p>
    <w:sectPr>
      <w:pgSz w:w="11906" w:h="16838" w:orient="portrait"/>
      <w:pgMar w:top="1440" w:right="1440" w:bottom="1440" w:left="1440" w:header="851" w:footer="992" w:gutter="0"/>
      <w:cols w:space="720" w:num="1"/>
      <w:rtlGutter w:val="false"/>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7a"/>
    <w:family w:val="auto"/>
    <w:pitch w:val="default"/>
    <w:sig w:usb0="E0002AFF" w:usb1="C0007841" w:usb2="00000009" w:usb3="00000000" w:csb0="400001FF" w:csb1="FFFF0000"/>
  </w:font>
  <w:font w:name="宋体">
    <w:altName w:val="宋体"/>
    <w:panose1 w:val="02010600030001010101"/>
    <w:charset w:val="50"/>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仿宋_GB2312">
    <w:altName w:val="仿宋_GB2312"/>
    <w:panose1 w:val="02010609030001010101"/>
    <w:charset w:val="86"/>
    <w:family w:val="auto"/>
    <w:pitch w:val="default"/>
    <w:sig w:usb0="00000001" w:usb1="080E0000" w:usb2="00000000" w:usb3="00000000" w:csb0="00040000" w:csb1="00000000"/>
  </w:font>
  <w:font w:name="方正小标宋简体">
    <w:altName w:val="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rPr>
    </w:rPrDefault>
    <w:pPrDefault>
      <w:pPr/>
    </w:pPrDefault>
  </w:docDefaults>
  <w:style w:type="paragraph" w:default="1" w:styleId="style0">
    <w:name w:val="Normal"/>
    <w:next w:val="style46"/>
    <w:qFormat/>
    <w:uiPriority w:val="0"/>
    <w:pPr>
      <w:widowControl w:val="false"/>
      <w:jc w:val="both"/>
    </w:pPr>
    <w:rPr>
      <w:rFonts w:ascii="仿宋_GB2312" w:cs="仿宋_GB2312" w:eastAsia="仿宋_GB2312" w:hAnsi="仿宋_GB2312"/>
      <w:kern w:val="2"/>
      <w:sz w:val="32"/>
      <w:szCs w:val="32"/>
      <w:lang w:val="en-US" w:bidi="ar-SA" w:eastAsia="zh-CN"/>
    </w:rPr>
  </w:style>
  <w:style w:type="paragraph" w:styleId="style1">
    <w:name w:val="heading 1"/>
    <w:basedOn w:val="style0"/>
    <w:next w:val="style0"/>
    <w:qFormat/>
    <w:uiPriority w:val="0"/>
    <w:pPr>
      <w:keepNext/>
      <w:keepLines/>
      <w:spacing w:before="340" w:beforeAutospacing="false" w:after="330" w:afterAutospacing="false" w:lineRule="auto" w:line="576"/>
      <w:outlineLvl w:val="0"/>
    </w:pPr>
    <w:rPr>
      <w:rFonts w:ascii="Calibri" w:cs="Times New Roman" w:eastAsia="宋体" w:hAnsi="Calibri"/>
      <w:b/>
      <w:kern w:val="44"/>
      <w:sz w:val="44"/>
      <w:szCs w:val="24"/>
    </w:rPr>
  </w:style>
  <w:style w:type="paragraph" w:styleId="style3">
    <w:name w:val="heading 3"/>
    <w:next w:val="style0"/>
    <w:qFormat/>
    <w:uiPriority w:val="0"/>
    <w:pPr>
      <w:keepNext/>
      <w:keepLines/>
      <w:spacing w:before="260" w:beforeAutospacing="false" w:after="260" w:afterAutospacing="false" w:lineRule="auto" w:line="413"/>
      <w:outlineLvl w:val="2"/>
    </w:pPr>
    <w:rPr>
      <w:rFonts w:ascii="Calibri" w:cs="Times New Roman" w:eastAsia="宋体" w:hAnsi="Calibri"/>
      <w:b/>
      <w:sz w:val="32"/>
    </w:rPr>
  </w:style>
  <w:style w:type="character" w:default="1" w:styleId="style65">
    <w:name w:val="Default Paragraph Font"/>
    <w:next w:val="style65"/>
    <w:qFormat/>
    <w:uiPriority w:val="0"/>
    <w:rPr>
      <w:rFonts w:ascii="Times New Roman" w:eastAsia="仿宋_GB2312" w:hAnsi="Times New Roman"/>
      <w:sz w:val="32"/>
    </w:rPr>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46">
    <w:name w:val="toa heading"/>
    <w:basedOn w:val="style0"/>
    <w:next w:val="style0"/>
    <w:qFormat/>
    <w:uiPriority w:val="0"/>
    <w:pPr>
      <w:spacing w:before="120"/>
    </w:pPr>
    <w:rPr>
      <w:rFonts w:ascii="Arial" w:cs="Arial" w:hAnsi="Arial"/>
      <w:sz w:val="24"/>
    </w:rPr>
  </w:style>
  <w:style w:type="paragraph" w:styleId="style66">
    <w:name w:val="Body Text"/>
    <w:basedOn w:val="style0"/>
    <w:next w:val="style66"/>
    <w:qFormat/>
    <w:uiPriority w:val="0"/>
    <w:pPr>
      <w:spacing w:after="120" w:afterAutospacing="false"/>
    </w:pPr>
    <w:rPr/>
  </w:style>
  <w:style w:type="paragraph" w:styleId="style179">
    <w:name w:val="List Paragraph"/>
    <w:basedOn w:val="style0"/>
    <w:next w:val="style0"/>
    <w:qFormat/>
    <w:uiPriority w:val="34"/>
    <w:pPr>
      <w:ind w:firstLine="420" w:firstLineChars="200"/>
    </w:pPr>
    <w:rPr>
      <w:rFonts w:ascii="Calibri" w:cs="Times New Roman" w:eastAsia="宋体" w:hAnsi="Calibri"/>
      <w:sz w:val="21"/>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Words>3095</Words>
  <Pages>6</Pages>
  <Characters>3132</Characters>
  <Application>WPS Office</Application>
  <DocSecurity>0</DocSecurity>
  <Paragraphs>24</Paragraphs>
  <ScaleCrop>false</ScaleCrop>
  <LinksUpToDate>false</LinksUpToDate>
  <CharactersWithSpaces>3132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2020-12-23T06:53:00Z</dcterms:created>
  <dc:creator>admin</dc:creator>
  <lastModifiedBy>Mi 10</lastModifiedBy>
  <lastPrinted>2022-11-17T07:22:12Z</lastPrinted>
  <dcterms:modified xsi:type="dcterms:W3CDTF">2023-03-21T09:42:44Z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79c9502edf264c6a9df1340beb114b48_23</vt:lpwstr>
  </property>
</Properties>
</file>