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Times New Roman" w:hAnsi="Times New Roman"/>
          <w:b/>
          <w:bCs/>
          <w:color w:val="auto"/>
          <w:sz w:val="48"/>
          <w:szCs w:val="48"/>
          <w:highlight w:val="none"/>
        </w:rPr>
      </w:pPr>
    </w:p>
    <w:p>
      <w:pPr>
        <w:jc w:val="center"/>
        <w:rPr>
          <w:rFonts w:hint="eastAsia" w:ascii="Times New Roman" w:hAnsi="Times New Roman"/>
          <w:b/>
          <w:bCs/>
          <w:color w:val="auto"/>
          <w:sz w:val="48"/>
          <w:szCs w:val="48"/>
          <w:highlight w:val="none"/>
        </w:rPr>
      </w:pPr>
    </w:p>
    <w:p>
      <w:pPr>
        <w:jc w:val="center"/>
        <w:rPr>
          <w:rFonts w:hint="eastAsia" w:ascii="Times New Roman" w:hAnsi="Times New Roman"/>
          <w:b/>
          <w:bCs/>
          <w:color w:val="auto"/>
          <w:sz w:val="48"/>
          <w:szCs w:val="48"/>
          <w:highlight w:val="none"/>
        </w:rPr>
      </w:pPr>
      <w:r>
        <w:rPr>
          <w:rFonts w:hint="eastAsia" w:ascii="Times New Roman" w:hAnsi="Times New Roman"/>
          <w:b/>
          <w:bCs/>
          <w:color w:val="auto"/>
          <w:sz w:val="48"/>
          <w:szCs w:val="48"/>
          <w:highlight w:val="none"/>
        </w:rPr>
        <w:t>海丰县创建广东省园林县城</w:t>
      </w:r>
    </w:p>
    <w:p>
      <w:pPr>
        <w:jc w:val="center"/>
        <w:rPr>
          <w:rFonts w:ascii="Times New Roman" w:hAnsi="Times New Roman"/>
          <w:b/>
          <w:bCs/>
          <w:color w:val="auto"/>
          <w:sz w:val="48"/>
          <w:szCs w:val="48"/>
          <w:highlight w:val="none"/>
        </w:rPr>
      </w:pPr>
      <w:r>
        <w:rPr>
          <w:rFonts w:hint="eastAsia" w:ascii="Times New Roman" w:hAnsi="Times New Roman"/>
          <w:b/>
          <w:bCs/>
          <w:color w:val="auto"/>
          <w:sz w:val="48"/>
          <w:szCs w:val="48"/>
          <w:highlight w:val="none"/>
        </w:rPr>
        <w:t>行动规划</w:t>
      </w:r>
    </w:p>
    <w:p>
      <w:pPr>
        <w:jc w:val="center"/>
        <w:rPr>
          <w:rFonts w:ascii="Times New Roman" w:hAnsi="Times New Roman"/>
          <w:color w:val="auto"/>
          <w:sz w:val="28"/>
          <w:szCs w:val="28"/>
          <w:highlight w:val="none"/>
        </w:rPr>
      </w:pPr>
    </w:p>
    <w:p>
      <w:pPr>
        <w:jc w:val="center"/>
        <w:rPr>
          <w:rFonts w:ascii="Times New Roman" w:hAnsi="Times New Roman"/>
          <w:color w:val="auto"/>
          <w:sz w:val="28"/>
          <w:szCs w:val="28"/>
          <w:highlight w:val="none"/>
        </w:rPr>
      </w:pPr>
    </w:p>
    <w:p>
      <w:pPr>
        <w:jc w:val="center"/>
        <w:rPr>
          <w:rFonts w:ascii="Times New Roman" w:hAnsi="Times New Roman"/>
          <w:color w:val="auto"/>
          <w:sz w:val="28"/>
          <w:szCs w:val="28"/>
          <w:highlight w:val="none"/>
        </w:rPr>
      </w:pPr>
      <w:r>
        <w:rPr>
          <w:rFonts w:ascii="Times New Roman" w:hAnsi="Times New Roman"/>
          <w:color w:val="auto"/>
          <w:sz w:val="28"/>
          <w:szCs w:val="28"/>
          <w:highlight w:val="none"/>
        </w:rPr>
        <w:drawing>
          <wp:inline distT="0" distB="0" distL="114300" distR="114300">
            <wp:extent cx="5238750" cy="3467100"/>
            <wp:effectExtent l="0" t="0" r="6350" b="0"/>
            <wp:docPr id="9"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descr="IMG_256"/>
                    <pic:cNvPicPr>
                      <a:picLocks noChangeAspect="1"/>
                    </pic:cNvPicPr>
                  </pic:nvPicPr>
                  <pic:blipFill>
                    <a:blip r:embed="rId6"/>
                    <a:stretch>
                      <a:fillRect/>
                    </a:stretch>
                  </pic:blipFill>
                  <pic:spPr>
                    <a:xfrm>
                      <a:off x="0" y="0"/>
                      <a:ext cx="5238750" cy="3467100"/>
                    </a:xfrm>
                    <a:prstGeom prst="rect">
                      <a:avLst/>
                    </a:prstGeom>
                    <a:noFill/>
                    <a:ln>
                      <a:noFill/>
                    </a:ln>
                  </pic:spPr>
                </pic:pic>
              </a:graphicData>
            </a:graphic>
          </wp:inline>
        </w:drawing>
      </w:r>
    </w:p>
    <w:p>
      <w:pPr>
        <w:jc w:val="center"/>
        <w:rPr>
          <w:rFonts w:ascii="Times New Roman" w:hAnsi="Times New Roman"/>
          <w:color w:val="auto"/>
          <w:sz w:val="36"/>
          <w:szCs w:val="36"/>
          <w:highlight w:val="none"/>
        </w:rPr>
      </w:pPr>
    </w:p>
    <w:p>
      <w:pPr>
        <w:jc w:val="center"/>
        <w:rPr>
          <w:rFonts w:ascii="Times New Roman" w:hAnsi="Times New Roman"/>
          <w:color w:val="auto"/>
          <w:sz w:val="36"/>
          <w:szCs w:val="36"/>
          <w:highlight w:val="none"/>
        </w:rPr>
      </w:pPr>
      <w:r>
        <w:rPr>
          <w:rFonts w:ascii="Times New Roman" w:hAnsi="Times New Roman"/>
          <w:color w:val="auto"/>
          <w:sz w:val="36"/>
          <w:szCs w:val="36"/>
          <w:highlight w:val="none"/>
        </w:rPr>
        <w:t>“建设沿海经济带靓丽明珠”</w:t>
      </w:r>
    </w:p>
    <w:p>
      <w:pPr>
        <w:jc w:val="center"/>
        <w:rPr>
          <w:rFonts w:ascii="Times New Roman" w:hAnsi="Times New Roman"/>
          <w:color w:val="auto"/>
          <w:sz w:val="28"/>
          <w:szCs w:val="28"/>
          <w:highlight w:val="none"/>
        </w:rPr>
      </w:pPr>
    </w:p>
    <w:p>
      <w:pPr>
        <w:jc w:val="center"/>
        <w:rPr>
          <w:rFonts w:ascii="Times New Roman" w:hAnsi="Times New Roman"/>
          <w:color w:val="auto"/>
          <w:sz w:val="28"/>
          <w:szCs w:val="28"/>
          <w:highlight w:val="none"/>
        </w:rPr>
      </w:pPr>
      <w:r>
        <w:rPr>
          <w:rFonts w:ascii="Times New Roman" w:hAnsi="Times New Roman"/>
          <w:color w:val="auto"/>
          <w:sz w:val="28"/>
          <w:szCs w:val="28"/>
          <w:highlight w:val="none"/>
        </w:rPr>
        <w:t>海丰县住房和城乡建设局</w:t>
      </w:r>
    </w:p>
    <w:p>
      <w:pPr>
        <w:jc w:val="center"/>
        <w:rPr>
          <w:rFonts w:ascii="Times New Roman" w:hAnsi="Times New Roman"/>
          <w:color w:val="auto"/>
          <w:sz w:val="28"/>
          <w:szCs w:val="28"/>
          <w:highlight w:val="none"/>
        </w:rPr>
      </w:pPr>
      <w:r>
        <w:rPr>
          <w:rFonts w:ascii="Times New Roman" w:hAnsi="Times New Roman"/>
          <w:color w:val="auto"/>
          <w:sz w:val="28"/>
          <w:szCs w:val="28"/>
          <w:highlight w:val="none"/>
        </w:rPr>
        <w:t>广州普邦园林股份有限公司</w:t>
      </w:r>
    </w:p>
    <w:p>
      <w:pPr>
        <w:pStyle w:val="2"/>
        <w:ind w:left="0" w:leftChars="0" w:firstLine="0" w:firstLineChars="0"/>
        <w:jc w:val="center"/>
        <w:rPr>
          <w:rFonts w:hint="default" w:ascii="Calibri" w:hAnsi="Calibri"/>
          <w:color w:val="auto"/>
          <w:sz w:val="28"/>
          <w:szCs w:val="24"/>
        </w:rPr>
      </w:pPr>
      <w:r>
        <w:rPr>
          <w:rFonts w:hint="eastAsia"/>
          <w:color w:val="auto"/>
          <w:sz w:val="28"/>
          <w:szCs w:val="24"/>
          <w:lang w:val="en-US" w:eastAsia="zh-CN"/>
        </w:rPr>
        <w:t>二〇二一年一月</w:t>
      </w:r>
    </w:p>
    <w:p>
      <w:pPr>
        <w:jc w:val="center"/>
        <w:rPr>
          <w:rFonts w:ascii="Times New Roman" w:hAnsi="Times New Roman"/>
          <w:color w:val="auto"/>
          <w:sz w:val="28"/>
          <w:szCs w:val="28"/>
          <w:highlight w:val="none"/>
        </w:rPr>
      </w:pPr>
    </w:p>
    <w:p>
      <w:pPr>
        <w:spacing w:line="360" w:lineRule="auto"/>
        <w:jc w:val="left"/>
        <w:rPr>
          <w:rFonts w:ascii="Times New Roman" w:hAnsi="Times New Roman"/>
          <w:b/>
          <w:bCs/>
          <w:color w:val="auto"/>
          <w:sz w:val="28"/>
          <w:szCs w:val="28"/>
          <w:highlight w:val="none"/>
        </w:rPr>
      </w:pPr>
      <w:r>
        <w:rPr>
          <w:rFonts w:ascii="Times New Roman" w:hAnsi="Times New Roman"/>
          <w:b/>
          <w:bCs/>
          <w:color w:val="auto"/>
          <w:sz w:val="28"/>
          <w:szCs w:val="28"/>
          <w:highlight w:val="none"/>
        </w:rPr>
        <w:t>项目名称：</w:t>
      </w:r>
      <w:r>
        <w:rPr>
          <w:rFonts w:hint="eastAsia" w:ascii="Times New Roman" w:hAnsi="Times New Roman"/>
          <w:b/>
          <w:bCs/>
          <w:color w:val="auto"/>
          <w:sz w:val="28"/>
          <w:szCs w:val="28"/>
          <w:highlight w:val="none"/>
        </w:rPr>
        <w:t>海丰</w:t>
      </w:r>
      <w:r>
        <w:rPr>
          <w:rFonts w:ascii="Times New Roman" w:hAnsi="Times New Roman"/>
          <w:b/>
          <w:bCs/>
          <w:color w:val="auto"/>
          <w:sz w:val="28"/>
          <w:szCs w:val="28"/>
          <w:highlight w:val="none"/>
        </w:rPr>
        <w:t>县创建广东省园林县城行动规划</w:t>
      </w:r>
    </w:p>
    <w:p>
      <w:pPr>
        <w:spacing w:line="360" w:lineRule="auto"/>
        <w:jc w:val="left"/>
        <w:rPr>
          <w:rFonts w:ascii="Times New Roman" w:hAnsi="Times New Roman"/>
          <w:b/>
          <w:bCs/>
          <w:color w:val="auto"/>
          <w:sz w:val="28"/>
          <w:szCs w:val="28"/>
          <w:highlight w:val="none"/>
        </w:rPr>
      </w:pPr>
      <w:r>
        <w:rPr>
          <w:rFonts w:ascii="Times New Roman" w:hAnsi="Times New Roman"/>
          <w:b/>
          <w:bCs/>
          <w:color w:val="auto"/>
          <w:sz w:val="28"/>
          <w:szCs w:val="28"/>
          <w:highlight w:val="none"/>
        </w:rPr>
        <w:t>委托单位：</w:t>
      </w:r>
      <w:r>
        <w:rPr>
          <w:rFonts w:hint="eastAsia" w:ascii="Times New Roman" w:hAnsi="Times New Roman"/>
          <w:b/>
          <w:bCs/>
          <w:color w:val="auto"/>
          <w:sz w:val="28"/>
          <w:szCs w:val="28"/>
          <w:highlight w:val="none"/>
        </w:rPr>
        <w:t>海丰</w:t>
      </w:r>
      <w:r>
        <w:rPr>
          <w:rFonts w:ascii="Times New Roman" w:hAnsi="Times New Roman"/>
          <w:b/>
          <w:bCs/>
          <w:color w:val="auto"/>
          <w:sz w:val="28"/>
          <w:szCs w:val="28"/>
          <w:highlight w:val="none"/>
        </w:rPr>
        <w:t>县住房和城乡建设局</w:t>
      </w:r>
    </w:p>
    <w:p>
      <w:pPr>
        <w:spacing w:line="360" w:lineRule="auto"/>
        <w:jc w:val="left"/>
        <w:rPr>
          <w:rFonts w:ascii="Times New Roman" w:hAnsi="Times New Roman"/>
          <w:b/>
          <w:bCs/>
          <w:color w:val="auto"/>
          <w:sz w:val="28"/>
          <w:szCs w:val="28"/>
          <w:highlight w:val="none"/>
        </w:rPr>
      </w:pPr>
      <w:r>
        <w:rPr>
          <w:rFonts w:ascii="Times New Roman" w:hAnsi="Times New Roman"/>
          <w:b/>
          <w:bCs/>
          <w:color w:val="auto"/>
          <w:sz w:val="28"/>
          <w:szCs w:val="28"/>
          <w:highlight w:val="none"/>
        </w:rPr>
        <w:t>编制单位：广州普邦园林股份有限公司</w:t>
      </w:r>
    </w:p>
    <w:p>
      <w:pPr>
        <w:spacing w:line="360" w:lineRule="auto"/>
        <w:jc w:val="left"/>
        <w:rPr>
          <w:rFonts w:ascii="Times New Roman" w:hAnsi="Times New Roman"/>
          <w:b/>
          <w:bCs/>
          <w:color w:val="auto"/>
          <w:sz w:val="28"/>
          <w:szCs w:val="28"/>
          <w:highlight w:val="none"/>
        </w:rPr>
      </w:pPr>
      <w:r>
        <w:rPr>
          <w:rFonts w:ascii="Times New Roman" w:hAnsi="Times New Roman"/>
          <w:b/>
          <w:bCs/>
          <w:color w:val="auto"/>
          <w:sz w:val="28"/>
          <w:szCs w:val="28"/>
          <w:highlight w:val="none"/>
        </w:rPr>
        <w:t>资质证书等级：风景园林工程设计专项  甲级</w:t>
      </w:r>
    </w:p>
    <w:p>
      <w:pPr>
        <w:spacing w:line="360" w:lineRule="auto"/>
        <w:jc w:val="left"/>
        <w:rPr>
          <w:rFonts w:ascii="Times New Roman" w:hAnsi="Times New Roman"/>
          <w:b/>
          <w:bCs/>
          <w:color w:val="auto"/>
          <w:sz w:val="28"/>
          <w:szCs w:val="28"/>
          <w:highlight w:val="none"/>
        </w:rPr>
      </w:pPr>
      <w:r>
        <w:rPr>
          <w:rFonts w:ascii="Times New Roman" w:hAnsi="Times New Roman"/>
          <w:b/>
          <w:bCs/>
          <w:color w:val="auto"/>
          <w:sz w:val="28"/>
          <w:szCs w:val="28"/>
          <w:highlight w:val="none"/>
        </w:rPr>
        <w:t>资质证书编号：A144021183-6/6</w:t>
      </w:r>
    </w:p>
    <w:p>
      <w:pPr>
        <w:spacing w:line="360" w:lineRule="auto"/>
        <w:jc w:val="left"/>
        <w:rPr>
          <w:rFonts w:ascii="Times New Roman" w:hAnsi="Times New Roman"/>
          <w:b/>
          <w:bCs/>
          <w:color w:val="auto"/>
          <w:sz w:val="28"/>
          <w:szCs w:val="28"/>
          <w:highlight w:val="none"/>
        </w:rPr>
      </w:pPr>
    </w:p>
    <w:p>
      <w:pPr>
        <w:spacing w:line="360" w:lineRule="auto"/>
        <w:jc w:val="left"/>
        <w:rPr>
          <w:rFonts w:ascii="Times New Roman" w:hAnsi="Times New Roman"/>
          <w:color w:val="auto"/>
          <w:sz w:val="28"/>
          <w:szCs w:val="28"/>
          <w:highlight w:val="none"/>
        </w:rPr>
      </w:pPr>
      <w:r>
        <w:rPr>
          <w:rFonts w:ascii="Times New Roman" w:hAnsi="Times New Roman"/>
          <w:b/>
          <w:bCs/>
          <w:color w:val="auto"/>
          <w:sz w:val="28"/>
          <w:szCs w:val="28"/>
          <w:highlight w:val="none"/>
        </w:rPr>
        <w:t xml:space="preserve">审    定：  </w:t>
      </w:r>
      <w:r>
        <w:rPr>
          <w:rFonts w:ascii="Times New Roman" w:hAnsi="Times New Roman"/>
          <w:color w:val="auto"/>
          <w:sz w:val="28"/>
          <w:szCs w:val="28"/>
          <w:highlight w:val="none"/>
        </w:rPr>
        <w:t>谭广文    园林教授级高级工程师</w:t>
      </w:r>
    </w:p>
    <w:p>
      <w:pPr>
        <w:spacing w:line="360" w:lineRule="auto"/>
        <w:jc w:val="left"/>
        <w:rPr>
          <w:rFonts w:ascii="Times New Roman" w:hAnsi="Times New Roman"/>
          <w:color w:val="auto"/>
          <w:sz w:val="28"/>
          <w:szCs w:val="28"/>
          <w:highlight w:val="none"/>
        </w:rPr>
      </w:pPr>
      <w:r>
        <w:rPr>
          <w:rFonts w:ascii="Times New Roman" w:hAnsi="Times New Roman"/>
          <w:b/>
          <w:bCs/>
          <w:color w:val="auto"/>
          <w:sz w:val="28"/>
          <w:szCs w:val="28"/>
          <w:highlight w:val="none"/>
        </w:rPr>
        <w:t xml:space="preserve">技术指导：  </w:t>
      </w:r>
      <w:r>
        <w:rPr>
          <w:rFonts w:ascii="Times New Roman" w:hAnsi="Times New Roman"/>
          <w:color w:val="auto"/>
          <w:sz w:val="28"/>
          <w:szCs w:val="28"/>
          <w:highlight w:val="none"/>
        </w:rPr>
        <w:t>李宜斌    风景园林教授级高级工程师</w:t>
      </w:r>
    </w:p>
    <w:p>
      <w:pPr>
        <w:spacing w:line="360" w:lineRule="auto"/>
        <w:jc w:val="left"/>
        <w:rPr>
          <w:rFonts w:ascii="Times New Roman" w:hAnsi="Times New Roman"/>
          <w:color w:val="auto"/>
          <w:sz w:val="28"/>
          <w:szCs w:val="28"/>
          <w:highlight w:val="none"/>
        </w:rPr>
      </w:pPr>
      <w:r>
        <w:rPr>
          <w:rFonts w:ascii="Times New Roman" w:hAnsi="Times New Roman"/>
          <w:b/>
          <w:bCs/>
          <w:color w:val="auto"/>
          <w:sz w:val="28"/>
          <w:szCs w:val="28"/>
          <w:highlight w:val="none"/>
        </w:rPr>
        <w:t xml:space="preserve">审    核：  </w:t>
      </w:r>
      <w:r>
        <w:rPr>
          <w:rFonts w:ascii="Times New Roman" w:hAnsi="Times New Roman"/>
          <w:color w:val="auto"/>
          <w:sz w:val="28"/>
          <w:szCs w:val="28"/>
          <w:highlight w:val="none"/>
        </w:rPr>
        <w:t>李  银    园林高级工程师</w:t>
      </w:r>
    </w:p>
    <w:p>
      <w:pPr>
        <w:spacing w:line="360" w:lineRule="auto"/>
        <w:jc w:val="left"/>
        <w:rPr>
          <w:rFonts w:ascii="Times New Roman" w:hAnsi="Times New Roman"/>
          <w:color w:val="auto"/>
          <w:sz w:val="28"/>
          <w:szCs w:val="28"/>
          <w:highlight w:val="none"/>
        </w:rPr>
      </w:pPr>
    </w:p>
    <w:p>
      <w:pPr>
        <w:spacing w:line="360" w:lineRule="auto"/>
        <w:jc w:val="left"/>
        <w:rPr>
          <w:rFonts w:ascii="Times New Roman" w:hAnsi="Times New Roman"/>
          <w:color w:val="auto"/>
          <w:sz w:val="28"/>
          <w:szCs w:val="28"/>
          <w:highlight w:val="none"/>
        </w:rPr>
      </w:pPr>
      <w:r>
        <w:rPr>
          <w:rFonts w:ascii="Times New Roman" w:hAnsi="Times New Roman"/>
          <w:b/>
          <w:bCs/>
          <w:color w:val="auto"/>
          <w:sz w:val="28"/>
          <w:szCs w:val="28"/>
          <w:highlight w:val="none"/>
        </w:rPr>
        <w:t>项目负责人：</w:t>
      </w:r>
      <w:r>
        <w:rPr>
          <w:rFonts w:ascii="Times New Roman" w:hAnsi="Times New Roman"/>
          <w:color w:val="auto"/>
          <w:sz w:val="28"/>
          <w:szCs w:val="28"/>
          <w:highlight w:val="none"/>
        </w:rPr>
        <w:t>易慧琳    风景园林工程师</w:t>
      </w:r>
    </w:p>
    <w:p>
      <w:pPr>
        <w:spacing w:line="360" w:lineRule="auto"/>
        <w:jc w:val="left"/>
        <w:rPr>
          <w:rFonts w:ascii="Times New Roman" w:hAnsi="Times New Roman"/>
          <w:color w:val="auto"/>
          <w:sz w:val="28"/>
          <w:szCs w:val="28"/>
          <w:highlight w:val="none"/>
        </w:rPr>
      </w:pPr>
      <w:r>
        <w:rPr>
          <w:rFonts w:ascii="Times New Roman" w:hAnsi="Times New Roman"/>
          <w:b/>
          <w:bCs/>
          <w:color w:val="auto"/>
          <w:sz w:val="28"/>
          <w:szCs w:val="28"/>
          <w:highlight w:val="none"/>
        </w:rPr>
        <w:t>规划项目组：</w:t>
      </w:r>
      <w:r>
        <w:rPr>
          <w:rFonts w:ascii="Times New Roman" w:hAnsi="Times New Roman"/>
          <w:color w:val="auto"/>
          <w:sz w:val="28"/>
          <w:szCs w:val="28"/>
          <w:highlight w:val="none"/>
        </w:rPr>
        <w:t>关开朗    风景园林工程师</w:t>
      </w:r>
    </w:p>
    <w:p>
      <w:pPr>
        <w:spacing w:line="360" w:lineRule="auto"/>
        <w:ind w:firstLine="1120" w:firstLineChars="400"/>
        <w:jc w:val="left"/>
        <w:rPr>
          <w:rFonts w:ascii="Times New Roman" w:hAnsi="Times New Roman"/>
          <w:color w:val="auto"/>
          <w:sz w:val="28"/>
          <w:szCs w:val="28"/>
          <w:highlight w:val="none"/>
        </w:rPr>
      </w:pPr>
      <w:r>
        <w:rPr>
          <w:rFonts w:ascii="Times New Roman" w:hAnsi="Times New Roman"/>
          <w:color w:val="auto"/>
          <w:sz w:val="28"/>
          <w:szCs w:val="28"/>
          <w:highlight w:val="none"/>
        </w:rPr>
        <w:t xml:space="preserve">    刘晓洲    风景园林专业硕士</w:t>
      </w:r>
    </w:p>
    <w:p>
      <w:pPr>
        <w:spacing w:line="360" w:lineRule="auto"/>
        <w:jc w:val="left"/>
        <w:rPr>
          <w:rFonts w:ascii="Times New Roman" w:hAnsi="Times New Roman"/>
          <w:color w:val="auto"/>
          <w:sz w:val="28"/>
          <w:szCs w:val="28"/>
          <w:highlight w:val="none"/>
        </w:rPr>
      </w:pPr>
      <w:r>
        <w:rPr>
          <w:rFonts w:ascii="Times New Roman" w:hAnsi="Times New Roman"/>
          <w:color w:val="auto"/>
          <w:sz w:val="28"/>
          <w:szCs w:val="28"/>
          <w:highlight w:val="none"/>
        </w:rPr>
        <w:t xml:space="preserve">            黄  玉    风景园林工程师</w:t>
      </w:r>
    </w:p>
    <w:p>
      <w:pPr>
        <w:spacing w:line="360" w:lineRule="auto"/>
        <w:ind w:firstLine="560"/>
        <w:jc w:val="left"/>
        <w:rPr>
          <w:rFonts w:ascii="Times New Roman" w:hAnsi="Times New Roman"/>
          <w:color w:val="auto"/>
          <w:szCs w:val="28"/>
          <w:highlight w:val="none"/>
        </w:rPr>
      </w:pPr>
      <w:r>
        <w:rPr>
          <w:rFonts w:ascii="Times New Roman" w:hAnsi="Times New Roman"/>
          <w:color w:val="auto"/>
          <w:sz w:val="28"/>
          <w:szCs w:val="28"/>
          <w:highlight w:val="none"/>
        </w:rPr>
        <w:t xml:space="preserve">        </w:t>
      </w:r>
      <w:r>
        <w:rPr>
          <w:rFonts w:hint="eastAsia" w:ascii="Times New Roman" w:hAnsi="Times New Roman"/>
          <w:color w:val="auto"/>
          <w:sz w:val="28"/>
          <w:szCs w:val="28"/>
          <w:highlight w:val="none"/>
        </w:rPr>
        <w:t>邓演文</w:t>
      </w:r>
      <w:r>
        <w:rPr>
          <w:rFonts w:ascii="Times New Roman" w:hAnsi="Times New Roman"/>
          <w:color w:val="auto"/>
          <w:sz w:val="28"/>
          <w:szCs w:val="28"/>
          <w:highlight w:val="none"/>
        </w:rPr>
        <w:t xml:space="preserve">    </w:t>
      </w:r>
      <w:r>
        <w:rPr>
          <w:rFonts w:hint="eastAsia" w:ascii="Times New Roman" w:hAnsi="Times New Roman"/>
          <w:color w:val="auto"/>
          <w:sz w:val="28"/>
          <w:szCs w:val="28"/>
          <w:highlight w:val="none"/>
        </w:rPr>
        <w:t>风景园林专业硕士</w:t>
      </w:r>
    </w:p>
    <w:p>
      <w:pPr>
        <w:spacing w:line="360" w:lineRule="auto"/>
        <w:ind w:firstLine="560"/>
        <w:jc w:val="left"/>
        <w:rPr>
          <w:rFonts w:ascii="Times New Roman" w:hAnsi="Times New Roman"/>
          <w:color w:val="auto"/>
          <w:szCs w:val="28"/>
          <w:highlight w:val="none"/>
        </w:rPr>
      </w:pPr>
      <w:r>
        <w:rPr>
          <w:rFonts w:ascii="Times New Roman" w:hAnsi="Times New Roman"/>
          <w:color w:val="auto"/>
          <w:sz w:val="28"/>
          <w:szCs w:val="28"/>
          <w:highlight w:val="none"/>
        </w:rPr>
        <w:t xml:space="preserve">        </w:t>
      </w:r>
      <w:r>
        <w:rPr>
          <w:rFonts w:hint="eastAsia" w:ascii="Times New Roman" w:hAnsi="Times New Roman"/>
          <w:color w:val="auto"/>
          <w:sz w:val="28"/>
          <w:szCs w:val="28"/>
          <w:highlight w:val="none"/>
        </w:rPr>
        <w:t>陈</w:t>
      </w:r>
      <w:r>
        <w:rPr>
          <w:rFonts w:ascii="Times New Roman" w:hAnsi="Times New Roman"/>
          <w:color w:val="auto"/>
          <w:sz w:val="28"/>
          <w:szCs w:val="28"/>
          <w:highlight w:val="none"/>
        </w:rPr>
        <w:t xml:space="preserve">  </w:t>
      </w:r>
      <w:r>
        <w:rPr>
          <w:rFonts w:hint="eastAsia" w:ascii="Times New Roman" w:hAnsi="Times New Roman"/>
          <w:color w:val="auto"/>
          <w:sz w:val="28"/>
          <w:szCs w:val="28"/>
          <w:highlight w:val="none"/>
        </w:rPr>
        <w:t>笙</w:t>
      </w:r>
      <w:r>
        <w:rPr>
          <w:rFonts w:ascii="Times New Roman" w:hAnsi="Times New Roman"/>
          <w:color w:val="auto"/>
          <w:sz w:val="28"/>
          <w:szCs w:val="28"/>
          <w:highlight w:val="none"/>
        </w:rPr>
        <w:t xml:space="preserve">    </w:t>
      </w:r>
      <w:r>
        <w:rPr>
          <w:rFonts w:hint="eastAsia" w:ascii="Times New Roman" w:hAnsi="Times New Roman"/>
          <w:color w:val="auto"/>
          <w:sz w:val="28"/>
          <w:szCs w:val="28"/>
          <w:highlight w:val="none"/>
        </w:rPr>
        <w:t>风景园林专业硕士</w:t>
      </w:r>
    </w:p>
    <w:p>
      <w:pPr>
        <w:pStyle w:val="2"/>
        <w:ind w:firstLine="560"/>
        <w:rPr>
          <w:rFonts w:ascii="Times New Roman" w:hAnsi="Times New Roman" w:eastAsia="宋体"/>
          <w:color w:val="auto"/>
          <w:szCs w:val="28"/>
          <w:highlight w:val="none"/>
        </w:rPr>
      </w:pPr>
      <w:r>
        <w:rPr>
          <w:rFonts w:ascii="Times New Roman" w:hAnsi="Times New Roman" w:eastAsia="宋体"/>
          <w:color w:val="auto"/>
          <w:szCs w:val="28"/>
          <w:highlight w:val="none"/>
        </w:rPr>
        <w:t xml:space="preserve">     </w:t>
      </w:r>
      <w:r>
        <w:rPr>
          <w:rFonts w:hint="eastAsia" w:ascii="Times New Roman" w:hAnsi="Times New Roman" w:eastAsia="宋体"/>
          <w:color w:val="auto"/>
          <w:szCs w:val="28"/>
          <w:highlight w:val="none"/>
        </w:rPr>
        <w:t>吴友炉</w:t>
      </w:r>
      <w:r>
        <w:rPr>
          <w:rFonts w:ascii="Times New Roman" w:hAnsi="Times New Roman" w:eastAsia="宋体"/>
          <w:color w:val="auto"/>
          <w:szCs w:val="28"/>
          <w:highlight w:val="none"/>
        </w:rPr>
        <w:t xml:space="preserve">    </w:t>
      </w:r>
      <w:r>
        <w:rPr>
          <w:rFonts w:hint="eastAsia" w:ascii="Times New Roman" w:hAnsi="Times New Roman" w:eastAsia="宋体"/>
          <w:color w:val="auto"/>
          <w:szCs w:val="28"/>
          <w:highlight w:val="none"/>
        </w:rPr>
        <w:t>风景园林专业硕士</w:t>
      </w:r>
    </w:p>
    <w:p>
      <w:pPr>
        <w:spacing w:line="360" w:lineRule="auto"/>
        <w:ind w:firstLine="560"/>
        <w:jc w:val="left"/>
        <w:rPr>
          <w:rFonts w:ascii="Times New Roman" w:hAnsi="Times New Roman"/>
          <w:color w:val="auto"/>
          <w:szCs w:val="28"/>
          <w:highlight w:val="none"/>
        </w:rPr>
      </w:pPr>
      <w:r>
        <w:rPr>
          <w:rFonts w:ascii="Times New Roman" w:hAnsi="Times New Roman"/>
          <w:color w:val="auto"/>
          <w:sz w:val="28"/>
          <w:szCs w:val="28"/>
          <w:highlight w:val="none"/>
        </w:rPr>
        <w:t xml:space="preserve">   </w:t>
      </w:r>
    </w:p>
    <w:p>
      <w:pPr>
        <w:pStyle w:val="2"/>
        <w:ind w:firstLine="560"/>
        <w:rPr>
          <w:rFonts w:ascii="Times New Roman" w:hAnsi="Times New Roman" w:eastAsia="宋体"/>
          <w:color w:val="auto"/>
          <w:szCs w:val="28"/>
          <w:highlight w:val="none"/>
        </w:rPr>
      </w:pPr>
      <w:r>
        <w:rPr>
          <w:rFonts w:ascii="Times New Roman" w:hAnsi="Times New Roman" w:eastAsia="宋体"/>
          <w:color w:val="auto"/>
          <w:szCs w:val="28"/>
          <w:highlight w:val="none"/>
        </w:rPr>
        <w:t xml:space="preserve">     </w:t>
      </w:r>
    </w:p>
    <w:p>
      <w:pPr>
        <w:spacing w:line="360" w:lineRule="auto"/>
        <w:ind w:firstLine="1960" w:firstLineChars="700"/>
        <w:jc w:val="left"/>
        <w:rPr>
          <w:rFonts w:ascii="Times New Roman" w:hAnsi="Times New Roman"/>
          <w:color w:val="auto"/>
          <w:sz w:val="28"/>
          <w:szCs w:val="28"/>
          <w:highlight w:val="none"/>
        </w:rPr>
      </w:pPr>
    </w:p>
    <w:p>
      <w:pPr>
        <w:spacing w:line="360" w:lineRule="auto"/>
        <w:jc w:val="left"/>
        <w:rPr>
          <w:rFonts w:ascii="Times New Roman" w:hAnsi="Times New Roman"/>
          <w:color w:val="auto"/>
          <w:sz w:val="28"/>
          <w:szCs w:val="28"/>
          <w:highlight w:val="none"/>
        </w:rPr>
        <w:sectPr>
          <w:footerReference r:id="rId3" w:type="default"/>
          <w:pgSz w:w="11906" w:h="16838"/>
          <w:pgMar w:top="1440" w:right="1800" w:bottom="1440" w:left="1800" w:header="851" w:footer="992" w:gutter="0"/>
          <w:pgNumType w:fmt="numberInDash" w:start="1"/>
          <w:cols w:space="0" w:num="1"/>
          <w:docGrid w:type="lines" w:linePitch="312" w:charSpace="0"/>
        </w:sectPr>
      </w:pPr>
    </w:p>
    <w:p>
      <w:pPr>
        <w:spacing w:line="360" w:lineRule="auto"/>
        <w:jc w:val="center"/>
        <w:rPr>
          <w:rFonts w:ascii="Times New Roman" w:hAnsi="Times New Roman"/>
          <w:b/>
          <w:color w:val="auto"/>
          <w:sz w:val="28"/>
          <w:szCs w:val="28"/>
          <w:highlight w:val="none"/>
        </w:rPr>
      </w:pPr>
      <w:r>
        <w:rPr>
          <w:rFonts w:ascii="Times New Roman" w:hAnsi="Times New Roman"/>
          <w:b/>
          <w:color w:val="auto"/>
          <w:sz w:val="28"/>
          <w:szCs w:val="28"/>
          <w:highlight w:val="none"/>
        </w:rPr>
        <w:t>目</w:t>
      </w:r>
      <w:r>
        <w:rPr>
          <w:rFonts w:hint="eastAsia" w:ascii="Times New Roman" w:hAnsi="Times New Roman"/>
          <w:b/>
          <w:color w:val="auto"/>
          <w:sz w:val="28"/>
          <w:szCs w:val="28"/>
          <w:highlight w:val="none"/>
        </w:rPr>
        <w:t xml:space="preserve">  </w:t>
      </w:r>
      <w:r>
        <w:rPr>
          <w:rFonts w:ascii="Times New Roman" w:hAnsi="Times New Roman"/>
          <w:b/>
          <w:color w:val="auto"/>
          <w:sz w:val="28"/>
          <w:szCs w:val="28"/>
          <w:highlight w:val="none"/>
        </w:rPr>
        <w:t>录</w:t>
      </w:r>
    </w:p>
    <w:p>
      <w:pPr>
        <w:pStyle w:val="15"/>
        <w:tabs>
          <w:tab w:val="right" w:leader="dot" w:pos="9040"/>
        </w:tabs>
      </w:pPr>
      <w:bookmarkStart w:id="0" w:name="_Toc25553"/>
      <w:bookmarkStart w:id="1" w:name="_Toc16431"/>
      <w:r>
        <w:rPr>
          <w:rFonts w:ascii="Times New Roman" w:hAnsi="Times New Roman" w:eastAsia="宋体" w:cs="Times New Roman"/>
          <w:color w:val="auto"/>
          <w:highlight w:val="none"/>
        </w:rPr>
        <w:fldChar w:fldCharType="begin"/>
      </w:r>
      <w:r>
        <w:rPr>
          <w:rFonts w:ascii="Times New Roman" w:hAnsi="Times New Roman" w:eastAsia="宋体" w:cs="Times New Roman"/>
          <w:color w:val="auto"/>
          <w:highlight w:val="none"/>
        </w:rPr>
        <w:instrText xml:space="preserve">TOC \o "1-2" \h \u </w:instrText>
      </w:r>
      <w:r>
        <w:rPr>
          <w:rFonts w:ascii="Times New Roman" w:hAnsi="Times New Roman" w:eastAsia="宋体" w:cs="Times New Roman"/>
          <w:color w:val="auto"/>
          <w:highlight w:val="none"/>
        </w:rPr>
        <w:fldChar w:fldCharType="separate"/>
      </w: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_Toc366 </w:instrText>
      </w:r>
      <w:r>
        <w:rPr>
          <w:rFonts w:ascii="Times New Roman" w:hAnsi="Times New Roman" w:eastAsia="宋体"/>
          <w:highlight w:val="none"/>
        </w:rPr>
        <w:fldChar w:fldCharType="separate"/>
      </w:r>
      <w:r>
        <w:rPr>
          <w:rFonts w:ascii="Times New Roman" w:hAnsi="Times New Roman" w:eastAsia="宋体"/>
          <w:highlight w:val="none"/>
        </w:rPr>
        <w:t>1</w:t>
      </w:r>
      <w:r>
        <w:rPr>
          <w:rFonts w:hint="eastAsia" w:ascii="Times New Roman" w:hAnsi="Times New Roman" w:eastAsia="宋体"/>
          <w:highlight w:val="none"/>
        </w:rPr>
        <w:t xml:space="preserve"> </w:t>
      </w:r>
      <w:r>
        <w:rPr>
          <w:rFonts w:ascii="Times New Roman" w:hAnsi="Times New Roman" w:eastAsia="宋体"/>
          <w:highlight w:val="none"/>
        </w:rPr>
        <w:t>规划背景</w:t>
      </w:r>
      <w:r>
        <w:tab/>
      </w:r>
      <w:r>
        <w:fldChar w:fldCharType="begin"/>
      </w:r>
      <w:r>
        <w:instrText xml:space="preserve"> PAGEREF _Toc366 </w:instrText>
      </w:r>
      <w:r>
        <w:fldChar w:fldCharType="separate"/>
      </w:r>
      <w:r>
        <w:t>- 1 -</w:t>
      </w:r>
      <w:r>
        <w:fldChar w:fldCharType="end"/>
      </w:r>
      <w:r>
        <w:rPr>
          <w:rFonts w:ascii="Times New Roman" w:hAnsi="Times New Roman" w:eastAsia="宋体"/>
          <w:color w:val="auto"/>
          <w:highlight w:val="none"/>
        </w:rPr>
        <w:fldChar w:fldCharType="end"/>
      </w:r>
    </w:p>
    <w:p>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_Toc29624 </w:instrText>
      </w:r>
      <w:r>
        <w:rPr>
          <w:rFonts w:ascii="Times New Roman" w:hAnsi="Times New Roman" w:eastAsia="宋体"/>
          <w:highlight w:val="none"/>
        </w:rPr>
        <w:fldChar w:fldCharType="separate"/>
      </w:r>
      <w:r>
        <w:rPr>
          <w:rFonts w:ascii="Times New Roman" w:hAnsi="Times New Roman" w:eastAsia="宋体"/>
          <w:highlight w:val="none"/>
        </w:rPr>
        <w:t>1.1 国家关于生态文明建设的总体导向</w:t>
      </w:r>
      <w:r>
        <w:tab/>
      </w:r>
      <w:r>
        <w:fldChar w:fldCharType="begin"/>
      </w:r>
      <w:r>
        <w:instrText xml:space="preserve"> PAGEREF _Toc29624 </w:instrText>
      </w:r>
      <w:r>
        <w:fldChar w:fldCharType="separate"/>
      </w:r>
      <w:r>
        <w:t>- 1 -</w:t>
      </w:r>
      <w:r>
        <w:fldChar w:fldCharType="end"/>
      </w:r>
      <w:r>
        <w:rPr>
          <w:rFonts w:ascii="Times New Roman" w:hAnsi="Times New Roman" w:eastAsia="宋体"/>
          <w:color w:val="auto"/>
          <w:highlight w:val="none"/>
        </w:rPr>
        <w:fldChar w:fldCharType="end"/>
      </w:r>
    </w:p>
    <w:p>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_Toc24767 </w:instrText>
      </w:r>
      <w:r>
        <w:rPr>
          <w:rFonts w:ascii="Times New Roman" w:hAnsi="Times New Roman" w:eastAsia="宋体"/>
          <w:highlight w:val="none"/>
        </w:rPr>
        <w:fldChar w:fldCharType="separate"/>
      </w:r>
      <w:r>
        <w:rPr>
          <w:rFonts w:hint="eastAsia" w:ascii="Times New Roman" w:hAnsi="Times New Roman"/>
          <w:highlight w:val="none"/>
        </w:rPr>
        <w:t>1.2 人民对于美好人居环境的需求</w:t>
      </w:r>
      <w:r>
        <w:tab/>
      </w:r>
      <w:r>
        <w:fldChar w:fldCharType="begin"/>
      </w:r>
      <w:r>
        <w:instrText xml:space="preserve"> PAGEREF _Toc24767 </w:instrText>
      </w:r>
      <w:r>
        <w:fldChar w:fldCharType="separate"/>
      </w:r>
      <w:r>
        <w:t>- 2 -</w:t>
      </w:r>
      <w:r>
        <w:fldChar w:fldCharType="end"/>
      </w:r>
      <w:r>
        <w:rPr>
          <w:rFonts w:ascii="Times New Roman" w:hAnsi="Times New Roman" w:eastAsia="宋体"/>
          <w:color w:val="auto"/>
          <w:highlight w:val="none"/>
        </w:rPr>
        <w:fldChar w:fldCharType="end"/>
      </w:r>
    </w:p>
    <w:p>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_Toc9382 </w:instrText>
      </w:r>
      <w:r>
        <w:rPr>
          <w:rFonts w:ascii="Times New Roman" w:hAnsi="Times New Roman" w:eastAsia="宋体"/>
          <w:highlight w:val="none"/>
        </w:rPr>
        <w:fldChar w:fldCharType="separate"/>
      </w:r>
      <w:r>
        <w:rPr>
          <w:rFonts w:ascii="Times New Roman" w:hAnsi="Times New Roman" w:eastAsia="宋体"/>
          <w:highlight w:val="none"/>
        </w:rPr>
        <w:t>1.</w:t>
      </w:r>
      <w:r>
        <w:rPr>
          <w:rFonts w:hint="eastAsia" w:ascii="Times New Roman" w:hAnsi="Times New Roman" w:eastAsia="宋体"/>
          <w:highlight w:val="none"/>
        </w:rPr>
        <w:t>3</w:t>
      </w:r>
      <w:r>
        <w:rPr>
          <w:rFonts w:ascii="Times New Roman" w:hAnsi="Times New Roman" w:eastAsia="宋体"/>
          <w:highlight w:val="none"/>
        </w:rPr>
        <w:t xml:space="preserve"> 住建部关于国家园林城市建设的要求</w:t>
      </w:r>
      <w:r>
        <w:tab/>
      </w:r>
      <w:r>
        <w:fldChar w:fldCharType="begin"/>
      </w:r>
      <w:r>
        <w:instrText xml:space="preserve"> PAGEREF _Toc9382 </w:instrText>
      </w:r>
      <w:r>
        <w:fldChar w:fldCharType="separate"/>
      </w:r>
      <w:r>
        <w:t>- 3 -</w:t>
      </w:r>
      <w:r>
        <w:fldChar w:fldCharType="end"/>
      </w:r>
      <w:r>
        <w:rPr>
          <w:rFonts w:ascii="Times New Roman" w:hAnsi="Times New Roman" w:eastAsia="宋体"/>
          <w:color w:val="auto"/>
          <w:highlight w:val="none"/>
        </w:rPr>
        <w:fldChar w:fldCharType="end"/>
      </w:r>
    </w:p>
    <w:p>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_Toc29671 </w:instrText>
      </w:r>
      <w:r>
        <w:rPr>
          <w:rFonts w:ascii="Times New Roman" w:hAnsi="Times New Roman" w:eastAsia="宋体"/>
          <w:highlight w:val="none"/>
        </w:rPr>
        <w:fldChar w:fldCharType="separate"/>
      </w:r>
      <w:r>
        <w:rPr>
          <w:rFonts w:ascii="Times New Roman" w:hAnsi="Times New Roman" w:eastAsia="宋体"/>
          <w:highlight w:val="none"/>
        </w:rPr>
        <w:t>1.</w:t>
      </w:r>
      <w:r>
        <w:rPr>
          <w:rFonts w:hint="eastAsia" w:ascii="Times New Roman" w:hAnsi="Times New Roman" w:eastAsia="宋体"/>
          <w:highlight w:val="none"/>
        </w:rPr>
        <w:t>4</w:t>
      </w:r>
      <w:r>
        <w:rPr>
          <w:rFonts w:ascii="Times New Roman" w:hAnsi="Times New Roman" w:eastAsia="宋体"/>
          <w:highlight w:val="none"/>
        </w:rPr>
        <w:t xml:space="preserve"> 广东省关于省级园林城市建设的要求</w:t>
      </w:r>
      <w:r>
        <w:tab/>
      </w:r>
      <w:r>
        <w:fldChar w:fldCharType="begin"/>
      </w:r>
      <w:r>
        <w:instrText xml:space="preserve"> PAGEREF _Toc29671 </w:instrText>
      </w:r>
      <w:r>
        <w:fldChar w:fldCharType="separate"/>
      </w:r>
      <w:r>
        <w:t>- 3 -</w:t>
      </w:r>
      <w:r>
        <w:fldChar w:fldCharType="end"/>
      </w:r>
      <w:r>
        <w:rPr>
          <w:rFonts w:ascii="Times New Roman" w:hAnsi="Times New Roman" w:eastAsia="宋体"/>
          <w:color w:val="auto"/>
          <w:highlight w:val="none"/>
        </w:rPr>
        <w:fldChar w:fldCharType="end"/>
      </w:r>
    </w:p>
    <w:p>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_Toc16756 </w:instrText>
      </w:r>
      <w:r>
        <w:rPr>
          <w:rFonts w:ascii="Times New Roman" w:hAnsi="Times New Roman" w:eastAsia="宋体"/>
          <w:highlight w:val="none"/>
        </w:rPr>
        <w:fldChar w:fldCharType="separate"/>
      </w:r>
      <w:r>
        <w:rPr>
          <w:rFonts w:ascii="Times New Roman" w:hAnsi="Times New Roman" w:eastAsia="宋体"/>
          <w:highlight w:val="none"/>
        </w:rPr>
        <w:t>1.</w:t>
      </w:r>
      <w:r>
        <w:rPr>
          <w:rFonts w:hint="eastAsia" w:ascii="Times New Roman" w:hAnsi="Times New Roman" w:eastAsia="宋体"/>
          <w:highlight w:val="none"/>
        </w:rPr>
        <w:t>5</w:t>
      </w:r>
      <w:r>
        <w:rPr>
          <w:rFonts w:ascii="Times New Roman" w:hAnsi="Times New Roman" w:eastAsia="宋体"/>
          <w:highlight w:val="none"/>
        </w:rPr>
        <w:t xml:space="preserve"> 汕尾市关于</w:t>
      </w:r>
      <w:r>
        <w:rPr>
          <w:rFonts w:hint="eastAsia" w:ascii="Times New Roman" w:hAnsi="Times New Roman" w:eastAsia="宋体"/>
          <w:highlight w:val="none"/>
          <w:lang w:val="en-US" w:eastAsia="zh-CN"/>
        </w:rPr>
        <w:t>创建国家园林城市</w:t>
      </w:r>
      <w:r>
        <w:rPr>
          <w:rFonts w:ascii="Times New Roman" w:hAnsi="Times New Roman" w:eastAsia="宋体"/>
          <w:highlight w:val="none"/>
        </w:rPr>
        <w:t>的</w:t>
      </w:r>
      <w:r>
        <w:rPr>
          <w:rFonts w:hint="eastAsia" w:ascii="Times New Roman" w:hAnsi="Times New Roman" w:eastAsia="宋体"/>
          <w:highlight w:val="none"/>
          <w:lang w:val="en-US" w:eastAsia="zh-CN"/>
        </w:rPr>
        <w:t>工作</w:t>
      </w:r>
      <w:r>
        <w:rPr>
          <w:rFonts w:ascii="Times New Roman" w:hAnsi="Times New Roman" w:eastAsia="宋体"/>
          <w:highlight w:val="none"/>
        </w:rPr>
        <w:t>部署</w:t>
      </w:r>
      <w:r>
        <w:tab/>
      </w:r>
      <w:r>
        <w:fldChar w:fldCharType="begin"/>
      </w:r>
      <w:r>
        <w:instrText xml:space="preserve"> PAGEREF _Toc16756 </w:instrText>
      </w:r>
      <w:r>
        <w:fldChar w:fldCharType="separate"/>
      </w:r>
      <w:r>
        <w:t>- 4 -</w:t>
      </w:r>
      <w:r>
        <w:fldChar w:fldCharType="end"/>
      </w:r>
      <w:r>
        <w:rPr>
          <w:rFonts w:ascii="Times New Roman" w:hAnsi="Times New Roman" w:eastAsia="宋体"/>
          <w:color w:val="auto"/>
          <w:highlight w:val="none"/>
        </w:rPr>
        <w:fldChar w:fldCharType="end"/>
      </w:r>
    </w:p>
    <w:p>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_Toc16973 </w:instrText>
      </w:r>
      <w:r>
        <w:rPr>
          <w:rFonts w:ascii="Times New Roman" w:hAnsi="Times New Roman" w:eastAsia="宋体"/>
          <w:highlight w:val="none"/>
        </w:rPr>
        <w:fldChar w:fldCharType="separate"/>
      </w:r>
      <w:r>
        <w:rPr>
          <w:rFonts w:ascii="Times New Roman" w:hAnsi="Times New Roman" w:eastAsia="宋体"/>
          <w:highlight w:val="none"/>
        </w:rPr>
        <w:t>1.</w:t>
      </w:r>
      <w:r>
        <w:rPr>
          <w:rFonts w:hint="eastAsia" w:ascii="Times New Roman" w:hAnsi="Times New Roman" w:eastAsia="宋体"/>
          <w:highlight w:val="none"/>
        </w:rPr>
        <w:t xml:space="preserve">6 </w:t>
      </w:r>
      <w:r>
        <w:rPr>
          <w:rFonts w:ascii="Times New Roman" w:hAnsi="Times New Roman" w:eastAsia="宋体"/>
          <w:highlight w:val="none"/>
        </w:rPr>
        <w:t>海丰县关于</w:t>
      </w:r>
      <w:r>
        <w:rPr>
          <w:rFonts w:hint="eastAsia" w:ascii="Times New Roman" w:hAnsi="Times New Roman" w:eastAsia="宋体"/>
          <w:highlight w:val="none"/>
          <w:lang w:val="en-US" w:eastAsia="zh-CN"/>
        </w:rPr>
        <w:t>创建广东省园林县城的</w:t>
      </w:r>
      <w:r>
        <w:rPr>
          <w:rFonts w:ascii="Times New Roman" w:hAnsi="Times New Roman" w:eastAsia="宋体"/>
          <w:highlight w:val="none"/>
        </w:rPr>
        <w:t>工作部署</w:t>
      </w:r>
      <w:r>
        <w:tab/>
      </w:r>
      <w:r>
        <w:fldChar w:fldCharType="begin"/>
      </w:r>
      <w:r>
        <w:instrText xml:space="preserve"> PAGEREF _Toc16973 </w:instrText>
      </w:r>
      <w:r>
        <w:fldChar w:fldCharType="separate"/>
      </w:r>
      <w:r>
        <w:t>- 4 -</w:t>
      </w:r>
      <w:r>
        <w:fldChar w:fldCharType="end"/>
      </w:r>
      <w:r>
        <w:rPr>
          <w:rFonts w:ascii="Times New Roman" w:hAnsi="Times New Roman" w:eastAsia="宋体"/>
          <w:color w:val="auto"/>
          <w:highlight w:val="none"/>
        </w:rPr>
        <w:fldChar w:fldCharType="end"/>
      </w:r>
    </w:p>
    <w:p>
      <w:pPr>
        <w:pStyle w:val="15"/>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_Toc28917 </w:instrText>
      </w:r>
      <w:r>
        <w:rPr>
          <w:rFonts w:ascii="Times New Roman" w:hAnsi="Times New Roman" w:eastAsia="宋体"/>
          <w:highlight w:val="none"/>
        </w:rPr>
        <w:fldChar w:fldCharType="separate"/>
      </w:r>
      <w:r>
        <w:rPr>
          <w:rFonts w:hint="eastAsia" w:ascii="Times New Roman" w:hAnsi="Times New Roman" w:eastAsia="宋体"/>
          <w:bCs/>
          <w:szCs w:val="32"/>
          <w:highlight w:val="none"/>
        </w:rPr>
        <w:t xml:space="preserve">2 </w:t>
      </w:r>
      <w:r>
        <w:rPr>
          <w:rFonts w:ascii="Times New Roman" w:hAnsi="Times New Roman" w:eastAsia="宋体"/>
          <w:bCs/>
          <w:szCs w:val="32"/>
          <w:highlight w:val="none"/>
        </w:rPr>
        <w:t>规划目的与原则</w:t>
      </w:r>
      <w:r>
        <w:tab/>
      </w:r>
      <w:r>
        <w:fldChar w:fldCharType="begin"/>
      </w:r>
      <w:r>
        <w:instrText xml:space="preserve"> PAGEREF _Toc28917 </w:instrText>
      </w:r>
      <w:r>
        <w:fldChar w:fldCharType="separate"/>
      </w:r>
      <w:r>
        <w:t>- 5 -</w:t>
      </w:r>
      <w:r>
        <w:fldChar w:fldCharType="end"/>
      </w:r>
      <w:r>
        <w:rPr>
          <w:rFonts w:ascii="Times New Roman" w:hAnsi="Times New Roman" w:eastAsia="宋体"/>
          <w:color w:val="auto"/>
          <w:highlight w:val="none"/>
        </w:rPr>
        <w:fldChar w:fldCharType="end"/>
      </w:r>
    </w:p>
    <w:p>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_Toc18521 </w:instrText>
      </w:r>
      <w:r>
        <w:rPr>
          <w:rFonts w:ascii="Times New Roman" w:hAnsi="Times New Roman" w:eastAsia="宋体"/>
          <w:highlight w:val="none"/>
        </w:rPr>
        <w:fldChar w:fldCharType="separate"/>
      </w:r>
      <w:r>
        <w:rPr>
          <w:rFonts w:ascii="Times New Roman" w:hAnsi="Times New Roman" w:eastAsia="宋体"/>
          <w:highlight w:val="none"/>
        </w:rPr>
        <w:t>2.1 规划目的</w:t>
      </w:r>
      <w:r>
        <w:tab/>
      </w:r>
      <w:r>
        <w:fldChar w:fldCharType="begin"/>
      </w:r>
      <w:r>
        <w:instrText xml:space="preserve"> PAGEREF _Toc18521 </w:instrText>
      </w:r>
      <w:r>
        <w:fldChar w:fldCharType="separate"/>
      </w:r>
      <w:r>
        <w:t>- 5 -</w:t>
      </w:r>
      <w:r>
        <w:fldChar w:fldCharType="end"/>
      </w:r>
      <w:r>
        <w:rPr>
          <w:rFonts w:ascii="Times New Roman" w:hAnsi="Times New Roman" w:eastAsia="宋体"/>
          <w:color w:val="auto"/>
          <w:highlight w:val="none"/>
        </w:rPr>
        <w:fldChar w:fldCharType="end"/>
      </w:r>
    </w:p>
    <w:p>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_Toc29509 </w:instrText>
      </w:r>
      <w:r>
        <w:rPr>
          <w:rFonts w:ascii="Times New Roman" w:hAnsi="Times New Roman" w:eastAsia="宋体"/>
          <w:highlight w:val="none"/>
        </w:rPr>
        <w:fldChar w:fldCharType="separate"/>
      </w:r>
      <w:r>
        <w:rPr>
          <w:rFonts w:ascii="Times New Roman" w:hAnsi="Times New Roman" w:eastAsia="宋体"/>
          <w:highlight w:val="none"/>
        </w:rPr>
        <w:t>2.2 规划范围</w:t>
      </w:r>
      <w:r>
        <w:tab/>
      </w:r>
      <w:r>
        <w:fldChar w:fldCharType="begin"/>
      </w:r>
      <w:r>
        <w:instrText xml:space="preserve"> PAGEREF _Toc29509 </w:instrText>
      </w:r>
      <w:r>
        <w:fldChar w:fldCharType="separate"/>
      </w:r>
      <w:r>
        <w:t>- 5 -</w:t>
      </w:r>
      <w:r>
        <w:fldChar w:fldCharType="end"/>
      </w:r>
      <w:r>
        <w:rPr>
          <w:rFonts w:ascii="Times New Roman" w:hAnsi="Times New Roman" w:eastAsia="宋体"/>
          <w:color w:val="auto"/>
          <w:highlight w:val="none"/>
        </w:rPr>
        <w:fldChar w:fldCharType="end"/>
      </w:r>
    </w:p>
    <w:p>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_Toc3495 </w:instrText>
      </w:r>
      <w:r>
        <w:rPr>
          <w:rFonts w:ascii="Times New Roman" w:hAnsi="Times New Roman" w:eastAsia="宋体"/>
          <w:highlight w:val="none"/>
        </w:rPr>
        <w:fldChar w:fldCharType="separate"/>
      </w:r>
      <w:r>
        <w:rPr>
          <w:rFonts w:ascii="Times New Roman" w:hAnsi="Times New Roman" w:eastAsia="宋体"/>
          <w:highlight w:val="none"/>
        </w:rPr>
        <w:t>2.3 总体任务</w:t>
      </w:r>
      <w:r>
        <w:tab/>
      </w:r>
      <w:r>
        <w:fldChar w:fldCharType="begin"/>
      </w:r>
      <w:r>
        <w:instrText xml:space="preserve"> PAGEREF _Toc3495 </w:instrText>
      </w:r>
      <w:r>
        <w:fldChar w:fldCharType="separate"/>
      </w:r>
      <w:r>
        <w:t>- 6 -</w:t>
      </w:r>
      <w:r>
        <w:fldChar w:fldCharType="end"/>
      </w:r>
      <w:r>
        <w:rPr>
          <w:rFonts w:ascii="Times New Roman" w:hAnsi="Times New Roman" w:eastAsia="宋体"/>
          <w:color w:val="auto"/>
          <w:highlight w:val="none"/>
        </w:rPr>
        <w:fldChar w:fldCharType="end"/>
      </w:r>
    </w:p>
    <w:p>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_Toc8641 </w:instrText>
      </w:r>
      <w:r>
        <w:rPr>
          <w:rFonts w:ascii="Times New Roman" w:hAnsi="Times New Roman" w:eastAsia="宋体"/>
          <w:highlight w:val="none"/>
        </w:rPr>
        <w:fldChar w:fldCharType="separate"/>
      </w:r>
      <w:r>
        <w:rPr>
          <w:rFonts w:ascii="Times New Roman" w:hAnsi="Times New Roman" w:eastAsia="宋体"/>
          <w:highlight w:val="none"/>
        </w:rPr>
        <w:t>2.4 规划期限</w:t>
      </w:r>
      <w:r>
        <w:tab/>
      </w:r>
      <w:r>
        <w:fldChar w:fldCharType="begin"/>
      </w:r>
      <w:r>
        <w:instrText xml:space="preserve"> PAGEREF _Toc8641 </w:instrText>
      </w:r>
      <w:r>
        <w:fldChar w:fldCharType="separate"/>
      </w:r>
      <w:r>
        <w:t>- 6 -</w:t>
      </w:r>
      <w:r>
        <w:fldChar w:fldCharType="end"/>
      </w:r>
      <w:r>
        <w:rPr>
          <w:rFonts w:ascii="Times New Roman" w:hAnsi="Times New Roman" w:eastAsia="宋体"/>
          <w:color w:val="auto"/>
          <w:highlight w:val="none"/>
        </w:rPr>
        <w:fldChar w:fldCharType="end"/>
      </w:r>
    </w:p>
    <w:p>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_Toc23972 </w:instrText>
      </w:r>
      <w:r>
        <w:rPr>
          <w:rFonts w:ascii="Times New Roman" w:hAnsi="Times New Roman" w:eastAsia="宋体"/>
          <w:highlight w:val="none"/>
        </w:rPr>
        <w:fldChar w:fldCharType="separate"/>
      </w:r>
      <w:r>
        <w:rPr>
          <w:rFonts w:ascii="Times New Roman" w:hAnsi="Times New Roman" w:eastAsia="宋体"/>
          <w:highlight w:val="none"/>
        </w:rPr>
        <w:t>2.5 规划原则</w:t>
      </w:r>
      <w:r>
        <w:tab/>
      </w:r>
      <w:r>
        <w:fldChar w:fldCharType="begin"/>
      </w:r>
      <w:r>
        <w:instrText xml:space="preserve"> PAGEREF _Toc23972 </w:instrText>
      </w:r>
      <w:r>
        <w:fldChar w:fldCharType="separate"/>
      </w:r>
      <w:r>
        <w:t>- 6 -</w:t>
      </w:r>
      <w:r>
        <w:fldChar w:fldCharType="end"/>
      </w:r>
      <w:r>
        <w:rPr>
          <w:rFonts w:ascii="Times New Roman" w:hAnsi="Times New Roman" w:eastAsia="宋体"/>
          <w:color w:val="auto"/>
          <w:highlight w:val="none"/>
        </w:rPr>
        <w:fldChar w:fldCharType="end"/>
      </w:r>
    </w:p>
    <w:p>
      <w:pPr>
        <w:pStyle w:val="15"/>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_Toc7064 </w:instrText>
      </w:r>
      <w:r>
        <w:rPr>
          <w:rFonts w:ascii="Times New Roman" w:hAnsi="Times New Roman" w:eastAsia="宋体"/>
          <w:highlight w:val="none"/>
        </w:rPr>
        <w:fldChar w:fldCharType="separate"/>
      </w:r>
      <w:r>
        <w:rPr>
          <w:rFonts w:ascii="Times New Roman" w:hAnsi="Times New Roman" w:eastAsia="宋体"/>
          <w:highlight w:val="none"/>
        </w:rPr>
        <w:t>3</w:t>
      </w:r>
      <w:r>
        <w:rPr>
          <w:rFonts w:hint="eastAsia" w:ascii="Times New Roman" w:hAnsi="Times New Roman" w:eastAsia="宋体"/>
          <w:highlight w:val="none"/>
        </w:rPr>
        <w:t xml:space="preserve"> </w:t>
      </w:r>
      <w:r>
        <w:rPr>
          <w:rFonts w:ascii="Times New Roman" w:hAnsi="Times New Roman" w:eastAsia="宋体"/>
          <w:highlight w:val="none"/>
        </w:rPr>
        <w:t>现状分析</w:t>
      </w:r>
      <w:r>
        <w:tab/>
      </w:r>
      <w:r>
        <w:fldChar w:fldCharType="begin"/>
      </w:r>
      <w:r>
        <w:instrText xml:space="preserve"> PAGEREF _Toc7064 </w:instrText>
      </w:r>
      <w:r>
        <w:fldChar w:fldCharType="separate"/>
      </w:r>
      <w:r>
        <w:t>- 7 -</w:t>
      </w:r>
      <w:r>
        <w:fldChar w:fldCharType="end"/>
      </w:r>
      <w:r>
        <w:rPr>
          <w:rFonts w:ascii="Times New Roman" w:hAnsi="Times New Roman" w:eastAsia="宋体"/>
          <w:color w:val="auto"/>
          <w:highlight w:val="none"/>
        </w:rPr>
        <w:fldChar w:fldCharType="end"/>
      </w:r>
    </w:p>
    <w:p>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_Toc15955 </w:instrText>
      </w:r>
      <w:r>
        <w:rPr>
          <w:rFonts w:ascii="Times New Roman" w:hAnsi="Times New Roman" w:eastAsia="宋体"/>
          <w:highlight w:val="none"/>
        </w:rPr>
        <w:fldChar w:fldCharType="separate"/>
      </w:r>
      <w:r>
        <w:rPr>
          <w:rFonts w:ascii="Times New Roman" w:hAnsi="Times New Roman" w:eastAsia="宋体"/>
          <w:highlight w:val="none"/>
        </w:rPr>
        <w:t>3.1 创园基底分析</w:t>
      </w:r>
      <w:r>
        <w:tab/>
      </w:r>
      <w:r>
        <w:fldChar w:fldCharType="begin"/>
      </w:r>
      <w:r>
        <w:instrText xml:space="preserve"> PAGEREF _Toc15955 </w:instrText>
      </w:r>
      <w:r>
        <w:fldChar w:fldCharType="separate"/>
      </w:r>
      <w:r>
        <w:t>- 7 -</w:t>
      </w:r>
      <w:r>
        <w:fldChar w:fldCharType="end"/>
      </w:r>
      <w:r>
        <w:rPr>
          <w:rFonts w:ascii="Times New Roman" w:hAnsi="Times New Roman" w:eastAsia="宋体"/>
          <w:color w:val="auto"/>
          <w:highlight w:val="none"/>
        </w:rPr>
        <w:fldChar w:fldCharType="end"/>
      </w:r>
    </w:p>
    <w:p>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_Toc27660 </w:instrText>
      </w:r>
      <w:r>
        <w:rPr>
          <w:rFonts w:ascii="Times New Roman" w:hAnsi="Times New Roman" w:eastAsia="宋体"/>
          <w:highlight w:val="none"/>
        </w:rPr>
        <w:fldChar w:fldCharType="separate"/>
      </w:r>
      <w:r>
        <w:rPr>
          <w:rFonts w:ascii="Times New Roman" w:hAnsi="Times New Roman" w:eastAsia="宋体"/>
          <w:highlight w:val="none"/>
        </w:rPr>
        <w:t>3.2 省级园林县城指标对比</w:t>
      </w:r>
      <w:r>
        <w:tab/>
      </w:r>
      <w:r>
        <w:fldChar w:fldCharType="begin"/>
      </w:r>
      <w:r>
        <w:instrText xml:space="preserve"> PAGEREF _Toc27660 </w:instrText>
      </w:r>
      <w:r>
        <w:fldChar w:fldCharType="separate"/>
      </w:r>
      <w:r>
        <w:t>- 13 -</w:t>
      </w:r>
      <w:r>
        <w:fldChar w:fldCharType="end"/>
      </w:r>
      <w:r>
        <w:rPr>
          <w:rFonts w:ascii="Times New Roman" w:hAnsi="Times New Roman" w:eastAsia="宋体"/>
          <w:color w:val="auto"/>
          <w:highlight w:val="none"/>
        </w:rPr>
        <w:fldChar w:fldCharType="end"/>
      </w:r>
    </w:p>
    <w:p>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_Toc24081 </w:instrText>
      </w:r>
      <w:r>
        <w:rPr>
          <w:rFonts w:ascii="Times New Roman" w:hAnsi="Times New Roman" w:eastAsia="宋体"/>
          <w:highlight w:val="none"/>
        </w:rPr>
        <w:fldChar w:fldCharType="separate"/>
      </w:r>
      <w:r>
        <w:rPr>
          <w:rFonts w:ascii="Times New Roman" w:hAnsi="Times New Roman" w:eastAsia="宋体"/>
          <w:highlight w:val="none"/>
        </w:rPr>
        <w:t>3.3 存在问题</w:t>
      </w:r>
      <w:r>
        <w:tab/>
      </w:r>
      <w:r>
        <w:fldChar w:fldCharType="begin"/>
      </w:r>
      <w:r>
        <w:instrText xml:space="preserve"> PAGEREF _Toc24081 </w:instrText>
      </w:r>
      <w:r>
        <w:fldChar w:fldCharType="separate"/>
      </w:r>
      <w:r>
        <w:t>- 14 -</w:t>
      </w:r>
      <w:r>
        <w:fldChar w:fldCharType="end"/>
      </w:r>
      <w:r>
        <w:rPr>
          <w:rFonts w:ascii="Times New Roman" w:hAnsi="Times New Roman" w:eastAsia="宋体"/>
          <w:color w:val="auto"/>
          <w:highlight w:val="none"/>
        </w:rPr>
        <w:fldChar w:fldCharType="end"/>
      </w:r>
    </w:p>
    <w:p>
      <w:pPr>
        <w:pStyle w:val="15"/>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_Toc8096 </w:instrText>
      </w:r>
      <w:r>
        <w:rPr>
          <w:rFonts w:ascii="Times New Roman" w:hAnsi="Times New Roman" w:eastAsia="宋体"/>
          <w:highlight w:val="none"/>
        </w:rPr>
        <w:fldChar w:fldCharType="separate"/>
      </w:r>
      <w:r>
        <w:rPr>
          <w:rFonts w:ascii="Times New Roman" w:hAnsi="Times New Roman" w:eastAsia="宋体"/>
          <w:bCs/>
          <w:highlight w:val="none"/>
        </w:rPr>
        <w:t>4 行动规划</w:t>
      </w:r>
      <w:r>
        <w:tab/>
      </w:r>
      <w:r>
        <w:fldChar w:fldCharType="begin"/>
      </w:r>
      <w:r>
        <w:instrText xml:space="preserve"> PAGEREF _Toc8096 </w:instrText>
      </w:r>
      <w:r>
        <w:fldChar w:fldCharType="separate"/>
      </w:r>
      <w:r>
        <w:t>- 21 -</w:t>
      </w:r>
      <w:r>
        <w:fldChar w:fldCharType="end"/>
      </w:r>
      <w:r>
        <w:rPr>
          <w:rFonts w:ascii="Times New Roman" w:hAnsi="Times New Roman" w:eastAsia="宋体"/>
          <w:color w:val="auto"/>
          <w:highlight w:val="none"/>
        </w:rPr>
        <w:fldChar w:fldCharType="end"/>
      </w:r>
    </w:p>
    <w:p>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_Toc14473 </w:instrText>
      </w:r>
      <w:r>
        <w:rPr>
          <w:rFonts w:ascii="Times New Roman" w:hAnsi="Times New Roman" w:eastAsia="宋体"/>
          <w:highlight w:val="none"/>
        </w:rPr>
        <w:fldChar w:fldCharType="separate"/>
      </w:r>
      <w:r>
        <w:rPr>
          <w:rFonts w:ascii="Times New Roman" w:hAnsi="Times New Roman" w:eastAsia="宋体"/>
          <w:bCs/>
          <w:highlight w:val="none"/>
        </w:rPr>
        <w:t>4.1 行动一：高效管理，完善园林县城管控体系</w:t>
      </w:r>
      <w:r>
        <w:tab/>
      </w:r>
      <w:r>
        <w:fldChar w:fldCharType="begin"/>
      </w:r>
      <w:r>
        <w:instrText xml:space="preserve"> PAGEREF _Toc14473 </w:instrText>
      </w:r>
      <w:r>
        <w:fldChar w:fldCharType="separate"/>
      </w:r>
      <w:r>
        <w:t>- 21 -</w:t>
      </w:r>
      <w:r>
        <w:fldChar w:fldCharType="end"/>
      </w:r>
      <w:r>
        <w:rPr>
          <w:rFonts w:ascii="Times New Roman" w:hAnsi="Times New Roman" w:eastAsia="宋体"/>
          <w:color w:val="auto"/>
          <w:highlight w:val="none"/>
        </w:rPr>
        <w:fldChar w:fldCharType="end"/>
      </w:r>
    </w:p>
    <w:p>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_Toc10175 </w:instrText>
      </w:r>
      <w:r>
        <w:rPr>
          <w:rFonts w:ascii="Times New Roman" w:hAnsi="Times New Roman" w:eastAsia="宋体"/>
          <w:highlight w:val="none"/>
        </w:rPr>
        <w:fldChar w:fldCharType="separate"/>
      </w:r>
      <w:r>
        <w:rPr>
          <w:rFonts w:ascii="Times New Roman" w:hAnsi="Times New Roman" w:eastAsia="宋体"/>
          <w:bCs/>
          <w:highlight w:val="none"/>
        </w:rPr>
        <w:t>4.2 行动二：提质增绿，市民共享绿色县城空间</w:t>
      </w:r>
      <w:r>
        <w:tab/>
      </w:r>
      <w:r>
        <w:fldChar w:fldCharType="begin"/>
      </w:r>
      <w:r>
        <w:instrText xml:space="preserve"> PAGEREF _Toc10175 </w:instrText>
      </w:r>
      <w:r>
        <w:fldChar w:fldCharType="separate"/>
      </w:r>
      <w:r>
        <w:t>- 28 -</w:t>
      </w:r>
      <w:r>
        <w:fldChar w:fldCharType="end"/>
      </w:r>
      <w:r>
        <w:rPr>
          <w:rFonts w:ascii="Times New Roman" w:hAnsi="Times New Roman" w:eastAsia="宋体"/>
          <w:color w:val="auto"/>
          <w:highlight w:val="none"/>
        </w:rPr>
        <w:fldChar w:fldCharType="end"/>
      </w:r>
    </w:p>
    <w:p>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_Toc29753 </w:instrText>
      </w:r>
      <w:r>
        <w:rPr>
          <w:rFonts w:ascii="Times New Roman" w:hAnsi="Times New Roman" w:eastAsia="宋体"/>
          <w:highlight w:val="none"/>
        </w:rPr>
        <w:fldChar w:fldCharType="separate"/>
      </w:r>
      <w:r>
        <w:rPr>
          <w:rFonts w:ascii="Times New Roman" w:hAnsi="Times New Roman" w:eastAsia="宋体"/>
          <w:bCs/>
          <w:highlight w:val="none"/>
        </w:rPr>
        <w:t>4.3 行动三：生态保护，守护县城生态安全</w:t>
      </w:r>
      <w:r>
        <w:tab/>
      </w:r>
      <w:r>
        <w:fldChar w:fldCharType="begin"/>
      </w:r>
      <w:r>
        <w:instrText xml:space="preserve"> PAGEREF _Toc29753 </w:instrText>
      </w:r>
      <w:r>
        <w:fldChar w:fldCharType="separate"/>
      </w:r>
      <w:r>
        <w:t>- 45 -</w:t>
      </w:r>
      <w:r>
        <w:fldChar w:fldCharType="end"/>
      </w:r>
      <w:r>
        <w:rPr>
          <w:rFonts w:ascii="Times New Roman" w:hAnsi="Times New Roman" w:eastAsia="宋体"/>
          <w:color w:val="auto"/>
          <w:highlight w:val="none"/>
        </w:rPr>
        <w:fldChar w:fldCharType="end"/>
      </w:r>
    </w:p>
    <w:p>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_Toc10408 </w:instrText>
      </w:r>
      <w:r>
        <w:rPr>
          <w:rFonts w:ascii="Times New Roman" w:hAnsi="Times New Roman" w:eastAsia="宋体"/>
          <w:highlight w:val="none"/>
        </w:rPr>
        <w:fldChar w:fldCharType="separate"/>
      </w:r>
      <w:r>
        <w:rPr>
          <w:rFonts w:ascii="Times New Roman" w:hAnsi="Times New Roman" w:eastAsia="宋体"/>
          <w:bCs/>
          <w:highlight w:val="none"/>
        </w:rPr>
        <w:t>4.4 行动四：城市管理，创建环保、便捷县城</w:t>
      </w:r>
      <w:r>
        <w:tab/>
      </w:r>
      <w:r>
        <w:fldChar w:fldCharType="begin"/>
      </w:r>
      <w:r>
        <w:instrText xml:space="preserve"> PAGEREF _Toc10408 </w:instrText>
      </w:r>
      <w:r>
        <w:fldChar w:fldCharType="separate"/>
      </w:r>
      <w:r>
        <w:t>- 51 -</w:t>
      </w:r>
      <w:r>
        <w:fldChar w:fldCharType="end"/>
      </w:r>
      <w:r>
        <w:rPr>
          <w:rFonts w:ascii="Times New Roman" w:hAnsi="Times New Roman" w:eastAsia="宋体"/>
          <w:color w:val="auto"/>
          <w:highlight w:val="none"/>
        </w:rPr>
        <w:fldChar w:fldCharType="end"/>
      </w:r>
    </w:p>
    <w:p>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_Toc17720 </w:instrText>
      </w:r>
      <w:r>
        <w:rPr>
          <w:rFonts w:ascii="Times New Roman" w:hAnsi="Times New Roman" w:eastAsia="宋体"/>
          <w:highlight w:val="none"/>
        </w:rPr>
        <w:fldChar w:fldCharType="separate"/>
      </w:r>
      <w:r>
        <w:rPr>
          <w:rFonts w:ascii="Times New Roman" w:hAnsi="Times New Roman" w:eastAsia="宋体"/>
          <w:bCs/>
          <w:highlight w:val="none"/>
        </w:rPr>
        <w:t>4.5 行动五：文化传承，保护县城历史风貌</w:t>
      </w:r>
      <w:r>
        <w:tab/>
      </w:r>
      <w:r>
        <w:fldChar w:fldCharType="begin"/>
      </w:r>
      <w:r>
        <w:instrText xml:space="preserve"> PAGEREF _Toc17720 </w:instrText>
      </w:r>
      <w:r>
        <w:fldChar w:fldCharType="separate"/>
      </w:r>
      <w:r>
        <w:t>- 64 -</w:t>
      </w:r>
      <w:r>
        <w:fldChar w:fldCharType="end"/>
      </w:r>
      <w:r>
        <w:rPr>
          <w:rFonts w:ascii="Times New Roman" w:hAnsi="Times New Roman" w:eastAsia="宋体"/>
          <w:color w:val="auto"/>
          <w:highlight w:val="none"/>
        </w:rPr>
        <w:fldChar w:fldCharType="end"/>
      </w:r>
    </w:p>
    <w:p>
      <w:pPr>
        <w:pStyle w:val="15"/>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_Toc27549 </w:instrText>
      </w:r>
      <w:r>
        <w:rPr>
          <w:rFonts w:ascii="Times New Roman" w:hAnsi="Times New Roman" w:eastAsia="宋体"/>
          <w:highlight w:val="none"/>
        </w:rPr>
        <w:fldChar w:fldCharType="separate"/>
      </w:r>
      <w:r>
        <w:rPr>
          <w:rFonts w:ascii="Times New Roman" w:hAnsi="Times New Roman" w:eastAsia="宋体"/>
          <w:bCs/>
          <w:highlight w:val="none"/>
        </w:rPr>
        <w:t>5 保障机制</w:t>
      </w:r>
      <w:r>
        <w:tab/>
      </w:r>
      <w:r>
        <w:fldChar w:fldCharType="begin"/>
      </w:r>
      <w:r>
        <w:instrText xml:space="preserve"> PAGEREF _Toc27549 </w:instrText>
      </w:r>
      <w:r>
        <w:fldChar w:fldCharType="separate"/>
      </w:r>
      <w:r>
        <w:t>- 68 -</w:t>
      </w:r>
      <w:r>
        <w:fldChar w:fldCharType="end"/>
      </w:r>
      <w:r>
        <w:rPr>
          <w:rFonts w:ascii="Times New Roman" w:hAnsi="Times New Roman" w:eastAsia="宋体"/>
          <w:color w:val="auto"/>
          <w:highlight w:val="none"/>
        </w:rPr>
        <w:fldChar w:fldCharType="end"/>
      </w:r>
    </w:p>
    <w:p>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_Toc18210 </w:instrText>
      </w:r>
      <w:r>
        <w:rPr>
          <w:rFonts w:ascii="Times New Roman" w:hAnsi="Times New Roman" w:eastAsia="宋体"/>
          <w:highlight w:val="none"/>
        </w:rPr>
        <w:fldChar w:fldCharType="separate"/>
      </w:r>
      <w:r>
        <w:rPr>
          <w:rFonts w:ascii="Times New Roman" w:hAnsi="Times New Roman" w:eastAsia="宋体"/>
          <w:highlight w:val="none"/>
        </w:rPr>
        <w:t>5.1 强化组织领导</w:t>
      </w:r>
      <w:r>
        <w:tab/>
      </w:r>
      <w:r>
        <w:fldChar w:fldCharType="begin"/>
      </w:r>
      <w:r>
        <w:instrText xml:space="preserve"> PAGEREF _Toc18210 </w:instrText>
      </w:r>
      <w:r>
        <w:fldChar w:fldCharType="separate"/>
      </w:r>
      <w:r>
        <w:t>- 68 -</w:t>
      </w:r>
      <w:r>
        <w:fldChar w:fldCharType="end"/>
      </w:r>
      <w:r>
        <w:rPr>
          <w:rFonts w:ascii="Times New Roman" w:hAnsi="Times New Roman" w:eastAsia="宋体"/>
          <w:color w:val="auto"/>
          <w:highlight w:val="none"/>
        </w:rPr>
        <w:fldChar w:fldCharType="end"/>
      </w:r>
    </w:p>
    <w:p>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_Toc16296 </w:instrText>
      </w:r>
      <w:r>
        <w:rPr>
          <w:rFonts w:ascii="Times New Roman" w:hAnsi="Times New Roman" w:eastAsia="宋体"/>
          <w:highlight w:val="none"/>
        </w:rPr>
        <w:fldChar w:fldCharType="separate"/>
      </w:r>
      <w:r>
        <w:rPr>
          <w:rFonts w:ascii="Times New Roman" w:hAnsi="Times New Roman" w:eastAsia="宋体"/>
          <w:highlight w:val="none"/>
        </w:rPr>
        <w:t>5.2 制定专项方案</w:t>
      </w:r>
      <w:r>
        <w:tab/>
      </w:r>
      <w:r>
        <w:fldChar w:fldCharType="begin"/>
      </w:r>
      <w:r>
        <w:instrText xml:space="preserve"> PAGEREF _Toc16296 </w:instrText>
      </w:r>
      <w:r>
        <w:fldChar w:fldCharType="separate"/>
      </w:r>
      <w:r>
        <w:t>- 68 -</w:t>
      </w:r>
      <w:r>
        <w:fldChar w:fldCharType="end"/>
      </w:r>
      <w:r>
        <w:rPr>
          <w:rFonts w:ascii="Times New Roman" w:hAnsi="Times New Roman" w:eastAsia="宋体"/>
          <w:color w:val="auto"/>
          <w:highlight w:val="none"/>
        </w:rPr>
        <w:fldChar w:fldCharType="end"/>
      </w:r>
    </w:p>
    <w:p>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_Toc3914 </w:instrText>
      </w:r>
      <w:r>
        <w:rPr>
          <w:rFonts w:ascii="Times New Roman" w:hAnsi="Times New Roman" w:eastAsia="宋体"/>
          <w:highlight w:val="none"/>
        </w:rPr>
        <w:fldChar w:fldCharType="separate"/>
      </w:r>
      <w:r>
        <w:rPr>
          <w:rFonts w:ascii="Times New Roman" w:hAnsi="Times New Roman" w:eastAsia="宋体"/>
          <w:highlight w:val="none"/>
        </w:rPr>
        <w:t>5.3 建立考核机制</w:t>
      </w:r>
      <w:r>
        <w:tab/>
      </w:r>
      <w:r>
        <w:fldChar w:fldCharType="begin"/>
      </w:r>
      <w:r>
        <w:instrText xml:space="preserve"> PAGEREF _Toc3914 </w:instrText>
      </w:r>
      <w:r>
        <w:fldChar w:fldCharType="separate"/>
      </w:r>
      <w:r>
        <w:t>- 69 -</w:t>
      </w:r>
      <w:r>
        <w:fldChar w:fldCharType="end"/>
      </w:r>
      <w:r>
        <w:rPr>
          <w:rFonts w:ascii="Times New Roman" w:hAnsi="Times New Roman" w:eastAsia="宋体"/>
          <w:color w:val="auto"/>
          <w:highlight w:val="none"/>
        </w:rPr>
        <w:fldChar w:fldCharType="end"/>
      </w:r>
    </w:p>
    <w:p>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_Toc9590 </w:instrText>
      </w:r>
      <w:r>
        <w:rPr>
          <w:rFonts w:ascii="Times New Roman" w:hAnsi="Times New Roman" w:eastAsia="宋体"/>
          <w:highlight w:val="none"/>
        </w:rPr>
        <w:fldChar w:fldCharType="separate"/>
      </w:r>
      <w:r>
        <w:rPr>
          <w:rFonts w:ascii="Times New Roman" w:hAnsi="Times New Roman" w:eastAsia="宋体"/>
          <w:highlight w:val="none"/>
        </w:rPr>
        <w:t>5.4 舆论</w:t>
      </w:r>
      <w:r>
        <w:rPr>
          <w:rFonts w:hint="eastAsia" w:ascii="Times New Roman" w:hAnsi="Times New Roman" w:eastAsia="宋体"/>
          <w:highlight w:val="none"/>
        </w:rPr>
        <w:t>引导</w:t>
      </w:r>
      <w:r>
        <w:tab/>
      </w:r>
      <w:r>
        <w:fldChar w:fldCharType="begin"/>
      </w:r>
      <w:r>
        <w:instrText xml:space="preserve"> PAGEREF _Toc9590 </w:instrText>
      </w:r>
      <w:r>
        <w:fldChar w:fldCharType="separate"/>
      </w:r>
      <w:r>
        <w:t>- 69 -</w:t>
      </w:r>
      <w:r>
        <w:fldChar w:fldCharType="end"/>
      </w:r>
      <w:r>
        <w:rPr>
          <w:rFonts w:ascii="Times New Roman" w:hAnsi="Times New Roman" w:eastAsia="宋体"/>
          <w:color w:val="auto"/>
          <w:highlight w:val="none"/>
        </w:rPr>
        <w:fldChar w:fldCharType="end"/>
      </w:r>
    </w:p>
    <w:p>
      <w:pPr>
        <w:pStyle w:val="15"/>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_Toc426 </w:instrText>
      </w:r>
      <w:r>
        <w:rPr>
          <w:rFonts w:ascii="Times New Roman" w:hAnsi="Times New Roman" w:eastAsia="宋体"/>
          <w:highlight w:val="none"/>
        </w:rPr>
        <w:fldChar w:fldCharType="separate"/>
      </w:r>
      <w:r>
        <w:rPr>
          <w:rFonts w:ascii="Times New Roman" w:hAnsi="Times New Roman" w:eastAsia="宋体"/>
          <w:szCs w:val="28"/>
          <w:highlight w:val="none"/>
        </w:rPr>
        <w:t>附表一：行动方案汇总表</w:t>
      </w:r>
      <w:r>
        <w:tab/>
      </w:r>
      <w:r>
        <w:fldChar w:fldCharType="begin"/>
      </w:r>
      <w:r>
        <w:instrText xml:space="preserve"> PAGEREF _Toc426 </w:instrText>
      </w:r>
      <w:r>
        <w:fldChar w:fldCharType="separate"/>
      </w:r>
      <w:r>
        <w:t>- 70 -</w:t>
      </w:r>
      <w:r>
        <w:fldChar w:fldCharType="end"/>
      </w:r>
      <w:r>
        <w:rPr>
          <w:rFonts w:ascii="Times New Roman" w:hAnsi="Times New Roman" w:eastAsia="宋体"/>
          <w:color w:val="auto"/>
          <w:highlight w:val="none"/>
        </w:rPr>
        <w:fldChar w:fldCharType="end"/>
      </w:r>
    </w:p>
    <w:p>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_Toc18198 </w:instrText>
      </w:r>
      <w:r>
        <w:rPr>
          <w:rFonts w:ascii="Times New Roman" w:hAnsi="Times New Roman" w:eastAsia="宋体"/>
          <w:highlight w:val="none"/>
        </w:rPr>
        <w:fldChar w:fldCharType="separate"/>
      </w:r>
      <w:r>
        <w:rPr>
          <w:rFonts w:ascii="Times New Roman" w:hAnsi="Times New Roman" w:eastAsia="宋体"/>
          <w:szCs w:val="28"/>
          <w:highlight w:val="none"/>
        </w:rPr>
        <w:t>行动一：高效管理，完善园林县城管控体系</w:t>
      </w:r>
      <w:r>
        <w:tab/>
      </w:r>
      <w:r>
        <w:fldChar w:fldCharType="begin"/>
      </w:r>
      <w:r>
        <w:instrText xml:space="preserve"> PAGEREF _Toc18198 </w:instrText>
      </w:r>
      <w:r>
        <w:fldChar w:fldCharType="separate"/>
      </w:r>
      <w:r>
        <w:t>- 70 -</w:t>
      </w:r>
      <w:r>
        <w:fldChar w:fldCharType="end"/>
      </w:r>
      <w:r>
        <w:rPr>
          <w:rFonts w:ascii="Times New Roman" w:hAnsi="Times New Roman" w:eastAsia="宋体"/>
          <w:color w:val="auto"/>
          <w:highlight w:val="none"/>
        </w:rPr>
        <w:fldChar w:fldCharType="end"/>
      </w:r>
    </w:p>
    <w:p>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_Toc1577 </w:instrText>
      </w:r>
      <w:r>
        <w:rPr>
          <w:rFonts w:ascii="Times New Roman" w:hAnsi="Times New Roman" w:eastAsia="宋体"/>
          <w:highlight w:val="none"/>
        </w:rPr>
        <w:fldChar w:fldCharType="separate"/>
      </w:r>
      <w:r>
        <w:rPr>
          <w:rFonts w:hint="default" w:ascii="Times New Roman" w:hAnsi="Times New Roman"/>
          <w:szCs w:val="28"/>
          <w:highlight w:val="none"/>
        </w:rPr>
        <w:t>行动二：提质增绿，市民共享绿色县城空间</w:t>
      </w:r>
      <w:r>
        <w:tab/>
      </w:r>
      <w:r>
        <w:fldChar w:fldCharType="begin"/>
      </w:r>
      <w:r>
        <w:instrText xml:space="preserve"> PAGEREF _Toc1577 </w:instrText>
      </w:r>
      <w:r>
        <w:fldChar w:fldCharType="separate"/>
      </w:r>
      <w:r>
        <w:t>- 73 -</w:t>
      </w:r>
      <w:r>
        <w:fldChar w:fldCharType="end"/>
      </w:r>
      <w:r>
        <w:rPr>
          <w:rFonts w:ascii="Times New Roman" w:hAnsi="Times New Roman" w:eastAsia="宋体"/>
          <w:color w:val="auto"/>
          <w:highlight w:val="none"/>
        </w:rPr>
        <w:fldChar w:fldCharType="end"/>
      </w:r>
    </w:p>
    <w:p>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_Toc669 </w:instrText>
      </w:r>
      <w:r>
        <w:rPr>
          <w:rFonts w:ascii="Times New Roman" w:hAnsi="Times New Roman" w:eastAsia="宋体"/>
          <w:highlight w:val="none"/>
        </w:rPr>
        <w:fldChar w:fldCharType="separate"/>
      </w:r>
      <w:r>
        <w:rPr>
          <w:rFonts w:ascii="Times New Roman" w:hAnsi="Times New Roman" w:eastAsia="宋体"/>
          <w:szCs w:val="28"/>
          <w:highlight w:val="none"/>
        </w:rPr>
        <w:t>行动三：生态保护，守护县城生态安全</w:t>
      </w:r>
      <w:r>
        <w:tab/>
      </w:r>
      <w:r>
        <w:fldChar w:fldCharType="begin"/>
      </w:r>
      <w:r>
        <w:instrText xml:space="preserve"> PAGEREF _Toc669 </w:instrText>
      </w:r>
      <w:r>
        <w:fldChar w:fldCharType="separate"/>
      </w:r>
      <w:r>
        <w:t>- 74 -</w:t>
      </w:r>
      <w:r>
        <w:fldChar w:fldCharType="end"/>
      </w:r>
      <w:r>
        <w:rPr>
          <w:rFonts w:ascii="Times New Roman" w:hAnsi="Times New Roman" w:eastAsia="宋体"/>
          <w:color w:val="auto"/>
          <w:highlight w:val="none"/>
        </w:rPr>
        <w:fldChar w:fldCharType="end"/>
      </w:r>
    </w:p>
    <w:p>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_Toc26921 </w:instrText>
      </w:r>
      <w:r>
        <w:rPr>
          <w:rFonts w:ascii="Times New Roman" w:hAnsi="Times New Roman" w:eastAsia="宋体"/>
          <w:highlight w:val="none"/>
        </w:rPr>
        <w:fldChar w:fldCharType="separate"/>
      </w:r>
      <w:r>
        <w:rPr>
          <w:rFonts w:ascii="Times New Roman" w:hAnsi="Times New Roman" w:eastAsia="宋体"/>
          <w:szCs w:val="28"/>
          <w:highlight w:val="none"/>
        </w:rPr>
        <w:t>行动四：城市管理，创建环保、便捷县城</w:t>
      </w:r>
      <w:r>
        <w:tab/>
      </w:r>
      <w:r>
        <w:fldChar w:fldCharType="begin"/>
      </w:r>
      <w:r>
        <w:instrText xml:space="preserve"> PAGEREF _Toc26921 </w:instrText>
      </w:r>
      <w:r>
        <w:fldChar w:fldCharType="separate"/>
      </w:r>
      <w:r>
        <w:t>- 75 -</w:t>
      </w:r>
      <w:r>
        <w:fldChar w:fldCharType="end"/>
      </w:r>
      <w:r>
        <w:rPr>
          <w:rFonts w:ascii="Times New Roman" w:hAnsi="Times New Roman" w:eastAsia="宋体"/>
          <w:color w:val="auto"/>
          <w:highlight w:val="none"/>
        </w:rPr>
        <w:fldChar w:fldCharType="end"/>
      </w:r>
    </w:p>
    <w:p>
      <w:pPr>
        <w:pStyle w:val="18"/>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_Toc18174 </w:instrText>
      </w:r>
      <w:r>
        <w:rPr>
          <w:rFonts w:ascii="Times New Roman" w:hAnsi="Times New Roman" w:eastAsia="宋体"/>
          <w:highlight w:val="none"/>
        </w:rPr>
        <w:fldChar w:fldCharType="separate"/>
      </w:r>
      <w:r>
        <w:rPr>
          <w:rFonts w:ascii="Times New Roman" w:hAnsi="Times New Roman" w:eastAsia="宋体"/>
          <w:szCs w:val="28"/>
          <w:highlight w:val="none"/>
        </w:rPr>
        <w:t>行动五：文化传承，保护县城历史风貌</w:t>
      </w:r>
      <w:r>
        <w:tab/>
      </w:r>
      <w:r>
        <w:fldChar w:fldCharType="begin"/>
      </w:r>
      <w:r>
        <w:instrText xml:space="preserve"> PAGEREF _Toc18174 </w:instrText>
      </w:r>
      <w:r>
        <w:fldChar w:fldCharType="separate"/>
      </w:r>
      <w:r>
        <w:t>- 76 -</w:t>
      </w:r>
      <w:r>
        <w:fldChar w:fldCharType="end"/>
      </w:r>
      <w:r>
        <w:rPr>
          <w:rFonts w:ascii="Times New Roman" w:hAnsi="Times New Roman" w:eastAsia="宋体"/>
          <w:color w:val="auto"/>
          <w:highlight w:val="none"/>
        </w:rPr>
        <w:fldChar w:fldCharType="end"/>
      </w:r>
    </w:p>
    <w:p>
      <w:pPr>
        <w:pStyle w:val="15"/>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_Toc18818 </w:instrText>
      </w:r>
      <w:r>
        <w:rPr>
          <w:rFonts w:ascii="Times New Roman" w:hAnsi="Times New Roman" w:eastAsia="宋体"/>
          <w:highlight w:val="none"/>
        </w:rPr>
        <w:fldChar w:fldCharType="separate"/>
      </w:r>
      <w:r>
        <w:rPr>
          <w:rFonts w:ascii="Times New Roman" w:hAnsi="Times New Roman" w:eastAsia="宋体"/>
          <w:highlight w:val="none"/>
        </w:rPr>
        <w:t>附表二：海丰县创建广东省园林县城工作费用估算表</w:t>
      </w:r>
      <w:r>
        <w:tab/>
      </w:r>
      <w:r>
        <w:fldChar w:fldCharType="begin"/>
      </w:r>
      <w:r>
        <w:instrText xml:space="preserve"> PAGEREF _Toc18818 </w:instrText>
      </w:r>
      <w:r>
        <w:fldChar w:fldCharType="separate"/>
      </w:r>
      <w:r>
        <w:t>- 78 -</w:t>
      </w:r>
      <w:r>
        <w:fldChar w:fldCharType="end"/>
      </w:r>
      <w:r>
        <w:rPr>
          <w:rFonts w:ascii="Times New Roman" w:hAnsi="Times New Roman" w:eastAsia="宋体"/>
          <w:color w:val="auto"/>
          <w:highlight w:val="none"/>
        </w:rPr>
        <w:fldChar w:fldCharType="end"/>
      </w:r>
    </w:p>
    <w:p>
      <w:pPr>
        <w:pStyle w:val="15"/>
        <w:tabs>
          <w:tab w:val="right" w:leader="dot" w:pos="9040"/>
        </w:tabs>
      </w:pPr>
      <w:r>
        <w:rPr>
          <w:rFonts w:ascii="Times New Roman" w:hAnsi="Times New Roman" w:eastAsia="宋体"/>
          <w:color w:val="auto"/>
          <w:highlight w:val="none"/>
        </w:rPr>
        <w:fldChar w:fldCharType="begin"/>
      </w:r>
      <w:r>
        <w:rPr>
          <w:rFonts w:ascii="Times New Roman" w:hAnsi="Times New Roman" w:eastAsia="宋体"/>
          <w:highlight w:val="none"/>
        </w:rPr>
        <w:instrText xml:space="preserve"> HYPERLINK \l _Toc15516 </w:instrText>
      </w:r>
      <w:r>
        <w:rPr>
          <w:rFonts w:ascii="Times New Roman" w:hAnsi="Times New Roman" w:eastAsia="宋体"/>
          <w:highlight w:val="none"/>
        </w:rPr>
        <w:fldChar w:fldCharType="separate"/>
      </w:r>
      <w:r>
        <w:rPr>
          <w:rFonts w:ascii="Times New Roman" w:hAnsi="Times New Roman" w:eastAsia="宋体"/>
          <w:highlight w:val="none"/>
        </w:rPr>
        <w:t>附表三：广东省园林县城考核标准与海丰县现状指标对比表</w:t>
      </w:r>
      <w:r>
        <w:tab/>
      </w:r>
      <w:r>
        <w:fldChar w:fldCharType="begin"/>
      </w:r>
      <w:r>
        <w:instrText xml:space="preserve"> PAGEREF _Toc15516 </w:instrText>
      </w:r>
      <w:r>
        <w:fldChar w:fldCharType="separate"/>
      </w:r>
      <w:r>
        <w:t>- 80 -</w:t>
      </w:r>
      <w:r>
        <w:fldChar w:fldCharType="end"/>
      </w:r>
      <w:r>
        <w:rPr>
          <w:rFonts w:ascii="Times New Roman" w:hAnsi="Times New Roman" w:eastAsia="宋体"/>
          <w:color w:val="auto"/>
          <w:highlight w:val="none"/>
        </w:rPr>
        <w:fldChar w:fldCharType="end"/>
      </w:r>
    </w:p>
    <w:p>
      <w:pPr>
        <w:pStyle w:val="15"/>
        <w:tabs>
          <w:tab w:val="right" w:leader="dot" w:pos="9040"/>
        </w:tabs>
      </w:pPr>
    </w:p>
    <w:p>
      <w:pPr>
        <w:pStyle w:val="2"/>
        <w:spacing w:line="360" w:lineRule="auto"/>
        <w:ind w:left="0" w:leftChars="0" w:firstLine="0" w:firstLineChars="0"/>
        <w:rPr>
          <w:rFonts w:ascii="Times New Roman" w:hAnsi="Times New Roman" w:eastAsia="宋体"/>
          <w:color w:val="auto"/>
          <w:highlight w:val="none"/>
        </w:rPr>
        <w:sectPr>
          <w:footerReference r:id="rId4" w:type="default"/>
          <w:pgSz w:w="11906" w:h="16838"/>
          <w:pgMar w:top="1440" w:right="1066" w:bottom="1440" w:left="1800" w:header="851" w:footer="992" w:gutter="0"/>
          <w:pgNumType w:fmt="numberInDash" w:start="1"/>
          <w:cols w:space="0" w:num="1"/>
          <w:docGrid w:type="lines" w:linePitch="312" w:charSpace="0"/>
        </w:sectPr>
      </w:pPr>
      <w:r>
        <w:rPr>
          <w:rFonts w:ascii="Times New Roman" w:hAnsi="Times New Roman" w:eastAsia="宋体"/>
          <w:color w:val="auto"/>
          <w:highlight w:val="none"/>
        </w:rPr>
        <w:fldChar w:fldCharType="end"/>
      </w:r>
    </w:p>
    <w:p>
      <w:pPr>
        <w:pStyle w:val="4"/>
        <w:rPr>
          <w:rFonts w:ascii="Times New Roman" w:hAnsi="Times New Roman" w:eastAsia="宋体"/>
          <w:color w:val="auto"/>
          <w:highlight w:val="none"/>
        </w:rPr>
      </w:pPr>
      <w:bookmarkStart w:id="2" w:name="_Toc7296"/>
      <w:bookmarkStart w:id="3" w:name="_Toc366"/>
      <w:bookmarkStart w:id="4" w:name="_Toc2767"/>
      <w:bookmarkStart w:id="5" w:name="_Toc1190"/>
      <w:bookmarkStart w:id="6" w:name="_Toc18796"/>
      <w:bookmarkStart w:id="7" w:name="_Toc2121"/>
      <w:r>
        <w:rPr>
          <w:rFonts w:ascii="Times New Roman" w:hAnsi="Times New Roman" w:eastAsia="宋体"/>
          <w:color w:val="auto"/>
          <w:highlight w:val="none"/>
        </w:rPr>
        <w:t>1</w:t>
      </w:r>
      <w:r>
        <w:rPr>
          <w:rFonts w:hint="eastAsia" w:ascii="Times New Roman" w:hAnsi="Times New Roman" w:eastAsia="宋体"/>
          <w:color w:val="auto"/>
          <w:highlight w:val="none"/>
        </w:rPr>
        <w:t xml:space="preserve"> </w:t>
      </w:r>
      <w:r>
        <w:rPr>
          <w:rFonts w:ascii="Times New Roman" w:hAnsi="Times New Roman" w:eastAsia="宋体"/>
          <w:color w:val="auto"/>
          <w:highlight w:val="none"/>
        </w:rPr>
        <w:t>规划背景</w:t>
      </w:r>
      <w:bookmarkEnd w:id="0"/>
      <w:bookmarkEnd w:id="1"/>
      <w:bookmarkEnd w:id="2"/>
      <w:bookmarkEnd w:id="3"/>
      <w:bookmarkEnd w:id="4"/>
      <w:bookmarkEnd w:id="5"/>
      <w:bookmarkEnd w:id="6"/>
      <w:bookmarkEnd w:id="7"/>
    </w:p>
    <w:p>
      <w:pPr>
        <w:pStyle w:val="5"/>
        <w:rPr>
          <w:rFonts w:ascii="Times New Roman" w:hAnsi="Times New Roman" w:eastAsia="宋体"/>
          <w:color w:val="auto"/>
          <w:highlight w:val="none"/>
        </w:rPr>
      </w:pPr>
      <w:bookmarkStart w:id="8" w:name="_Toc28308"/>
      <w:bookmarkStart w:id="9" w:name="_Toc29624"/>
      <w:bookmarkStart w:id="10" w:name="_Toc18762"/>
      <w:bookmarkStart w:id="11" w:name="_Toc20745"/>
      <w:bookmarkStart w:id="12" w:name="_Toc32102"/>
      <w:bookmarkStart w:id="13" w:name="_Toc7002"/>
      <w:r>
        <w:rPr>
          <w:rFonts w:ascii="Times New Roman" w:hAnsi="Times New Roman" w:eastAsia="宋体"/>
          <w:color w:val="auto"/>
          <w:highlight w:val="none"/>
        </w:rPr>
        <w:t>1.1 国家关于生态文明建设的总体导向</w:t>
      </w:r>
      <w:bookmarkEnd w:id="8"/>
      <w:bookmarkEnd w:id="9"/>
      <w:bookmarkEnd w:id="10"/>
      <w:bookmarkEnd w:id="11"/>
      <w:bookmarkEnd w:id="12"/>
      <w:bookmarkEnd w:id="13"/>
    </w:p>
    <w:p>
      <w:pPr>
        <w:pStyle w:val="6"/>
        <w:rPr>
          <w:rFonts w:ascii="Times New Roman" w:hAnsi="Times New Roman"/>
          <w:color w:val="auto"/>
          <w:highlight w:val="none"/>
        </w:rPr>
      </w:pPr>
      <w:bookmarkStart w:id="14" w:name="_Toc60776317"/>
      <w:bookmarkStart w:id="15" w:name="_Toc29424"/>
      <w:bookmarkStart w:id="16" w:name="_Toc4935"/>
      <w:bookmarkStart w:id="17" w:name="_Toc8353"/>
      <w:r>
        <w:rPr>
          <w:rFonts w:ascii="Times New Roman" w:hAnsi="Times New Roman"/>
          <w:color w:val="auto"/>
          <w:highlight w:val="none"/>
        </w:rPr>
        <w:t>1.1.1 生态文明建设的提出及部署</w:t>
      </w:r>
      <w:bookmarkEnd w:id="14"/>
      <w:bookmarkEnd w:id="15"/>
      <w:bookmarkEnd w:id="16"/>
      <w:bookmarkEnd w:id="17"/>
    </w:p>
    <w:p>
      <w:pPr>
        <w:spacing w:line="360" w:lineRule="auto"/>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生态文明建设是关系中华民族永续发展的根本大计。十八大以来，党把生态文明建设作为统筹推进“五位一体”总体布局和协调推进“四个全面”战略布局的重要内容，开展一系列根本性、开创性、长远性工作，提出一系列新理念新思想新战略，生态文明理念日益深入人心。2015年9月11日，中央政治局会议审议通过《生态文明体制改革总体方案》，从推进生态文明体制改革要树立和落实的正确理念到要坚持的“六个方面”，全面部署生态文明体制改革工作，细化搭建制度框架的顶层设计，进一步明确了改革的任务书、路线图，为加快推进生态文明体制改革提供了重要遵循和行动指南。2018年6月6日，国家标准委组织编制了《生态文明建设标准体系发展行动指南（2018-2020年）》，以加快推进生态文明建设的总体部署，坚决打好污染防治攻坚战，建立和完善生态文明建设标准体系。</w:t>
      </w:r>
    </w:p>
    <w:p>
      <w:pPr>
        <w:pStyle w:val="6"/>
        <w:rPr>
          <w:rFonts w:ascii="Times New Roman" w:hAnsi="Times New Roman"/>
          <w:color w:val="auto"/>
          <w:highlight w:val="none"/>
        </w:rPr>
      </w:pPr>
      <w:bookmarkStart w:id="18" w:name="_Toc60776318"/>
      <w:bookmarkStart w:id="19" w:name="_Toc7353"/>
      <w:bookmarkStart w:id="20" w:name="_Toc12445"/>
      <w:bookmarkStart w:id="21" w:name="_Toc23275"/>
      <w:r>
        <w:rPr>
          <w:rFonts w:ascii="Times New Roman" w:hAnsi="Times New Roman"/>
          <w:color w:val="auto"/>
          <w:highlight w:val="none"/>
        </w:rPr>
        <w:t>1.1.2 生态文明建设实施</w:t>
      </w:r>
      <w:bookmarkEnd w:id="18"/>
      <w:bookmarkEnd w:id="19"/>
      <w:bookmarkEnd w:id="20"/>
      <w:bookmarkEnd w:id="21"/>
    </w:p>
    <w:p>
      <w:pPr>
        <w:spacing w:line="360" w:lineRule="auto"/>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为认真贯彻党的十八大关于大力推进生态文明建设的战略部署，积极落实十八届三中全会关于加快生态文明制度建设的精神，根据《国务院关于加快发展节能环保产业的意见》（国发〔2013〕30号）中关于在全国范围内选择有代表性的100个地区开展国家生态文明先行示范区建设，探索符合我国国情的生态文明建设模式的要求，国家发展改革委联合财政部、国土资源部、水利部、农业部、国家林业局制定了《国家生态文明先行示范区建设方案（试行）》。此后，福建、贵州、四川、海南等地相继出台实施方案，加快推进生态文明建设。</w:t>
      </w:r>
    </w:p>
    <w:p>
      <w:pPr>
        <w:pStyle w:val="6"/>
        <w:rPr>
          <w:rFonts w:ascii="Times New Roman" w:hAnsi="Times New Roman"/>
          <w:color w:val="auto"/>
          <w:highlight w:val="none"/>
        </w:rPr>
      </w:pPr>
      <w:bookmarkStart w:id="22" w:name="_Toc4181"/>
      <w:bookmarkStart w:id="23" w:name="_Toc9487"/>
      <w:bookmarkStart w:id="24" w:name="_Toc23251"/>
      <w:bookmarkStart w:id="25" w:name="_Toc60776319"/>
      <w:r>
        <w:rPr>
          <w:rFonts w:ascii="Times New Roman" w:hAnsi="Times New Roman"/>
          <w:color w:val="auto"/>
          <w:highlight w:val="none"/>
        </w:rPr>
        <w:t>1.1.3 生态文明建设新格局</w:t>
      </w:r>
      <w:bookmarkEnd w:id="22"/>
      <w:bookmarkEnd w:id="23"/>
      <w:bookmarkEnd w:id="24"/>
      <w:bookmarkEnd w:id="25"/>
    </w:p>
    <w:p>
      <w:pPr>
        <w:spacing w:line="360" w:lineRule="auto"/>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习近平同志在十九大报告中指出，坚持人与自然和谐共生。必须树立和践行绿水青山就是金山银山的理念，坚持节约资源和保护环境的基本国策。</w:t>
      </w:r>
      <w:r>
        <w:rPr>
          <w:rFonts w:hint="eastAsia" w:ascii="Times New Roman" w:hAnsi="Times New Roman"/>
          <w:color w:val="auto"/>
          <w:sz w:val="28"/>
          <w:szCs w:val="28"/>
          <w:highlight w:val="none"/>
        </w:rPr>
        <w:t>2020年10月29日，《中共中央关于制定国民经济和社会发展第十四个五年规划和二〇三五年远景目标的建议》强调，“推动绿色发展，促进人与自然和谐共生”，坚持绿水青山就是金山银山理念，坚持尊重自然、顺应自然、保护自然，坚持节约优先、保护优先、自然恢复为主，守住自然生态安全边界。深入实施可持续发展战略，完善生态文明领域统筹协调机制，构建生态文明体系，促进经济社会发展全面绿色转型，建设人与自然和谐共生的现代化。</w:t>
      </w:r>
    </w:p>
    <w:p>
      <w:pPr>
        <w:pStyle w:val="5"/>
        <w:rPr>
          <w:rFonts w:ascii="Times New Roman" w:hAnsi="Times New Roman"/>
          <w:color w:val="auto"/>
          <w:highlight w:val="none"/>
        </w:rPr>
      </w:pPr>
      <w:bookmarkStart w:id="26" w:name="_Toc11554"/>
      <w:bookmarkStart w:id="27" w:name="_Toc20794"/>
      <w:bookmarkStart w:id="28" w:name="_Toc7717"/>
      <w:bookmarkStart w:id="29" w:name="_Toc6856"/>
      <w:bookmarkStart w:id="30" w:name="_Toc24767"/>
      <w:bookmarkStart w:id="31" w:name="_Toc24167"/>
      <w:r>
        <w:rPr>
          <w:rFonts w:hint="eastAsia" w:ascii="Times New Roman" w:hAnsi="Times New Roman"/>
          <w:color w:val="auto"/>
          <w:highlight w:val="none"/>
        </w:rPr>
        <w:t>1.2 人民对于美好人居环境的需求</w:t>
      </w:r>
      <w:bookmarkEnd w:id="26"/>
      <w:bookmarkEnd w:id="27"/>
      <w:bookmarkEnd w:id="28"/>
      <w:bookmarkEnd w:id="29"/>
      <w:bookmarkEnd w:id="30"/>
      <w:bookmarkEnd w:id="31"/>
    </w:p>
    <w:p>
      <w:pPr>
        <w:spacing w:line="360" w:lineRule="auto"/>
        <w:ind w:firstLine="420" w:firstLineChars="200"/>
        <w:rPr>
          <w:rFonts w:ascii="Times New Roman" w:hAnsi="Times New Roman"/>
          <w:color w:val="auto"/>
          <w:highlight w:val="none"/>
        </w:rPr>
      </w:pPr>
      <w:r>
        <w:rPr>
          <w:rFonts w:hint="default" w:ascii="Times New Roman" w:hAnsi="Times New Roman"/>
          <w:color w:val="auto"/>
          <w:highlight w:val="none"/>
        </w:rPr>
        <w:t xml:space="preserve">    </w:t>
      </w:r>
      <w:r>
        <w:rPr>
          <w:rFonts w:hint="eastAsia" w:ascii="Times New Roman" w:hAnsi="Times New Roman"/>
          <w:color w:val="auto"/>
          <w:sz w:val="28"/>
          <w:szCs w:val="28"/>
          <w:highlight w:val="none"/>
        </w:rPr>
        <w:t>随着我国社会主要矛盾的转化，生态环境在人民群众生活幸福指数中的权重不断提高，人民群众从过去“盼温饱”到现在“盼环保”、从过去“求生存”到现在“求生态”，期盼享有更加优美的生态环境。环境就是民生，青山就是美丽，蓝天也是幸福；发展经济是为了民生，保护生态环境同样也是为了民生；既要创造更多的物质财富和精神财富以满足人民日益增长的美好生活需要，也要提供更多优质生态产品以满足人民日益增长的优美环境需要。国家、省级园林县城的创建是坚持以人民为中心在生态文明领域的重要抓手，从生态环境保护、市政建设、民生工程打造多个方面改善县城整体人居环境，满足人民需求。同时县容县貌的改善和美好的生态环境带来的生态红利将拉动县城经济发展，释放消费潜能，为开展乡村旅游、生态体验等活动提供了载体。</w:t>
      </w:r>
    </w:p>
    <w:p>
      <w:pPr>
        <w:pStyle w:val="5"/>
        <w:rPr>
          <w:rFonts w:ascii="Times New Roman" w:hAnsi="Times New Roman" w:eastAsia="宋体"/>
          <w:color w:val="auto"/>
          <w:highlight w:val="none"/>
        </w:rPr>
      </w:pPr>
      <w:bookmarkStart w:id="32" w:name="_Toc22462"/>
      <w:bookmarkStart w:id="33" w:name="_Toc10528"/>
      <w:bookmarkStart w:id="34" w:name="_Toc28427"/>
      <w:bookmarkStart w:id="35" w:name="_Toc9382"/>
      <w:bookmarkStart w:id="36" w:name="_Toc11689"/>
      <w:bookmarkStart w:id="37" w:name="_Toc13511"/>
      <w:r>
        <w:rPr>
          <w:rFonts w:ascii="Times New Roman" w:hAnsi="Times New Roman" w:eastAsia="宋体"/>
          <w:color w:val="auto"/>
          <w:highlight w:val="none"/>
        </w:rPr>
        <w:t>1.</w:t>
      </w:r>
      <w:r>
        <w:rPr>
          <w:rFonts w:hint="eastAsia" w:ascii="Times New Roman" w:hAnsi="Times New Roman" w:eastAsia="宋体"/>
          <w:color w:val="auto"/>
          <w:highlight w:val="none"/>
        </w:rPr>
        <w:t>3</w:t>
      </w:r>
      <w:r>
        <w:rPr>
          <w:rFonts w:ascii="Times New Roman" w:hAnsi="Times New Roman" w:eastAsia="宋体"/>
          <w:color w:val="auto"/>
          <w:highlight w:val="none"/>
        </w:rPr>
        <w:t xml:space="preserve"> 住建部关于国家园林城市建设的要求</w:t>
      </w:r>
      <w:bookmarkEnd w:id="32"/>
      <w:bookmarkEnd w:id="33"/>
      <w:bookmarkEnd w:id="34"/>
      <w:bookmarkEnd w:id="35"/>
      <w:bookmarkEnd w:id="36"/>
      <w:bookmarkEnd w:id="37"/>
    </w:p>
    <w:p>
      <w:pPr>
        <w:spacing w:line="360" w:lineRule="auto"/>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国家园林城市，是根据中华人民共和国住房和城乡建设部《国家园林城市标准》评选出的分布均衡、结构合理、功能完善、景观优美，人居生态环境清新舒适、安全宜人的城市，是国内重要的城市品牌之一。</w:t>
      </w:r>
    </w:p>
    <w:p>
      <w:pPr>
        <w:spacing w:line="360" w:lineRule="auto"/>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国家园林城市的创评具有以下几个特点：第一，注重城市绿化空间的合理性，要求城市绿量充足，规划合理，布局科学，发挥城市绿肺的生态效益；第二，注重城市综合品味的提升，从</w:t>
      </w:r>
      <w:r>
        <w:rPr>
          <w:rFonts w:ascii="Times New Roman" w:hAnsi="Times New Roman"/>
          <w:color w:val="auto"/>
          <w:sz w:val="28"/>
          <w:szCs w:val="28"/>
          <w:highlight w:val="none"/>
          <w:shd w:val="clear" w:color="auto" w:fill="FFFFFF"/>
        </w:rPr>
        <w:t>规划、生态、环保、垃圾处理、交通、建筑节能、市政设施、住房保障等方方面面全面提升城市品质</w:t>
      </w:r>
      <w:r>
        <w:rPr>
          <w:rFonts w:ascii="Times New Roman" w:hAnsi="Times New Roman"/>
          <w:color w:val="auto"/>
          <w:sz w:val="28"/>
          <w:szCs w:val="28"/>
          <w:highlight w:val="none"/>
        </w:rPr>
        <w:t>；第三，注重城市市容市貌的打造，突出以人为本的生态生产力，并强调人与自然和谐相处的意识，</w:t>
      </w:r>
      <w:r>
        <w:rPr>
          <w:rFonts w:ascii="Times New Roman" w:hAnsi="Times New Roman"/>
          <w:color w:val="auto"/>
          <w:sz w:val="28"/>
          <w:szCs w:val="28"/>
          <w:highlight w:val="none"/>
          <w:shd w:val="clear" w:color="auto" w:fill="FFFFFF"/>
        </w:rPr>
        <w:t>保持城市生态系统平衡、改善城市面貌，打造环境优美、功能齐全、生活便利的城市形象</w:t>
      </w:r>
      <w:r>
        <w:rPr>
          <w:rFonts w:ascii="Times New Roman" w:hAnsi="Times New Roman"/>
          <w:color w:val="auto"/>
          <w:sz w:val="28"/>
          <w:szCs w:val="28"/>
          <w:highlight w:val="none"/>
        </w:rPr>
        <w:t>。</w:t>
      </w:r>
    </w:p>
    <w:p>
      <w:pPr>
        <w:pStyle w:val="5"/>
        <w:rPr>
          <w:rFonts w:ascii="Times New Roman" w:hAnsi="Times New Roman" w:eastAsia="宋体"/>
          <w:color w:val="auto"/>
          <w:highlight w:val="none"/>
        </w:rPr>
      </w:pPr>
      <w:bookmarkStart w:id="38" w:name="_Toc26492"/>
      <w:bookmarkStart w:id="39" w:name="_Toc21296"/>
      <w:bookmarkStart w:id="40" w:name="_Toc16182"/>
      <w:bookmarkStart w:id="41" w:name="_Toc13161"/>
      <w:bookmarkStart w:id="42" w:name="_Toc29671"/>
      <w:bookmarkStart w:id="43" w:name="_Toc16523"/>
      <w:r>
        <w:rPr>
          <w:rFonts w:ascii="Times New Roman" w:hAnsi="Times New Roman" w:eastAsia="宋体"/>
          <w:color w:val="auto"/>
          <w:highlight w:val="none"/>
        </w:rPr>
        <w:t>1.</w:t>
      </w:r>
      <w:r>
        <w:rPr>
          <w:rFonts w:hint="eastAsia" w:ascii="Times New Roman" w:hAnsi="Times New Roman" w:eastAsia="宋体"/>
          <w:color w:val="auto"/>
          <w:highlight w:val="none"/>
        </w:rPr>
        <w:t>4</w:t>
      </w:r>
      <w:r>
        <w:rPr>
          <w:rFonts w:ascii="Times New Roman" w:hAnsi="Times New Roman" w:eastAsia="宋体"/>
          <w:color w:val="auto"/>
          <w:highlight w:val="none"/>
        </w:rPr>
        <w:t xml:space="preserve"> 广东省关于省级园林城市建设的要求</w:t>
      </w:r>
      <w:bookmarkEnd w:id="38"/>
      <w:bookmarkEnd w:id="39"/>
      <w:bookmarkEnd w:id="40"/>
      <w:bookmarkEnd w:id="41"/>
      <w:bookmarkEnd w:id="42"/>
      <w:bookmarkEnd w:id="43"/>
    </w:p>
    <w:p>
      <w:pPr>
        <w:spacing w:line="360" w:lineRule="auto"/>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2017年，广东省住建厅会同省发改委印发了《广东省城市基础设施建设“十三五”规划（2016—2020年）》，从路网建设、水厂和污水处理、园林城市建设等方面提出目标，五成地级以上市要达到省级园林城市。《规划》显示，至2020年，省域公园体系基本建成，50%以上的地级以上市、30%以上的县(市)达到省级园林城市标准。“十三五”期间，新创建国家园林城市5个、国家园林城市4个、省级园林城市11个、省级园林县(市)18个，建设城市公园1100个，建设风景名胜区9个，建设水岸公园60个，建设湿地公园130个，建设森林(郊野)公园464个，建设融入绿地的运动场地750处，建成绿道11500公里，建设立体绿化1200公顷。</w:t>
      </w:r>
    </w:p>
    <w:p>
      <w:pPr>
        <w:pStyle w:val="5"/>
        <w:rPr>
          <w:rFonts w:ascii="Times New Roman" w:hAnsi="Times New Roman" w:eastAsia="宋体"/>
          <w:color w:val="auto"/>
          <w:highlight w:val="none"/>
        </w:rPr>
      </w:pPr>
      <w:bookmarkStart w:id="44" w:name="_Toc16756"/>
      <w:bookmarkStart w:id="45" w:name="_Toc13819"/>
      <w:bookmarkStart w:id="46" w:name="_Toc19554"/>
      <w:bookmarkStart w:id="47" w:name="_Toc24304"/>
      <w:bookmarkStart w:id="48" w:name="_Toc16266"/>
      <w:bookmarkStart w:id="49" w:name="_Toc18772"/>
      <w:r>
        <w:rPr>
          <w:rFonts w:ascii="Times New Roman" w:hAnsi="Times New Roman" w:eastAsia="宋体"/>
          <w:color w:val="auto"/>
          <w:highlight w:val="none"/>
        </w:rPr>
        <w:t>1.</w:t>
      </w:r>
      <w:r>
        <w:rPr>
          <w:rFonts w:hint="eastAsia" w:ascii="Times New Roman" w:hAnsi="Times New Roman" w:eastAsia="宋体"/>
          <w:color w:val="auto"/>
          <w:highlight w:val="none"/>
        </w:rPr>
        <w:t>5</w:t>
      </w:r>
      <w:r>
        <w:rPr>
          <w:rFonts w:ascii="Times New Roman" w:hAnsi="Times New Roman" w:eastAsia="宋体"/>
          <w:color w:val="auto"/>
          <w:highlight w:val="none"/>
        </w:rPr>
        <w:t xml:space="preserve"> 汕尾市关于</w:t>
      </w:r>
      <w:r>
        <w:rPr>
          <w:rFonts w:hint="eastAsia" w:ascii="Times New Roman" w:hAnsi="Times New Roman" w:eastAsia="宋体"/>
          <w:color w:val="auto"/>
          <w:highlight w:val="none"/>
          <w:lang w:val="en-US" w:eastAsia="zh-CN"/>
        </w:rPr>
        <w:t>创建国家园林城市的工作</w:t>
      </w:r>
      <w:r>
        <w:rPr>
          <w:rFonts w:ascii="Times New Roman" w:hAnsi="Times New Roman" w:eastAsia="宋体"/>
          <w:color w:val="auto"/>
          <w:highlight w:val="none"/>
        </w:rPr>
        <w:t>部署</w:t>
      </w:r>
      <w:bookmarkEnd w:id="44"/>
      <w:bookmarkEnd w:id="45"/>
      <w:bookmarkEnd w:id="46"/>
      <w:bookmarkEnd w:id="47"/>
      <w:bookmarkEnd w:id="48"/>
      <w:bookmarkEnd w:id="49"/>
    </w:p>
    <w:p>
      <w:pPr>
        <w:spacing w:line="360" w:lineRule="auto"/>
        <w:ind w:firstLine="560" w:firstLineChars="200"/>
        <w:rPr>
          <w:rFonts w:hint="eastAsia" w:ascii="Times New Roman" w:hAnsi="Times New Roman"/>
          <w:color w:val="auto"/>
          <w:sz w:val="28"/>
          <w:szCs w:val="28"/>
          <w:highlight w:val="none"/>
        </w:rPr>
      </w:pPr>
      <w:r>
        <w:rPr>
          <w:rFonts w:hint="eastAsia" w:ascii="Times New Roman" w:hAnsi="Times New Roman"/>
          <w:color w:val="auto"/>
          <w:sz w:val="28"/>
          <w:szCs w:val="28"/>
          <w:highlight w:val="none"/>
        </w:rPr>
        <w:t>2020年4月，</w:t>
      </w:r>
      <w:r>
        <w:rPr>
          <w:rFonts w:hint="eastAsia" w:ascii="Times New Roman" w:hAnsi="Times New Roman"/>
          <w:color w:val="auto"/>
          <w:sz w:val="28"/>
          <w:szCs w:val="28"/>
          <w:highlight w:val="none"/>
          <w:lang w:val="en-US" w:eastAsia="zh-CN"/>
        </w:rPr>
        <w:t>汕尾</w:t>
      </w:r>
      <w:r>
        <w:rPr>
          <w:rFonts w:hint="eastAsia" w:ascii="Times New Roman" w:hAnsi="Times New Roman"/>
          <w:color w:val="auto"/>
          <w:sz w:val="28"/>
          <w:szCs w:val="28"/>
          <w:highlight w:val="none"/>
        </w:rPr>
        <w:t>市召开国家园林城市工作进行全面动员部署，号召全市上下搀起袖子、甩开膀子，迅速投入创建工作，严格按照《国家园林城市系列标准》要求，全面加大城市园林绿化建设力度，在当前省级园林城市的基础上，巩固成果，优化景观，完善公园设施，精细绿化管理，扩大城市绿地，增加城市绿量。形成组织管理到位、规划设计规范、自然景观与人文景观融洽、城市绿地保护得力、绿地系统布局科学合理、市政设施配套完善、公园绿地分布均衡、园林文化成效显著、人与自然和谐共处的城市格局，成功创建国家园林城市。全市2市2县根据市委市政府的工作部署，全力推进国家、省级园林县城创建工作。</w:t>
      </w:r>
    </w:p>
    <w:p>
      <w:pPr>
        <w:pStyle w:val="5"/>
        <w:rPr>
          <w:rFonts w:ascii="Times New Roman" w:hAnsi="Times New Roman" w:eastAsia="宋体"/>
          <w:color w:val="auto"/>
          <w:highlight w:val="none"/>
        </w:rPr>
      </w:pPr>
      <w:bookmarkStart w:id="50" w:name="_Toc22190"/>
      <w:bookmarkStart w:id="51" w:name="_Toc31078"/>
      <w:bookmarkStart w:id="52" w:name="_Toc13418"/>
      <w:bookmarkStart w:id="53" w:name="_Toc19213"/>
      <w:bookmarkStart w:id="54" w:name="_Toc16973"/>
      <w:bookmarkStart w:id="55" w:name="_Toc12203"/>
      <w:r>
        <w:rPr>
          <w:rFonts w:ascii="Times New Roman" w:hAnsi="Times New Roman" w:eastAsia="宋体"/>
          <w:color w:val="auto"/>
          <w:highlight w:val="none"/>
        </w:rPr>
        <w:t>1.</w:t>
      </w:r>
      <w:r>
        <w:rPr>
          <w:rFonts w:hint="eastAsia" w:ascii="Times New Roman" w:hAnsi="Times New Roman" w:eastAsia="宋体"/>
          <w:color w:val="auto"/>
          <w:highlight w:val="none"/>
        </w:rPr>
        <w:t xml:space="preserve">6 </w:t>
      </w:r>
      <w:r>
        <w:rPr>
          <w:rFonts w:ascii="Times New Roman" w:hAnsi="Times New Roman" w:eastAsia="宋体"/>
          <w:color w:val="auto"/>
          <w:highlight w:val="none"/>
        </w:rPr>
        <w:t>海丰县关于</w:t>
      </w:r>
      <w:r>
        <w:rPr>
          <w:rFonts w:hint="eastAsia" w:ascii="Times New Roman" w:hAnsi="Times New Roman" w:eastAsia="宋体"/>
          <w:color w:val="auto"/>
          <w:highlight w:val="none"/>
          <w:lang w:val="en-US" w:eastAsia="zh-CN"/>
        </w:rPr>
        <w:t>创建广东省园林县城的</w:t>
      </w:r>
      <w:r>
        <w:rPr>
          <w:rFonts w:ascii="Times New Roman" w:hAnsi="Times New Roman" w:eastAsia="宋体"/>
          <w:color w:val="auto"/>
          <w:highlight w:val="none"/>
        </w:rPr>
        <w:t>工作部署</w:t>
      </w:r>
      <w:bookmarkEnd w:id="50"/>
      <w:bookmarkEnd w:id="51"/>
      <w:bookmarkEnd w:id="52"/>
      <w:bookmarkEnd w:id="53"/>
      <w:bookmarkEnd w:id="54"/>
      <w:bookmarkEnd w:id="55"/>
    </w:p>
    <w:p>
      <w:pPr>
        <w:spacing w:line="360" w:lineRule="auto"/>
        <w:ind w:firstLine="560" w:firstLineChars="200"/>
        <w:rPr>
          <w:rFonts w:ascii="Times New Roman" w:hAnsi="Times New Roman"/>
          <w:color w:val="auto"/>
          <w:sz w:val="28"/>
          <w:szCs w:val="28"/>
          <w:highlight w:val="none"/>
        </w:rPr>
      </w:pPr>
      <w:r>
        <w:rPr>
          <w:rFonts w:hint="eastAsia" w:ascii="Times New Roman" w:hAnsi="Times New Roman"/>
          <w:color w:val="auto"/>
          <w:sz w:val="28"/>
          <w:szCs w:val="28"/>
          <w:highlight w:val="none"/>
        </w:rPr>
        <w:t>2020年6月，海丰县</w:t>
      </w:r>
      <w:r>
        <w:rPr>
          <w:rFonts w:hint="eastAsia" w:ascii="Times New Roman" w:hAnsi="Times New Roman"/>
          <w:color w:val="auto"/>
          <w:sz w:val="28"/>
          <w:szCs w:val="28"/>
          <w:highlight w:val="none"/>
          <w:lang w:val="en-US" w:eastAsia="zh-CN"/>
        </w:rPr>
        <w:t>召开</w:t>
      </w:r>
      <w:r>
        <w:rPr>
          <w:rFonts w:hint="eastAsia" w:ascii="Times New Roman" w:hAnsi="Times New Roman"/>
          <w:color w:val="auto"/>
          <w:sz w:val="28"/>
          <w:szCs w:val="28"/>
          <w:highlight w:val="none"/>
        </w:rPr>
        <w:t>创建广东省园林县城启动会</w:t>
      </w:r>
      <w:r>
        <w:rPr>
          <w:rFonts w:hint="eastAsia" w:ascii="Times New Roman" w:hAnsi="Times New Roman"/>
          <w:color w:val="auto"/>
          <w:sz w:val="28"/>
          <w:szCs w:val="28"/>
          <w:highlight w:val="none"/>
          <w:lang w:eastAsia="zh-CN"/>
        </w:rPr>
        <w:t>，</w:t>
      </w:r>
      <w:r>
        <w:rPr>
          <w:rFonts w:hint="eastAsia" w:ascii="Times New Roman" w:hAnsi="Times New Roman"/>
          <w:color w:val="auto"/>
          <w:sz w:val="28"/>
          <w:szCs w:val="28"/>
          <w:highlight w:val="none"/>
          <w:lang w:val="en-US" w:eastAsia="zh-CN"/>
        </w:rPr>
        <w:t>县委领导</w:t>
      </w:r>
      <w:r>
        <w:rPr>
          <w:rFonts w:hint="eastAsia" w:ascii="Times New Roman" w:hAnsi="Times New Roman"/>
          <w:color w:val="auto"/>
          <w:sz w:val="28"/>
          <w:szCs w:val="28"/>
          <w:highlight w:val="none"/>
        </w:rPr>
        <w:t>对海丰县创建广东省园林县城进行了动员讲话。</w:t>
      </w:r>
      <w:r>
        <w:rPr>
          <w:rFonts w:hint="eastAsia" w:ascii="Times New Roman" w:hAnsi="Times New Roman"/>
          <w:color w:val="auto"/>
          <w:sz w:val="28"/>
          <w:szCs w:val="28"/>
          <w:highlight w:val="none"/>
          <w:lang w:val="en-US" w:eastAsia="zh-CN"/>
        </w:rPr>
        <w:t>这次会议主要内容，</w:t>
      </w:r>
      <w:r>
        <w:rPr>
          <w:rFonts w:hint="eastAsia" w:ascii="Times New Roman" w:hAnsi="Times New Roman"/>
          <w:color w:val="auto"/>
          <w:sz w:val="28"/>
          <w:szCs w:val="28"/>
          <w:highlight w:val="none"/>
        </w:rPr>
        <w:t>一是要明确创建广东省园林县城的工作正式启动，各部门要积极响应县委、县政府的部署要求，团结一致，共同创园；二是力争于2021年成功创建广东省园林县城，同时在会上明确创建范围为海城镇、附城镇、城东镇域内；三是明确县住建局为牵头部门，尽快做好工作分工，加强各部门联动，共同创建。</w:t>
      </w:r>
    </w:p>
    <w:p>
      <w:pPr>
        <w:pStyle w:val="4"/>
        <w:rPr>
          <w:rFonts w:ascii="Times New Roman" w:hAnsi="Times New Roman" w:eastAsia="宋体"/>
          <w:bCs/>
          <w:color w:val="auto"/>
          <w:szCs w:val="32"/>
          <w:highlight w:val="none"/>
        </w:rPr>
      </w:pPr>
      <w:bookmarkStart w:id="56" w:name="_Toc19423"/>
      <w:bookmarkStart w:id="57" w:name="_Toc27184"/>
      <w:bookmarkStart w:id="58" w:name="_Toc16560"/>
      <w:bookmarkStart w:id="59" w:name="_Toc5157"/>
      <w:bookmarkStart w:id="60" w:name="_Toc29618"/>
      <w:bookmarkStart w:id="61" w:name="_Toc28917"/>
      <w:r>
        <w:rPr>
          <w:rFonts w:hint="eastAsia" w:ascii="Times New Roman" w:hAnsi="Times New Roman" w:eastAsia="宋体"/>
          <w:bCs/>
          <w:color w:val="auto"/>
          <w:szCs w:val="32"/>
          <w:highlight w:val="none"/>
        </w:rPr>
        <w:t xml:space="preserve">2 </w:t>
      </w:r>
      <w:r>
        <w:rPr>
          <w:rFonts w:ascii="Times New Roman" w:hAnsi="Times New Roman" w:eastAsia="宋体"/>
          <w:bCs/>
          <w:color w:val="auto"/>
          <w:szCs w:val="32"/>
          <w:highlight w:val="none"/>
        </w:rPr>
        <w:t>规划目的与原则</w:t>
      </w:r>
      <w:bookmarkEnd w:id="56"/>
      <w:bookmarkEnd w:id="57"/>
      <w:bookmarkEnd w:id="58"/>
      <w:bookmarkEnd w:id="59"/>
      <w:bookmarkEnd w:id="60"/>
      <w:bookmarkEnd w:id="61"/>
    </w:p>
    <w:p>
      <w:pPr>
        <w:pStyle w:val="5"/>
        <w:rPr>
          <w:rFonts w:ascii="Times New Roman" w:hAnsi="Times New Roman" w:eastAsia="宋体"/>
          <w:color w:val="auto"/>
          <w:highlight w:val="none"/>
        </w:rPr>
      </w:pPr>
      <w:bookmarkStart w:id="62" w:name="_Toc28935"/>
      <w:bookmarkStart w:id="63" w:name="_Toc11110"/>
      <w:bookmarkStart w:id="64" w:name="_Toc16943"/>
      <w:bookmarkStart w:id="65" w:name="_Toc13534"/>
      <w:bookmarkStart w:id="66" w:name="_Toc18521"/>
      <w:bookmarkStart w:id="67" w:name="_Toc23405"/>
      <w:r>
        <w:rPr>
          <w:rFonts w:ascii="Times New Roman" w:hAnsi="Times New Roman" w:eastAsia="宋体"/>
          <w:color w:val="auto"/>
          <w:highlight w:val="none"/>
        </w:rPr>
        <w:t>2.1 规划目的</w:t>
      </w:r>
      <w:bookmarkEnd w:id="62"/>
      <w:bookmarkEnd w:id="63"/>
      <w:bookmarkEnd w:id="64"/>
      <w:bookmarkEnd w:id="65"/>
      <w:bookmarkEnd w:id="66"/>
      <w:bookmarkEnd w:id="67"/>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依据广东省园林县城评价标准，在对海丰县创广东省园林县城6大指标体系（园林绿化综合管理、绿地建设、建设管控、生态环境、市政设施、节能减排）共46项指标进行充分调研的基础上，针对现阶段海丰县创建广东省园林县城存在的问题，系统性地提出优化、提升方案。因广东省园林县城评价标准指标多、覆盖面广，需要住建、自然资源、林业、水务等相关单位加强沟通协作，在本规划基础上进行创建广东省园林县城项目的深化、优化和特色化的工作安排，按时、高质完成指标任务。</w:t>
      </w:r>
    </w:p>
    <w:p>
      <w:pPr>
        <w:pStyle w:val="5"/>
        <w:rPr>
          <w:rFonts w:ascii="Times New Roman" w:hAnsi="Times New Roman" w:eastAsia="宋体"/>
          <w:color w:val="auto"/>
          <w:highlight w:val="none"/>
        </w:rPr>
      </w:pPr>
      <w:bookmarkStart w:id="68" w:name="_Toc21936"/>
      <w:bookmarkStart w:id="69" w:name="_Toc12901"/>
      <w:bookmarkStart w:id="70" w:name="_Toc29509"/>
      <w:bookmarkStart w:id="71" w:name="_Toc7929"/>
      <w:bookmarkStart w:id="72" w:name="_Toc2143"/>
      <w:bookmarkStart w:id="73" w:name="_Toc25976"/>
      <w:r>
        <w:rPr>
          <w:rFonts w:ascii="Times New Roman" w:hAnsi="Times New Roman" w:eastAsia="宋体"/>
          <w:color w:val="auto"/>
          <w:highlight w:val="none"/>
        </w:rPr>
        <w:t>2.2 规划范围</w:t>
      </w:r>
      <w:bookmarkEnd w:id="68"/>
      <w:bookmarkEnd w:id="69"/>
      <w:bookmarkEnd w:id="70"/>
      <w:bookmarkEnd w:id="71"/>
      <w:bookmarkEnd w:id="72"/>
      <w:bookmarkEnd w:id="73"/>
    </w:p>
    <w:p>
      <w:pPr>
        <w:widowControl/>
        <w:ind w:firstLine="560" w:firstLineChars="200"/>
        <w:jc w:val="left"/>
        <w:rPr>
          <w:rFonts w:ascii="Times New Roman" w:hAnsi="Times New Roman"/>
          <w:color w:val="auto"/>
          <w:sz w:val="28"/>
          <w:szCs w:val="28"/>
          <w:highlight w:val="none"/>
        </w:rPr>
      </w:pPr>
      <w:r>
        <w:rPr>
          <w:rFonts w:ascii="Times New Roman" w:hAnsi="Times New Roman"/>
          <w:color w:val="auto"/>
          <w:sz w:val="28"/>
          <w:szCs w:val="28"/>
          <w:highlight w:val="none"/>
        </w:rPr>
        <w:t>本规划范围为县城建成区，包括城东镇、海城镇和附城镇在县城部分，总面积为27平方公里。部分指标</w:t>
      </w:r>
      <w:r>
        <w:rPr>
          <w:rFonts w:hint="eastAsia" w:ascii="Times New Roman" w:hAnsi="Times New Roman"/>
          <w:color w:val="auto"/>
          <w:sz w:val="28"/>
          <w:szCs w:val="28"/>
          <w:highlight w:val="none"/>
          <w:lang w:val="en-US" w:eastAsia="zh-CN"/>
        </w:rPr>
        <w:t>涉及</w:t>
      </w:r>
      <w:r>
        <w:rPr>
          <w:rFonts w:ascii="Times New Roman" w:hAnsi="Times New Roman"/>
          <w:color w:val="auto"/>
          <w:sz w:val="28"/>
          <w:szCs w:val="28"/>
          <w:highlight w:val="none"/>
        </w:rPr>
        <w:t>县城规划区或县域范围。</w:t>
      </w:r>
    </w:p>
    <w:p>
      <w:pPr>
        <w:widowControl/>
        <w:jc w:val="center"/>
        <w:rPr>
          <w:rFonts w:ascii="Times New Roman" w:hAnsi="Times New Roman"/>
          <w:b/>
          <w:bCs/>
          <w:color w:val="auto"/>
          <w:sz w:val="28"/>
          <w:szCs w:val="28"/>
          <w:highlight w:val="none"/>
        </w:rPr>
      </w:pPr>
      <w:r>
        <w:rPr>
          <w:rFonts w:ascii="Times New Roman" w:hAnsi="Times New Roman"/>
          <w:color w:val="auto"/>
          <w:highlight w:val="none"/>
        </w:rPr>
        <w:drawing>
          <wp:inline distT="0" distB="0" distL="114300" distR="114300">
            <wp:extent cx="5264785" cy="3909695"/>
            <wp:effectExtent l="0" t="0" r="12065" b="14605"/>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7"/>
                    <a:stretch>
                      <a:fillRect/>
                    </a:stretch>
                  </pic:blipFill>
                  <pic:spPr>
                    <a:xfrm>
                      <a:off x="0" y="0"/>
                      <a:ext cx="5264785" cy="3909695"/>
                    </a:xfrm>
                    <a:prstGeom prst="rect">
                      <a:avLst/>
                    </a:prstGeom>
                    <a:noFill/>
                    <a:ln>
                      <a:noFill/>
                    </a:ln>
                  </pic:spPr>
                </pic:pic>
              </a:graphicData>
            </a:graphic>
          </wp:inline>
        </w:drawing>
      </w:r>
    </w:p>
    <w:p>
      <w:pPr>
        <w:widowControl/>
        <w:jc w:val="center"/>
        <w:rPr>
          <w:rFonts w:ascii="Times New Roman" w:hAnsi="Times New Roman"/>
          <w:b/>
          <w:bCs/>
          <w:color w:val="auto"/>
          <w:sz w:val="28"/>
          <w:szCs w:val="28"/>
          <w:highlight w:val="none"/>
        </w:rPr>
      </w:pPr>
      <w:r>
        <w:rPr>
          <w:rFonts w:ascii="Times New Roman" w:hAnsi="Times New Roman"/>
          <w:b/>
          <w:bCs/>
          <w:color w:val="auto"/>
          <w:sz w:val="28"/>
          <w:szCs w:val="28"/>
          <w:highlight w:val="none"/>
        </w:rPr>
        <w:t>图2-</w:t>
      </w:r>
      <w:r>
        <w:rPr>
          <w:rFonts w:hint="eastAsia" w:ascii="Times New Roman" w:hAnsi="Times New Roman"/>
          <w:b/>
          <w:bCs/>
          <w:color w:val="auto"/>
          <w:sz w:val="28"/>
          <w:szCs w:val="28"/>
          <w:highlight w:val="none"/>
        </w:rPr>
        <w:t>2-</w:t>
      </w:r>
      <w:r>
        <w:rPr>
          <w:rFonts w:ascii="Times New Roman" w:hAnsi="Times New Roman"/>
          <w:b/>
          <w:bCs/>
          <w:color w:val="auto"/>
          <w:sz w:val="28"/>
          <w:szCs w:val="28"/>
          <w:highlight w:val="none"/>
        </w:rPr>
        <w:t>1 海丰县建成区范围图</w:t>
      </w:r>
    </w:p>
    <w:p>
      <w:pPr>
        <w:pStyle w:val="5"/>
        <w:rPr>
          <w:rFonts w:ascii="Times New Roman" w:hAnsi="Times New Roman" w:eastAsia="宋体"/>
          <w:color w:val="auto"/>
          <w:highlight w:val="none"/>
        </w:rPr>
      </w:pPr>
      <w:bookmarkStart w:id="74" w:name="_Toc10460"/>
      <w:bookmarkStart w:id="75" w:name="_Toc3495"/>
      <w:bookmarkStart w:id="76" w:name="_Toc2256"/>
      <w:bookmarkStart w:id="77" w:name="_Toc6557"/>
      <w:bookmarkStart w:id="78" w:name="_Toc21922"/>
      <w:bookmarkStart w:id="79" w:name="_Toc5791"/>
      <w:r>
        <w:rPr>
          <w:rFonts w:ascii="Times New Roman" w:hAnsi="Times New Roman" w:eastAsia="宋体"/>
          <w:color w:val="auto"/>
          <w:highlight w:val="none"/>
        </w:rPr>
        <w:t>2.3 总体任务</w:t>
      </w:r>
      <w:bookmarkEnd w:id="74"/>
      <w:bookmarkEnd w:id="75"/>
      <w:bookmarkEnd w:id="76"/>
      <w:bookmarkEnd w:id="77"/>
      <w:bookmarkEnd w:id="78"/>
      <w:bookmarkEnd w:id="79"/>
    </w:p>
    <w:p>
      <w:pPr>
        <w:ind w:firstLine="560" w:firstLineChars="200"/>
        <w:rPr>
          <w:rFonts w:ascii="Times New Roman" w:hAnsi="Times New Roman"/>
          <w:color w:val="auto"/>
          <w:highlight w:val="none"/>
        </w:rPr>
      </w:pPr>
      <w:r>
        <w:rPr>
          <w:rFonts w:ascii="Times New Roman" w:hAnsi="Times New Roman"/>
          <w:color w:val="auto"/>
          <w:sz w:val="28"/>
          <w:szCs w:val="28"/>
          <w:highlight w:val="none"/>
        </w:rPr>
        <w:t>依据广东省园林县城评价标准，建立园林绿化和环境保护管理体系，提升园林绿化建设效果，完善市政基础设施，改善人居环境，突出县城文化，努力将海丰打造成为特色明显、生态宜居的东方红城，</w:t>
      </w:r>
      <w:r>
        <w:rPr>
          <w:rFonts w:hint="eastAsia" w:ascii="Times New Roman" w:hAnsi="Times New Roman"/>
          <w:color w:val="auto"/>
          <w:sz w:val="28"/>
          <w:szCs w:val="28"/>
          <w:highlight w:val="none"/>
        </w:rPr>
        <w:t>建设沿海经济带靓丽明珠</w:t>
      </w:r>
      <w:r>
        <w:rPr>
          <w:rFonts w:hint="eastAsia" w:ascii="Times New Roman" w:hAnsi="Times New Roman"/>
          <w:color w:val="auto"/>
          <w:sz w:val="28"/>
          <w:szCs w:val="28"/>
          <w:highlight w:val="none"/>
          <w:lang w:eastAsia="zh-CN"/>
        </w:rPr>
        <w:t>，</w:t>
      </w:r>
      <w:r>
        <w:rPr>
          <w:rFonts w:ascii="Times New Roman" w:hAnsi="Times New Roman"/>
          <w:color w:val="auto"/>
          <w:sz w:val="28"/>
          <w:szCs w:val="28"/>
          <w:highlight w:val="none"/>
        </w:rPr>
        <w:t>力争在2021年达到广东省园林县城评价标准。</w:t>
      </w:r>
    </w:p>
    <w:p>
      <w:pPr>
        <w:pStyle w:val="5"/>
        <w:rPr>
          <w:rFonts w:ascii="Times New Roman" w:hAnsi="Times New Roman" w:eastAsia="宋体"/>
          <w:color w:val="auto"/>
          <w:highlight w:val="none"/>
        </w:rPr>
      </w:pPr>
      <w:bookmarkStart w:id="80" w:name="_Toc7104"/>
      <w:bookmarkStart w:id="81" w:name="_Toc8641"/>
      <w:bookmarkStart w:id="82" w:name="_Toc22331"/>
      <w:bookmarkStart w:id="83" w:name="_Toc5196"/>
      <w:bookmarkStart w:id="84" w:name="_Toc32517"/>
      <w:bookmarkStart w:id="85" w:name="_Toc24345"/>
      <w:r>
        <w:rPr>
          <w:rFonts w:ascii="Times New Roman" w:hAnsi="Times New Roman" w:eastAsia="宋体"/>
          <w:color w:val="auto"/>
          <w:highlight w:val="none"/>
        </w:rPr>
        <w:t>2.4 规划期限</w:t>
      </w:r>
      <w:bookmarkEnd w:id="80"/>
      <w:bookmarkEnd w:id="81"/>
      <w:bookmarkEnd w:id="82"/>
      <w:bookmarkEnd w:id="83"/>
      <w:bookmarkEnd w:id="84"/>
      <w:bookmarkEnd w:id="85"/>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2020-2021年。</w:t>
      </w:r>
    </w:p>
    <w:p>
      <w:pPr>
        <w:pStyle w:val="5"/>
        <w:rPr>
          <w:rFonts w:ascii="Times New Roman" w:hAnsi="Times New Roman" w:eastAsia="宋体"/>
          <w:color w:val="auto"/>
          <w:highlight w:val="none"/>
        </w:rPr>
      </w:pPr>
      <w:bookmarkStart w:id="86" w:name="_Toc23972"/>
      <w:bookmarkStart w:id="87" w:name="_Toc4714"/>
      <w:bookmarkStart w:id="88" w:name="_Toc15551"/>
      <w:bookmarkStart w:id="89" w:name="_Toc10986"/>
      <w:bookmarkStart w:id="90" w:name="_Toc15589"/>
      <w:bookmarkStart w:id="91" w:name="_Toc10340"/>
      <w:r>
        <w:rPr>
          <w:rFonts w:ascii="Times New Roman" w:hAnsi="Times New Roman" w:eastAsia="宋体"/>
          <w:color w:val="auto"/>
          <w:highlight w:val="none"/>
        </w:rPr>
        <w:t>2.5 规划原则</w:t>
      </w:r>
      <w:bookmarkEnd w:id="86"/>
      <w:bookmarkEnd w:id="87"/>
      <w:bookmarkEnd w:id="88"/>
      <w:bookmarkEnd w:id="89"/>
      <w:bookmarkEnd w:id="90"/>
      <w:bookmarkEnd w:id="91"/>
    </w:p>
    <w:p>
      <w:pPr>
        <w:spacing w:line="360" w:lineRule="auto"/>
        <w:rPr>
          <w:rFonts w:ascii="Times New Roman" w:hAnsi="Times New Roman"/>
          <w:b/>
          <w:bCs/>
          <w:color w:val="auto"/>
          <w:sz w:val="28"/>
          <w:szCs w:val="28"/>
          <w:highlight w:val="none"/>
        </w:rPr>
      </w:pPr>
      <w:r>
        <w:rPr>
          <w:rFonts w:ascii="Times New Roman" w:hAnsi="Times New Roman"/>
          <w:b/>
          <w:bCs/>
          <w:color w:val="auto"/>
          <w:sz w:val="28"/>
          <w:szCs w:val="28"/>
          <w:highlight w:val="none"/>
        </w:rPr>
        <w:t>（1）统筹全局，合理布局</w:t>
      </w:r>
    </w:p>
    <w:p>
      <w:pPr>
        <w:spacing w:line="360" w:lineRule="auto"/>
        <w:ind w:firstLine="560"/>
        <w:rPr>
          <w:rFonts w:ascii="Times New Roman" w:hAnsi="Times New Roman"/>
          <w:color w:val="auto"/>
          <w:sz w:val="28"/>
          <w:szCs w:val="28"/>
          <w:highlight w:val="none"/>
        </w:rPr>
      </w:pPr>
      <w:r>
        <w:rPr>
          <w:rFonts w:ascii="Times New Roman" w:hAnsi="Times New Roman"/>
          <w:color w:val="auto"/>
          <w:sz w:val="28"/>
          <w:szCs w:val="28"/>
          <w:highlight w:val="none"/>
        </w:rPr>
        <w:t>以全县总体城市建设情况为着力点，统筹涵盖综合管理、绿地建设、建设管控、生态环境、市政设施和综合否决项在内的46项城市建设基础指标。尤其针对城市绿地建设方面，处理好现状绿地情况和规划建设绿地情况，既重视城市“山水林田湖”等自然生态要素，又重视城市交通、居住、服务等功能系统优化，从总体层面上做好布局，力争建成宜居宜业宜游的省级园林县城。</w:t>
      </w:r>
    </w:p>
    <w:p>
      <w:pPr>
        <w:spacing w:line="360" w:lineRule="auto"/>
        <w:rPr>
          <w:rFonts w:ascii="Times New Roman" w:hAnsi="Times New Roman"/>
          <w:b/>
          <w:bCs/>
          <w:color w:val="auto"/>
          <w:sz w:val="28"/>
          <w:szCs w:val="28"/>
          <w:highlight w:val="none"/>
        </w:rPr>
      </w:pPr>
      <w:r>
        <w:rPr>
          <w:rFonts w:ascii="Times New Roman" w:hAnsi="Times New Roman"/>
          <w:b/>
          <w:bCs/>
          <w:color w:val="auto"/>
          <w:sz w:val="28"/>
          <w:szCs w:val="28"/>
          <w:highlight w:val="none"/>
        </w:rPr>
        <w:t>（2）合理规划，节约建设</w:t>
      </w:r>
    </w:p>
    <w:p>
      <w:pPr>
        <w:spacing w:line="360" w:lineRule="auto"/>
        <w:ind w:firstLine="560"/>
        <w:rPr>
          <w:rFonts w:ascii="Times New Roman" w:hAnsi="Times New Roman"/>
          <w:color w:val="auto"/>
          <w:sz w:val="28"/>
          <w:szCs w:val="28"/>
          <w:highlight w:val="none"/>
        </w:rPr>
      </w:pPr>
      <w:r>
        <w:rPr>
          <w:rFonts w:ascii="Times New Roman" w:hAnsi="Times New Roman"/>
          <w:color w:val="auto"/>
          <w:sz w:val="28"/>
          <w:szCs w:val="28"/>
          <w:highlight w:val="none"/>
        </w:rPr>
        <w:t>第一，立足于海丰县县城发展现状，统筹全县的园林绿化、环境保护和市政设施的建设规划项目，将相关项目纳入规划体系，避免重复规划建设，达到节约建设的目的。第二</w:t>
      </w:r>
      <w:r>
        <w:rPr>
          <w:rFonts w:hint="eastAsia" w:ascii="Times New Roman" w:hAnsi="Times New Roman"/>
          <w:color w:val="auto"/>
          <w:sz w:val="28"/>
          <w:szCs w:val="28"/>
          <w:highlight w:val="none"/>
          <w:lang w:eastAsia="zh-CN"/>
        </w:rPr>
        <w:t>，</w:t>
      </w:r>
      <w:r>
        <w:rPr>
          <w:rFonts w:ascii="Times New Roman" w:hAnsi="Times New Roman"/>
          <w:color w:val="auto"/>
          <w:sz w:val="28"/>
          <w:szCs w:val="28"/>
          <w:highlight w:val="none"/>
        </w:rPr>
        <w:t>基于县城建设现状，在达到创园标准的前提下，对县城现有绿地、水系和市政基础设施进行微改造，节约人力物力。</w:t>
      </w:r>
    </w:p>
    <w:p>
      <w:pPr>
        <w:spacing w:line="360" w:lineRule="auto"/>
        <w:rPr>
          <w:rFonts w:ascii="Times New Roman" w:hAnsi="Times New Roman"/>
          <w:b/>
          <w:bCs/>
          <w:color w:val="auto"/>
          <w:sz w:val="28"/>
          <w:szCs w:val="28"/>
          <w:highlight w:val="none"/>
        </w:rPr>
      </w:pPr>
      <w:r>
        <w:rPr>
          <w:rFonts w:ascii="Times New Roman" w:hAnsi="Times New Roman"/>
          <w:b/>
          <w:bCs/>
          <w:color w:val="auto"/>
          <w:sz w:val="28"/>
          <w:szCs w:val="28"/>
          <w:highlight w:val="none"/>
        </w:rPr>
        <w:t>（3）挖掘亮点，突出特色</w:t>
      </w:r>
    </w:p>
    <w:p>
      <w:pPr>
        <w:spacing w:line="360" w:lineRule="auto"/>
        <w:rPr>
          <w:rFonts w:ascii="Times New Roman" w:hAnsi="Times New Roman"/>
          <w:color w:val="auto"/>
          <w:sz w:val="28"/>
          <w:szCs w:val="28"/>
          <w:highlight w:val="none"/>
        </w:rPr>
      </w:pPr>
      <w:r>
        <w:rPr>
          <w:rFonts w:ascii="Times New Roman" w:hAnsi="Times New Roman"/>
          <w:color w:val="auto"/>
          <w:sz w:val="28"/>
          <w:szCs w:val="28"/>
          <w:highlight w:val="none"/>
        </w:rPr>
        <w:t xml:space="preserve">     作为一个历史名城、东方红城，海丰县依山傍水，人杰地灵</w:t>
      </w:r>
      <w:r>
        <w:rPr>
          <w:rFonts w:hint="eastAsia" w:ascii="Times New Roman" w:hAnsi="Times New Roman"/>
          <w:color w:val="auto"/>
          <w:sz w:val="28"/>
          <w:szCs w:val="28"/>
          <w:highlight w:val="none"/>
          <w:lang w:eastAsia="zh-CN"/>
        </w:rPr>
        <w:t>，</w:t>
      </w:r>
      <w:r>
        <w:rPr>
          <w:rFonts w:hint="eastAsia" w:ascii="Times New Roman" w:hAnsi="Times New Roman"/>
          <w:color w:val="auto"/>
          <w:sz w:val="28"/>
          <w:szCs w:val="28"/>
          <w:highlight w:val="none"/>
          <w:lang w:val="en-US" w:eastAsia="zh-CN"/>
        </w:rPr>
        <w:t>拥有超长的海岸线</w:t>
      </w:r>
      <w:r>
        <w:rPr>
          <w:rFonts w:ascii="Times New Roman" w:hAnsi="Times New Roman"/>
          <w:color w:val="auto"/>
          <w:sz w:val="28"/>
          <w:szCs w:val="28"/>
          <w:highlight w:val="none"/>
        </w:rPr>
        <w:t>。应充分挖掘良好的山、水资源和悠久的历史文化、波澜壮阔的红色文化，突出区域特色，打造一个制度完善、设施齐备、社会文明、人民充分享绿的红色</w:t>
      </w:r>
      <w:r>
        <w:rPr>
          <w:rFonts w:hint="eastAsia" w:ascii="Times New Roman" w:hAnsi="Times New Roman"/>
          <w:color w:val="auto"/>
          <w:sz w:val="28"/>
          <w:szCs w:val="28"/>
          <w:highlight w:val="none"/>
          <w:lang w:val="en-US" w:eastAsia="zh-CN"/>
        </w:rPr>
        <w:t>滨海</w:t>
      </w:r>
      <w:r>
        <w:rPr>
          <w:rFonts w:ascii="Times New Roman" w:hAnsi="Times New Roman"/>
          <w:color w:val="auto"/>
          <w:sz w:val="28"/>
          <w:szCs w:val="28"/>
          <w:highlight w:val="none"/>
        </w:rPr>
        <w:t>省级园林县城。</w:t>
      </w:r>
    </w:p>
    <w:p>
      <w:pPr>
        <w:pStyle w:val="4"/>
        <w:spacing w:line="360" w:lineRule="auto"/>
        <w:rPr>
          <w:rFonts w:ascii="Times New Roman" w:hAnsi="Times New Roman" w:eastAsia="宋体"/>
          <w:color w:val="auto"/>
          <w:highlight w:val="none"/>
        </w:rPr>
      </w:pPr>
      <w:bookmarkStart w:id="92" w:name="_Toc23041"/>
      <w:bookmarkStart w:id="93" w:name="_Toc23881"/>
      <w:bookmarkStart w:id="94" w:name="_Toc7064"/>
      <w:bookmarkStart w:id="95" w:name="_Toc13279"/>
      <w:bookmarkStart w:id="96" w:name="_Toc11961"/>
      <w:bookmarkStart w:id="97" w:name="_Toc15907"/>
      <w:r>
        <w:rPr>
          <w:rFonts w:ascii="Times New Roman" w:hAnsi="Times New Roman" w:eastAsia="宋体"/>
          <w:color w:val="auto"/>
          <w:highlight w:val="none"/>
        </w:rPr>
        <w:t>3</w:t>
      </w:r>
      <w:r>
        <w:rPr>
          <w:rFonts w:hint="eastAsia" w:ascii="Times New Roman" w:hAnsi="Times New Roman" w:eastAsia="宋体"/>
          <w:color w:val="auto"/>
          <w:highlight w:val="none"/>
        </w:rPr>
        <w:t xml:space="preserve"> </w:t>
      </w:r>
      <w:r>
        <w:rPr>
          <w:rFonts w:ascii="Times New Roman" w:hAnsi="Times New Roman" w:eastAsia="宋体"/>
          <w:color w:val="auto"/>
          <w:highlight w:val="none"/>
        </w:rPr>
        <w:t>现状分析</w:t>
      </w:r>
      <w:bookmarkEnd w:id="92"/>
      <w:bookmarkEnd w:id="93"/>
      <w:bookmarkEnd w:id="94"/>
      <w:bookmarkEnd w:id="95"/>
      <w:bookmarkEnd w:id="96"/>
      <w:bookmarkEnd w:id="97"/>
    </w:p>
    <w:p>
      <w:pPr>
        <w:pStyle w:val="5"/>
        <w:rPr>
          <w:rFonts w:ascii="Times New Roman" w:hAnsi="Times New Roman" w:eastAsia="宋体"/>
          <w:color w:val="auto"/>
          <w:highlight w:val="none"/>
        </w:rPr>
      </w:pPr>
      <w:bookmarkStart w:id="98" w:name="_Toc15955"/>
      <w:bookmarkStart w:id="99" w:name="_Toc19578"/>
      <w:bookmarkStart w:id="100" w:name="_Toc13297"/>
      <w:bookmarkStart w:id="101" w:name="_Toc21147"/>
      <w:bookmarkStart w:id="102" w:name="_Toc25528"/>
      <w:bookmarkStart w:id="103" w:name="_Toc28689"/>
      <w:r>
        <w:rPr>
          <w:rFonts w:ascii="Times New Roman" w:hAnsi="Times New Roman" w:eastAsia="宋体"/>
          <w:color w:val="auto"/>
          <w:highlight w:val="none"/>
        </w:rPr>
        <w:t>3.1 创园基底分析</w:t>
      </w:r>
      <w:bookmarkEnd w:id="98"/>
      <w:bookmarkEnd w:id="99"/>
      <w:bookmarkEnd w:id="100"/>
      <w:bookmarkEnd w:id="101"/>
      <w:bookmarkEnd w:id="102"/>
      <w:bookmarkEnd w:id="103"/>
    </w:p>
    <w:p>
      <w:pPr>
        <w:pStyle w:val="6"/>
        <w:rPr>
          <w:rFonts w:ascii="Times New Roman" w:hAnsi="Times New Roman"/>
          <w:color w:val="auto"/>
          <w:highlight w:val="none"/>
        </w:rPr>
      </w:pPr>
      <w:bookmarkStart w:id="104" w:name="_Toc60776333"/>
      <w:bookmarkStart w:id="105" w:name="_Toc30033"/>
      <w:r>
        <w:rPr>
          <w:rFonts w:ascii="Times New Roman" w:hAnsi="Times New Roman"/>
          <w:color w:val="auto"/>
          <w:highlight w:val="none"/>
        </w:rPr>
        <w:t>3.1.1 海丰县自然地理环境</w:t>
      </w:r>
      <w:bookmarkEnd w:id="104"/>
      <w:bookmarkEnd w:id="105"/>
    </w:p>
    <w:p>
      <w:pPr>
        <w:pStyle w:val="27"/>
        <w:spacing w:line="360" w:lineRule="auto"/>
        <w:ind w:firstLine="560"/>
        <w:rPr>
          <w:rFonts w:ascii="Times New Roman" w:hAnsi="Times New Roman"/>
          <w:color w:val="auto"/>
          <w:sz w:val="28"/>
          <w:szCs w:val="28"/>
          <w:highlight w:val="none"/>
        </w:rPr>
      </w:pPr>
      <w:r>
        <w:rPr>
          <w:rFonts w:ascii="Times New Roman" w:hAnsi="Times New Roman"/>
          <w:color w:val="auto"/>
          <w:sz w:val="28"/>
          <w:szCs w:val="28"/>
          <w:highlight w:val="none"/>
        </w:rPr>
        <w:t>海丰县位于广东省东南部沿海，东与陆丰市毗邻，西北与惠东县、紫金县接壤，北倚莲花山脉，南临南海。地理坐标在东经114°54′～115°37′，北纬22°37′～23°14′之间。海丰县沿海多丘陵，西北部群峰起伏，中部则为平原。地势由西北向东南倾斜，莲花山脉横贯县境北部，莲花山主峰海拔1337.3米。西北山峦叠嶂，中部为宽阔平原，土质肥沃，河涌交错，有赤石、大液、丽江、黄江4大江河，东部濒临碣石湾，西部面向红海湾。境内有长沙湾、高螺湾、九龙湾3大海湾，海岸线116千米。</w:t>
      </w:r>
    </w:p>
    <w:p>
      <w:pPr>
        <w:pStyle w:val="27"/>
        <w:spacing w:line="360" w:lineRule="auto"/>
        <w:ind w:firstLine="560"/>
        <w:rPr>
          <w:rFonts w:ascii="Times New Roman" w:hAnsi="Times New Roman"/>
          <w:color w:val="auto"/>
          <w:sz w:val="28"/>
          <w:szCs w:val="28"/>
          <w:highlight w:val="none"/>
        </w:rPr>
      </w:pPr>
      <w:r>
        <w:rPr>
          <w:rFonts w:ascii="Times New Roman" w:hAnsi="Times New Roman"/>
          <w:color w:val="auto"/>
          <w:sz w:val="28"/>
          <w:szCs w:val="28"/>
          <w:highlight w:val="none"/>
        </w:rPr>
        <w:t>海丰县地处北回归线南缘，属南亚热带气候区，海洋性气候明显。常年气温宜和、雨量丰沛、光能热量充足，年均气温22℃，年均降水量2389.5毫米。夏季长，温高雨多且湿度大，多盛行西南风，常有雨涝、台风等气象灾害出现；冬季短，稍冷，雨少且较干燥，无雪少霜。地带性植被为季风常绿阔叶林，现状植被分为自然植被和人工植被。自然植被主要由红锥、木荷、红花荷、黄杞、青冈、大头茶等植物组成。沿海港湾滩涂生长有红树林植被。人工植被主要是以杉木、湿地松、桉树、茶树等植物组成。野生植物资源方面，全县森林植物约有150多科，350多属，1000多种及其变种，常见植物有石松、芒萁、野葛、鸡血藤、岗松、土蜜树、牛耳枫、红锥、木荷、黄杞、青冈、茶杆竹等。野生动物资源方面，海丰县有国家保护动物穿山甲、水獭、苏门羚、巨蜥、蟒蛇、虎纹蛙、白琵鹭、白鹇、褐翅鸦鹃、蛇雕等。</w:t>
      </w:r>
    </w:p>
    <w:p>
      <w:pPr>
        <w:pStyle w:val="6"/>
        <w:rPr>
          <w:rFonts w:ascii="Times New Roman" w:hAnsi="Times New Roman"/>
          <w:color w:val="auto"/>
          <w:highlight w:val="none"/>
        </w:rPr>
      </w:pPr>
      <w:bookmarkStart w:id="106" w:name="_Toc60776334"/>
      <w:bookmarkStart w:id="107" w:name="_Toc30586"/>
      <w:r>
        <w:rPr>
          <w:rFonts w:ascii="Times New Roman" w:hAnsi="Times New Roman"/>
          <w:color w:val="auto"/>
          <w:highlight w:val="none"/>
        </w:rPr>
        <w:t>3.1.2 海丰县社会经济环境</w:t>
      </w:r>
      <w:bookmarkEnd w:id="106"/>
      <w:bookmarkEnd w:id="107"/>
    </w:p>
    <w:p>
      <w:pPr>
        <w:pStyle w:val="27"/>
        <w:spacing w:line="360" w:lineRule="auto"/>
        <w:ind w:firstLine="560"/>
        <w:rPr>
          <w:rFonts w:ascii="Times New Roman" w:hAnsi="Times New Roman"/>
          <w:color w:val="auto"/>
          <w:sz w:val="28"/>
          <w:szCs w:val="28"/>
          <w:highlight w:val="none"/>
        </w:rPr>
      </w:pPr>
      <w:r>
        <w:rPr>
          <w:rFonts w:ascii="Times New Roman" w:hAnsi="Times New Roman"/>
          <w:color w:val="auto"/>
          <w:sz w:val="28"/>
          <w:szCs w:val="28"/>
          <w:highlight w:val="none"/>
        </w:rPr>
        <w:t>海丰县下辖16个镇，分别为梅陇镇、小漠镇、鲘门镇、联安镇、陶河镇、赤坑镇、大湖镇、可塘镇、黄羌镇、平东镇、海城镇、鹅埠镇、赤石镇、公平镇、附城镇、城东镇</w:t>
      </w:r>
      <w:r>
        <w:rPr>
          <w:rFonts w:hint="eastAsia" w:ascii="Times New Roman" w:hAnsi="Times New Roman"/>
          <w:color w:val="auto"/>
          <w:sz w:val="28"/>
          <w:szCs w:val="28"/>
          <w:highlight w:val="none"/>
        </w:rPr>
        <w:t>。县城由海城镇、城东镇和附城镇三镇的一部分组成，现状建成区面积为19平方公里。</w:t>
      </w:r>
      <w:r>
        <w:rPr>
          <w:rFonts w:ascii="Times New Roman" w:hAnsi="Times New Roman"/>
          <w:color w:val="auto"/>
          <w:sz w:val="28"/>
          <w:szCs w:val="28"/>
          <w:highlight w:val="none"/>
        </w:rPr>
        <w:t>根据</w:t>
      </w:r>
      <w:r>
        <w:rPr>
          <w:rFonts w:hint="eastAsia" w:ascii="Times New Roman" w:hAnsi="Times New Roman"/>
          <w:color w:val="auto"/>
          <w:sz w:val="28"/>
          <w:szCs w:val="28"/>
          <w:highlight w:val="none"/>
        </w:rPr>
        <w:t>2019年</w:t>
      </w:r>
      <w:r>
        <w:rPr>
          <w:rFonts w:ascii="Times New Roman" w:hAnsi="Times New Roman"/>
          <w:color w:val="auto"/>
          <w:sz w:val="28"/>
          <w:szCs w:val="28"/>
          <w:highlight w:val="none"/>
        </w:rPr>
        <w:t>县政府工作报告</w:t>
      </w:r>
      <w:r>
        <w:rPr>
          <w:rFonts w:hint="eastAsia" w:ascii="Times New Roman" w:hAnsi="Times New Roman"/>
          <w:color w:val="auto"/>
          <w:sz w:val="28"/>
          <w:szCs w:val="28"/>
          <w:highlight w:val="none"/>
        </w:rPr>
        <w:t>，</w:t>
      </w:r>
      <w:r>
        <w:rPr>
          <w:rFonts w:ascii="Times New Roman" w:hAnsi="Times New Roman"/>
          <w:color w:val="auto"/>
          <w:sz w:val="28"/>
          <w:szCs w:val="28"/>
          <w:highlight w:val="none"/>
        </w:rPr>
        <w:t>2019年全县实现地区生产总值338亿元，比增7%；工业增加值71.4亿元，比增9.4%；农业总产值61.7亿元，比增5.5%；社会消费品零售总额241.2亿元，比增8.3%；固定资产投资298.2亿元，比增15.5%；实际利用外资5121万美元，同比增151%；居民人均可支配收入2.6万元，比增10%；一般公共预算收入9.6亿元，比增12.6%；50个重点项目投资85.8亿元，完成年度计划106.8%。</w:t>
      </w:r>
    </w:p>
    <w:p>
      <w:pPr>
        <w:pStyle w:val="6"/>
        <w:rPr>
          <w:rFonts w:ascii="Times New Roman" w:hAnsi="Times New Roman"/>
          <w:color w:val="auto"/>
          <w:highlight w:val="none"/>
        </w:rPr>
      </w:pPr>
      <w:bookmarkStart w:id="108" w:name="_Toc17061"/>
      <w:bookmarkStart w:id="109" w:name="_Toc60776335"/>
      <w:r>
        <w:rPr>
          <w:rFonts w:ascii="Times New Roman" w:hAnsi="Times New Roman"/>
          <w:color w:val="auto"/>
          <w:highlight w:val="none"/>
        </w:rPr>
        <w:t>3.1.3 海丰县县城建设现状</w:t>
      </w:r>
      <w:bookmarkEnd w:id="108"/>
      <w:bookmarkEnd w:id="109"/>
    </w:p>
    <w:p>
      <w:pPr>
        <w:numPr>
          <w:ilvl w:val="0"/>
          <w:numId w:val="1"/>
        </w:numPr>
        <w:spacing w:line="360" w:lineRule="auto"/>
        <w:ind w:firstLine="562" w:firstLineChars="200"/>
        <w:rPr>
          <w:rFonts w:ascii="Times New Roman" w:hAnsi="Times New Roman"/>
          <w:b/>
          <w:bCs w:val="0"/>
          <w:color w:val="auto"/>
          <w:sz w:val="28"/>
          <w:szCs w:val="28"/>
          <w:highlight w:val="none"/>
        </w:rPr>
      </w:pPr>
      <w:r>
        <w:rPr>
          <w:rFonts w:hint="eastAsia" w:ascii="Times New Roman" w:hAnsi="Times New Roman"/>
          <w:b/>
          <w:bCs w:val="0"/>
          <w:color w:val="auto"/>
          <w:sz w:val="28"/>
          <w:szCs w:val="28"/>
          <w:highlight w:val="none"/>
        </w:rPr>
        <w:t>县城</w:t>
      </w:r>
      <w:r>
        <w:rPr>
          <w:rFonts w:ascii="Times New Roman" w:hAnsi="Times New Roman"/>
          <w:b/>
          <w:bCs w:val="0"/>
          <w:color w:val="auto"/>
          <w:sz w:val="28"/>
          <w:szCs w:val="28"/>
          <w:highlight w:val="none"/>
        </w:rPr>
        <w:t>市政基础设施</w:t>
      </w:r>
      <w:r>
        <w:rPr>
          <w:rFonts w:hint="eastAsia" w:ascii="Times New Roman" w:hAnsi="Times New Roman"/>
          <w:b/>
          <w:bCs w:val="0"/>
          <w:color w:val="auto"/>
          <w:sz w:val="28"/>
          <w:szCs w:val="28"/>
          <w:highlight w:val="none"/>
        </w:rPr>
        <w:t>基本完善</w:t>
      </w:r>
    </w:p>
    <w:p>
      <w:pPr>
        <w:widowControl/>
        <w:ind w:firstLine="560" w:firstLineChars="200"/>
        <w:jc w:val="left"/>
        <w:rPr>
          <w:rFonts w:ascii="Times New Roman" w:hAnsi="Times New Roman"/>
          <w:color w:val="auto"/>
          <w:sz w:val="28"/>
          <w:szCs w:val="28"/>
          <w:highlight w:val="none"/>
        </w:rPr>
      </w:pPr>
      <w:r>
        <w:rPr>
          <w:rFonts w:ascii="Times New Roman" w:hAnsi="Times New Roman"/>
          <w:color w:val="auto"/>
          <w:sz w:val="28"/>
          <w:szCs w:val="28"/>
          <w:highlight w:val="none"/>
        </w:rPr>
        <w:t>第一</w:t>
      </w:r>
      <w:r>
        <w:rPr>
          <w:rFonts w:hint="eastAsia" w:ascii="Times New Roman" w:hAnsi="Times New Roman"/>
          <w:color w:val="auto"/>
          <w:sz w:val="28"/>
          <w:szCs w:val="28"/>
          <w:highlight w:val="none"/>
        </w:rPr>
        <w:t>，</w:t>
      </w:r>
      <w:r>
        <w:rPr>
          <w:rFonts w:ascii="Times New Roman" w:hAnsi="Times New Roman"/>
          <w:color w:val="auto"/>
          <w:sz w:val="28"/>
          <w:szCs w:val="28"/>
          <w:highlight w:val="none"/>
        </w:rPr>
        <w:t>县城道路交通网络</w:t>
      </w:r>
      <w:r>
        <w:rPr>
          <w:rFonts w:hint="eastAsia" w:ascii="Times New Roman" w:hAnsi="Times New Roman"/>
          <w:color w:val="auto"/>
          <w:sz w:val="28"/>
          <w:szCs w:val="28"/>
          <w:highlight w:val="none"/>
        </w:rPr>
        <w:t>发达。</w:t>
      </w:r>
      <w:r>
        <w:rPr>
          <w:rFonts w:ascii="Times New Roman" w:hAnsi="Times New Roman"/>
          <w:color w:val="auto"/>
          <w:sz w:val="28"/>
          <w:szCs w:val="28"/>
          <w:highlight w:val="none"/>
        </w:rPr>
        <w:t>经过多年发展</w:t>
      </w:r>
      <w:r>
        <w:rPr>
          <w:rFonts w:hint="eastAsia" w:ascii="Times New Roman" w:hAnsi="Times New Roman"/>
          <w:color w:val="auto"/>
          <w:sz w:val="28"/>
          <w:szCs w:val="28"/>
          <w:highlight w:val="none"/>
        </w:rPr>
        <w:t>，海丰县县城已形成“一横两纵两环线”的市政道路网络。“一横”为红城大道；“两纵”为海银路-人民路-海丽大道组成路段，海紫路-海龙路组成路段；“两环线”为二环路（由二环北路、二环东路、二环西路和二环南路组成）与三环路（由北环公路、红城大道、现状 G324 国道和三环西路组成）；此外还有广富路、祥德路、海联路等多条次要道路。近年来，海丰县通过拓宽路面、完善地下管网、提升灯光照明和绿化景观效果的方式，对广富路、海丽大道、海紫路、南三环等县城交通主干道进行提升改造工程，极大地提高了县城主干道的通车能力和道路景观效果。</w:t>
      </w:r>
    </w:p>
    <w:p>
      <w:pPr>
        <w:widowControl/>
        <w:ind w:firstLine="560" w:firstLineChars="200"/>
        <w:jc w:val="left"/>
        <w:rPr>
          <w:rFonts w:ascii="Times New Roman" w:hAnsi="Times New Roman"/>
          <w:color w:val="auto"/>
          <w:sz w:val="28"/>
          <w:szCs w:val="28"/>
          <w:highlight w:val="none"/>
        </w:rPr>
      </w:pPr>
      <w:r>
        <w:rPr>
          <w:rFonts w:ascii="Times New Roman" w:hAnsi="Times New Roman"/>
          <w:color w:val="auto"/>
          <w:sz w:val="28"/>
          <w:szCs w:val="28"/>
          <w:highlight w:val="none"/>
        </w:rPr>
        <w:t>第二</w:t>
      </w:r>
      <w:r>
        <w:rPr>
          <w:rFonts w:hint="eastAsia" w:ascii="Times New Roman" w:hAnsi="Times New Roman"/>
          <w:color w:val="auto"/>
          <w:sz w:val="28"/>
          <w:szCs w:val="28"/>
          <w:highlight w:val="none"/>
        </w:rPr>
        <w:t>，</w:t>
      </w:r>
      <w:r>
        <w:rPr>
          <w:rFonts w:ascii="Times New Roman" w:hAnsi="Times New Roman"/>
          <w:color w:val="auto"/>
          <w:sz w:val="28"/>
          <w:szCs w:val="28"/>
          <w:highlight w:val="none"/>
        </w:rPr>
        <w:t>绿地建设卓有成效</w:t>
      </w:r>
      <w:r>
        <w:rPr>
          <w:rFonts w:hint="eastAsia" w:ascii="Times New Roman" w:hAnsi="Times New Roman"/>
          <w:color w:val="auto"/>
          <w:sz w:val="28"/>
          <w:szCs w:val="28"/>
          <w:highlight w:val="none"/>
        </w:rPr>
        <w:t>。近年来，海丰县新建了金山公园、丽江公园和大云岭森林公园，提升改造了文天祥公园、龙山公园和青年公园，县城绿地面积（尤其是公园绿地面积）得到大幅度增加，绿地景观效果得到大幅度提升。</w:t>
      </w:r>
    </w:p>
    <w:p>
      <w:pPr>
        <w:widowControl/>
        <w:ind w:firstLine="560" w:firstLineChars="200"/>
        <w:jc w:val="left"/>
        <w:rPr>
          <w:rFonts w:ascii="Times New Roman" w:hAnsi="Times New Roman"/>
          <w:color w:val="auto"/>
          <w:sz w:val="28"/>
          <w:szCs w:val="28"/>
          <w:highlight w:val="none"/>
        </w:rPr>
      </w:pPr>
      <w:r>
        <w:rPr>
          <w:rFonts w:ascii="Times New Roman" w:hAnsi="Times New Roman"/>
          <w:color w:val="auto"/>
          <w:sz w:val="28"/>
          <w:szCs w:val="28"/>
          <w:highlight w:val="none"/>
        </w:rPr>
        <w:t>第三</w:t>
      </w:r>
      <w:r>
        <w:rPr>
          <w:rFonts w:hint="eastAsia" w:ascii="Times New Roman" w:hAnsi="Times New Roman"/>
          <w:color w:val="auto"/>
          <w:sz w:val="28"/>
          <w:szCs w:val="28"/>
          <w:highlight w:val="none"/>
        </w:rPr>
        <w:t>，生活垃圾、污水处理设施完善。生活垃圾无害化处理方面，海丰县依靠</w:t>
      </w:r>
      <w:r>
        <w:rPr>
          <w:rFonts w:ascii="Times New Roman" w:hAnsi="Times New Roman"/>
          <w:color w:val="auto"/>
          <w:sz w:val="28"/>
          <w:szCs w:val="28"/>
          <w:highlight w:val="none"/>
        </w:rPr>
        <w:t>完善的城乡垃圾收运体系，加大城乡生活垃圾管理投入，实现环卫作业高标准、全覆盖，做到生活垃圾“日产日清”，确保</w:t>
      </w:r>
      <w:r>
        <w:rPr>
          <w:rFonts w:hint="eastAsia" w:ascii="Times New Roman" w:hAnsi="Times New Roman"/>
          <w:color w:val="auto"/>
          <w:sz w:val="28"/>
          <w:szCs w:val="28"/>
          <w:highlight w:val="none"/>
        </w:rPr>
        <w:t>县城</w:t>
      </w:r>
      <w:r>
        <w:rPr>
          <w:rFonts w:ascii="Times New Roman" w:hAnsi="Times New Roman"/>
          <w:color w:val="auto"/>
          <w:sz w:val="28"/>
          <w:szCs w:val="28"/>
          <w:highlight w:val="none"/>
        </w:rPr>
        <w:t xml:space="preserve">环境“日净日洁” </w:t>
      </w:r>
      <w:r>
        <w:rPr>
          <w:rFonts w:hint="eastAsia" w:ascii="Times New Roman" w:hAnsi="Times New Roman"/>
          <w:color w:val="auto"/>
          <w:sz w:val="28"/>
          <w:szCs w:val="28"/>
          <w:highlight w:val="none"/>
        </w:rPr>
        <w:t>，县城</w:t>
      </w:r>
      <w:r>
        <w:rPr>
          <w:rFonts w:ascii="Times New Roman" w:hAnsi="Times New Roman"/>
          <w:color w:val="auto"/>
          <w:sz w:val="28"/>
          <w:szCs w:val="28"/>
          <w:highlight w:val="none"/>
        </w:rPr>
        <w:t>生活垃圾无害化处理率达100%</w:t>
      </w:r>
      <w:r>
        <w:rPr>
          <w:rFonts w:hint="eastAsia" w:ascii="Times New Roman" w:hAnsi="Times New Roman"/>
          <w:color w:val="auto"/>
          <w:sz w:val="28"/>
          <w:szCs w:val="28"/>
          <w:highlight w:val="none"/>
        </w:rPr>
        <w:t>。</w:t>
      </w:r>
      <w:r>
        <w:rPr>
          <w:rFonts w:ascii="Times New Roman" w:hAnsi="Times New Roman"/>
          <w:color w:val="auto"/>
          <w:sz w:val="28"/>
          <w:szCs w:val="28"/>
          <w:highlight w:val="none"/>
        </w:rPr>
        <w:t>2019年</w:t>
      </w:r>
      <w:r>
        <w:rPr>
          <w:rFonts w:hint="eastAsia" w:ascii="Times New Roman" w:hAnsi="Times New Roman"/>
          <w:color w:val="auto"/>
          <w:sz w:val="28"/>
          <w:szCs w:val="28"/>
          <w:highlight w:val="none"/>
        </w:rPr>
        <w:t>，</w:t>
      </w:r>
      <w:r>
        <w:rPr>
          <w:rFonts w:ascii="Times New Roman" w:hAnsi="Times New Roman"/>
          <w:color w:val="auto"/>
          <w:sz w:val="28"/>
          <w:szCs w:val="28"/>
          <w:highlight w:val="none"/>
        </w:rPr>
        <w:t>海丰县</w:t>
      </w:r>
      <w:r>
        <w:rPr>
          <w:rFonts w:hint="eastAsia" w:ascii="Times New Roman" w:hAnsi="Times New Roman"/>
          <w:color w:val="auto"/>
          <w:sz w:val="28"/>
          <w:szCs w:val="28"/>
          <w:highlight w:val="none"/>
        </w:rPr>
        <w:t>启动</w:t>
      </w:r>
      <w:r>
        <w:rPr>
          <w:rFonts w:ascii="Times New Roman" w:hAnsi="Times New Roman"/>
          <w:color w:val="auto"/>
          <w:sz w:val="28"/>
          <w:szCs w:val="28"/>
          <w:highlight w:val="none"/>
        </w:rPr>
        <w:t>生活垃圾分类处置工作，</w:t>
      </w:r>
      <w:r>
        <w:rPr>
          <w:rFonts w:hint="eastAsia" w:ascii="Times New Roman" w:hAnsi="Times New Roman"/>
          <w:color w:val="auto"/>
          <w:sz w:val="28"/>
          <w:szCs w:val="28"/>
          <w:highlight w:val="none"/>
        </w:rPr>
        <w:t>在县城三镇共建智能垃圾分类点8个，垃圾分类驿站21个，设置分类垃圾分类投放点240个，摆放分类垃圾桶960个，有效地实现垃圾减量化、资源化、无害化处理</w:t>
      </w:r>
      <w:r>
        <w:rPr>
          <w:rFonts w:ascii="Times New Roman" w:hAnsi="Times New Roman"/>
          <w:color w:val="auto"/>
          <w:sz w:val="28"/>
          <w:szCs w:val="28"/>
          <w:highlight w:val="none"/>
        </w:rPr>
        <w:t>。生活污水处理方面</w:t>
      </w:r>
      <w:r>
        <w:rPr>
          <w:rFonts w:hint="eastAsia" w:ascii="Times New Roman" w:hAnsi="Times New Roman"/>
          <w:color w:val="auto"/>
          <w:sz w:val="28"/>
          <w:szCs w:val="28"/>
          <w:highlight w:val="none"/>
        </w:rPr>
        <w:t>，海丰县污水处理厂设计处理能力为日处理污水8.00万立方米，基本满足县城污水处理需求，县城污水处理率达91%以上。近期建设的第二污水处理厂，采用较为先进的污水处理工艺，设计规模为日处理污水4万吨（远期8万吨/天），配套管网9.57公里（远期20公里），建成后将极大地增强县城污水处理能力</w:t>
      </w:r>
      <w:r>
        <w:rPr>
          <w:rFonts w:ascii="Times New Roman" w:hAnsi="Times New Roman"/>
          <w:color w:val="auto"/>
          <w:sz w:val="28"/>
          <w:szCs w:val="28"/>
          <w:highlight w:val="none"/>
        </w:rPr>
        <w:t>。</w:t>
      </w:r>
    </w:p>
    <w:p>
      <w:pPr>
        <w:rPr>
          <w:rFonts w:ascii="Times New Roman" w:hAnsi="Times New Roman"/>
          <w:color w:val="auto"/>
          <w:highlight w:val="none"/>
        </w:rPr>
      </w:pPr>
      <w:r>
        <w:rPr>
          <w:rFonts w:ascii="Times New Roman" w:hAnsi="Times New Roman"/>
          <w:color w:val="auto"/>
          <w:highlight w:val="none"/>
        </w:rPr>
        <w:drawing>
          <wp:inline distT="0" distB="0" distL="0" distR="0">
            <wp:extent cx="5273675" cy="1572895"/>
            <wp:effectExtent l="0" t="0" r="3175" b="825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5273675" cy="1572895"/>
                    </a:xfrm>
                    <a:prstGeom prst="rect">
                      <a:avLst/>
                    </a:prstGeom>
                    <a:noFill/>
                  </pic:spPr>
                </pic:pic>
              </a:graphicData>
            </a:graphic>
          </wp:inline>
        </w:drawing>
      </w:r>
    </w:p>
    <w:p>
      <w:pPr>
        <w:pStyle w:val="2"/>
        <w:ind w:left="0" w:leftChars="0" w:firstLineChars="0"/>
        <w:jc w:val="center"/>
        <w:rPr>
          <w:rFonts w:ascii="Times New Roman" w:hAnsi="Times New Roman" w:eastAsia="宋体"/>
          <w:b/>
          <w:color w:val="auto"/>
          <w:szCs w:val="28"/>
          <w:highlight w:val="none"/>
        </w:rPr>
      </w:pPr>
      <w:r>
        <w:rPr>
          <w:rFonts w:ascii="Times New Roman" w:hAnsi="Times New Roman" w:eastAsia="宋体"/>
          <w:b/>
          <w:color w:val="auto"/>
          <w:highlight w:val="none"/>
        </w:rPr>
        <w:t>图</w:t>
      </w:r>
      <w:r>
        <w:rPr>
          <w:rFonts w:hint="eastAsia" w:ascii="Times New Roman" w:hAnsi="Times New Roman" w:eastAsia="宋体"/>
          <w:b/>
          <w:color w:val="auto"/>
          <w:highlight w:val="none"/>
        </w:rPr>
        <w:t>3-1-1  海丰县县城现状</w:t>
      </w:r>
    </w:p>
    <w:p>
      <w:pPr>
        <w:widowControl/>
        <w:numPr>
          <w:ilvl w:val="-1"/>
          <w:numId w:val="0"/>
        </w:numPr>
        <w:spacing w:line="360" w:lineRule="auto"/>
        <w:ind w:firstLine="562" w:firstLineChars="200"/>
        <w:jc w:val="left"/>
        <w:rPr>
          <w:rFonts w:ascii="Times New Roman" w:hAnsi="Times New Roman"/>
          <w:b/>
          <w:bCs/>
          <w:color w:val="auto"/>
          <w:sz w:val="28"/>
          <w:szCs w:val="28"/>
          <w:highlight w:val="none"/>
        </w:rPr>
      </w:pPr>
      <w:r>
        <w:rPr>
          <w:rFonts w:hint="eastAsia" w:ascii="Times New Roman" w:hAnsi="Times New Roman"/>
          <w:b/>
          <w:bCs/>
          <w:color w:val="auto"/>
          <w:sz w:val="28"/>
          <w:szCs w:val="28"/>
          <w:highlight w:val="none"/>
          <w:lang w:eastAsia="zh-CN"/>
        </w:rPr>
        <w:t>（</w:t>
      </w:r>
      <w:r>
        <w:rPr>
          <w:rFonts w:hint="eastAsia" w:ascii="Times New Roman" w:hAnsi="Times New Roman"/>
          <w:b/>
          <w:bCs/>
          <w:color w:val="auto"/>
          <w:sz w:val="28"/>
          <w:szCs w:val="28"/>
          <w:highlight w:val="none"/>
          <w:lang w:val="en-US" w:eastAsia="zh-CN"/>
        </w:rPr>
        <w:t>2</w:t>
      </w:r>
      <w:r>
        <w:rPr>
          <w:rFonts w:hint="eastAsia" w:ascii="Times New Roman" w:hAnsi="Times New Roman"/>
          <w:b/>
          <w:bCs/>
          <w:color w:val="auto"/>
          <w:sz w:val="28"/>
          <w:szCs w:val="28"/>
          <w:highlight w:val="none"/>
          <w:lang w:eastAsia="zh-CN"/>
        </w:rPr>
        <w:t>）</w:t>
      </w:r>
      <w:r>
        <w:rPr>
          <w:rFonts w:hint="default" w:ascii="Times New Roman" w:hAnsi="Times New Roman"/>
          <w:b/>
          <w:bCs/>
          <w:color w:val="auto"/>
          <w:sz w:val="28"/>
          <w:szCs w:val="28"/>
          <w:highlight w:val="none"/>
        </w:rPr>
        <w:t>生态环境保护</w:t>
      </w:r>
      <w:r>
        <w:rPr>
          <w:rFonts w:ascii="Times New Roman" w:hAnsi="Times New Roman"/>
          <w:b/>
          <w:bCs/>
          <w:color w:val="auto"/>
          <w:sz w:val="28"/>
          <w:szCs w:val="28"/>
          <w:highlight w:val="none"/>
        </w:rPr>
        <w:t>良好</w:t>
      </w:r>
    </w:p>
    <w:p>
      <w:pPr>
        <w:widowControl/>
        <w:ind w:firstLine="560" w:firstLineChars="200"/>
        <w:jc w:val="left"/>
        <w:rPr>
          <w:rFonts w:ascii="Times New Roman" w:hAnsi="Times New Roman"/>
          <w:color w:val="auto"/>
          <w:sz w:val="28"/>
          <w:szCs w:val="28"/>
          <w:highlight w:val="none"/>
        </w:rPr>
      </w:pPr>
      <w:r>
        <w:rPr>
          <w:rFonts w:hint="eastAsia" w:ascii="Times New Roman" w:hAnsi="Times New Roman"/>
          <w:color w:val="auto"/>
          <w:sz w:val="28"/>
          <w:szCs w:val="28"/>
          <w:highlight w:val="none"/>
        </w:rPr>
        <w:t>第一、生物资源和湿地得到较好保护。生物资源保护方面，</w:t>
      </w:r>
      <w:r>
        <w:rPr>
          <w:rFonts w:ascii="Times New Roman" w:hAnsi="Times New Roman"/>
          <w:color w:val="auto"/>
          <w:sz w:val="28"/>
          <w:szCs w:val="28"/>
          <w:highlight w:val="none"/>
        </w:rPr>
        <w:t>为保护良好的生态环境和野生动植物资源，海丰县设立了</w:t>
      </w:r>
      <w:r>
        <w:rPr>
          <w:rFonts w:hint="eastAsia" w:ascii="Times New Roman" w:hAnsi="Times New Roman"/>
          <w:color w:val="auto"/>
          <w:sz w:val="28"/>
          <w:szCs w:val="28"/>
          <w:highlight w:val="none"/>
        </w:rPr>
        <w:t>7个县级以上自然保护地，包括广东海丰鸟类省级自然保护区、广东海丰莲花山森林公园、海丰莲花山自然保护区、海丰学堂坑自然保护区、海丰县平东南门水库森林公园、海丰县大云岭森林公园和汕尾市黄羌林场五马归槽森林公园，以上自然保护地已通过省林业局确认，正式登记录入广东省自然保护监督管理平台</w:t>
      </w:r>
      <w:r>
        <w:rPr>
          <w:rFonts w:ascii="Times New Roman" w:hAnsi="Times New Roman"/>
          <w:color w:val="auto"/>
          <w:sz w:val="28"/>
          <w:szCs w:val="28"/>
          <w:highlight w:val="none"/>
        </w:rPr>
        <w:t>。通过设立自然保护地的方式</w:t>
      </w:r>
      <w:r>
        <w:rPr>
          <w:rFonts w:hint="eastAsia" w:ascii="Times New Roman" w:hAnsi="Times New Roman"/>
          <w:color w:val="auto"/>
          <w:sz w:val="28"/>
          <w:szCs w:val="28"/>
          <w:highlight w:val="none"/>
        </w:rPr>
        <w:t>，</w:t>
      </w:r>
      <w:r>
        <w:rPr>
          <w:rFonts w:ascii="Times New Roman" w:hAnsi="Times New Roman"/>
          <w:color w:val="auto"/>
          <w:sz w:val="28"/>
          <w:szCs w:val="28"/>
          <w:highlight w:val="none"/>
        </w:rPr>
        <w:t>海丰县的山水格局得到较好的维护</w:t>
      </w:r>
      <w:r>
        <w:rPr>
          <w:rFonts w:hint="eastAsia" w:ascii="Times New Roman" w:hAnsi="Times New Roman"/>
          <w:color w:val="auto"/>
          <w:sz w:val="28"/>
          <w:szCs w:val="28"/>
          <w:highlight w:val="none"/>
        </w:rPr>
        <w:t>，</w:t>
      </w:r>
      <w:r>
        <w:rPr>
          <w:rFonts w:ascii="Times New Roman" w:hAnsi="Times New Roman"/>
          <w:color w:val="auto"/>
          <w:sz w:val="28"/>
          <w:szCs w:val="28"/>
          <w:highlight w:val="none"/>
        </w:rPr>
        <w:t>县城显山露水</w:t>
      </w:r>
      <w:r>
        <w:rPr>
          <w:rFonts w:hint="eastAsia" w:ascii="Times New Roman" w:hAnsi="Times New Roman"/>
          <w:color w:val="auto"/>
          <w:sz w:val="28"/>
          <w:szCs w:val="28"/>
          <w:highlight w:val="none"/>
        </w:rPr>
        <w:t>。</w:t>
      </w:r>
      <w:r>
        <w:rPr>
          <w:rFonts w:ascii="Times New Roman" w:hAnsi="Times New Roman"/>
          <w:color w:val="auto"/>
          <w:sz w:val="28"/>
          <w:szCs w:val="28"/>
          <w:highlight w:val="none"/>
        </w:rPr>
        <w:t>鸟类、蟒蛇、穿山甲、苏门羚、水獭、大壁虎、虎纹蛙、桫椤科种类等国家保护或重要资源物种及其栖息地也得到有效保护。湿地资源保护方面</w:t>
      </w:r>
      <w:r>
        <w:rPr>
          <w:rFonts w:hint="eastAsia" w:ascii="Times New Roman" w:hAnsi="Times New Roman"/>
          <w:color w:val="auto"/>
          <w:sz w:val="28"/>
          <w:szCs w:val="28"/>
          <w:highlight w:val="none"/>
        </w:rPr>
        <w:t>，海丰县共有各类湿地面积16634.54 公顷，其中国际重要湿地8586.32公顷，一般湿地8048.22公顷。其中，广东海丰鸟类省级自然保护区（湿地面积8586.32 公顷）在2008年2月成为我国36处国际重要湿地之一。</w:t>
      </w:r>
    </w:p>
    <w:p>
      <w:pPr>
        <w:pStyle w:val="2"/>
        <w:ind w:left="0" w:leftChars="0" w:firstLine="0" w:firstLineChars="0"/>
        <w:rPr>
          <w:rFonts w:ascii="Times New Roman" w:hAnsi="Times New Roman"/>
          <w:color w:val="auto"/>
          <w:szCs w:val="28"/>
          <w:highlight w:val="none"/>
        </w:rPr>
      </w:pPr>
    </w:p>
    <w:p>
      <w:pPr>
        <w:pStyle w:val="2"/>
        <w:ind w:left="0" w:leftChars="0" w:firstLine="0" w:firstLineChars="0"/>
        <w:rPr>
          <w:rFonts w:ascii="Times New Roman" w:hAnsi="Times New Roman"/>
          <w:color w:val="auto"/>
          <w:highlight w:val="none"/>
        </w:rPr>
      </w:pPr>
      <w:r>
        <w:rPr>
          <w:rFonts w:ascii="Times New Roman" w:hAnsi="Times New Roman"/>
          <w:color w:val="auto"/>
          <w:highlight w:val="none"/>
        </w:rPr>
        <w:drawing>
          <wp:inline distT="0" distB="0" distL="0" distR="0">
            <wp:extent cx="5274310" cy="3166110"/>
            <wp:effectExtent l="0" t="0" r="2540" b="0"/>
            <wp:docPr id="41" name="图片 41" descr="http://www.gdhf.gov.cn/img/0/72/72091/648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http://www.gdhf.gov.cn/img/0/72/72091/64865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5274310" cy="3166565"/>
                    </a:xfrm>
                    <a:prstGeom prst="rect">
                      <a:avLst/>
                    </a:prstGeom>
                    <a:noFill/>
                    <a:ln>
                      <a:noFill/>
                    </a:ln>
                  </pic:spPr>
                </pic:pic>
              </a:graphicData>
            </a:graphic>
          </wp:inline>
        </w:drawing>
      </w:r>
    </w:p>
    <w:p>
      <w:pPr>
        <w:pStyle w:val="2"/>
        <w:ind w:left="0" w:leftChars="0" w:firstLine="0" w:firstLineChars="0"/>
        <w:jc w:val="center"/>
        <w:rPr>
          <w:rFonts w:ascii="Times New Roman" w:hAnsi="Times New Roman" w:eastAsia="宋体"/>
          <w:b/>
          <w:color w:val="auto"/>
          <w:szCs w:val="28"/>
          <w:highlight w:val="none"/>
        </w:rPr>
      </w:pPr>
      <w:r>
        <w:rPr>
          <w:rFonts w:hint="eastAsia" w:ascii="Times New Roman" w:hAnsi="Times New Roman" w:eastAsia="宋体"/>
          <w:b/>
          <w:color w:val="auto"/>
          <w:highlight w:val="none"/>
        </w:rPr>
        <w:t>图3-1-2  广东海丰鸟类省级自然保护区</w:t>
      </w:r>
    </w:p>
    <w:p>
      <w:pPr>
        <w:widowControl/>
        <w:ind w:firstLine="560" w:firstLineChars="200"/>
        <w:jc w:val="left"/>
        <w:rPr>
          <w:rFonts w:ascii="Times New Roman" w:hAnsi="Times New Roman"/>
          <w:color w:val="auto"/>
          <w:sz w:val="28"/>
          <w:szCs w:val="28"/>
          <w:highlight w:val="none"/>
        </w:rPr>
      </w:pPr>
      <w:r>
        <w:rPr>
          <w:rFonts w:ascii="Times New Roman" w:hAnsi="Times New Roman"/>
          <w:color w:val="auto"/>
          <w:sz w:val="28"/>
          <w:szCs w:val="28"/>
          <w:highlight w:val="none"/>
        </w:rPr>
        <w:t>第二、水环境治理初见成效。据《汕尾市碧道建设总体规划（2020-2035年）》，</w:t>
      </w:r>
      <w:r>
        <w:rPr>
          <w:rFonts w:hint="eastAsia" w:ascii="Times New Roman" w:hAnsi="Times New Roman"/>
          <w:color w:val="auto"/>
          <w:sz w:val="28"/>
          <w:szCs w:val="28"/>
          <w:highlight w:val="none"/>
        </w:rPr>
        <w:t>海丰县大部分河流为</w:t>
      </w:r>
      <w:r>
        <w:rPr>
          <w:rFonts w:ascii="Times New Roman" w:hAnsi="Times New Roman"/>
          <w:color w:val="auto"/>
          <w:sz w:val="28"/>
          <w:szCs w:val="28"/>
          <w:highlight w:val="none"/>
        </w:rPr>
        <w:t>II-III类水质</w:t>
      </w:r>
      <w:r>
        <w:rPr>
          <w:rFonts w:hint="eastAsia" w:ascii="Times New Roman" w:hAnsi="Times New Roman"/>
          <w:color w:val="auto"/>
          <w:sz w:val="28"/>
          <w:szCs w:val="28"/>
          <w:highlight w:val="none"/>
        </w:rPr>
        <w:t>，</w:t>
      </w:r>
      <w:r>
        <w:rPr>
          <w:rFonts w:ascii="Times New Roman" w:hAnsi="Times New Roman"/>
          <w:color w:val="auto"/>
          <w:sz w:val="28"/>
          <w:szCs w:val="28"/>
          <w:highlight w:val="none"/>
        </w:rPr>
        <w:t>但</w:t>
      </w:r>
      <w:r>
        <w:rPr>
          <w:rFonts w:hint="eastAsia" w:ascii="Times New Roman" w:hAnsi="Times New Roman"/>
          <w:color w:val="auto"/>
          <w:sz w:val="28"/>
          <w:szCs w:val="28"/>
          <w:highlight w:val="none"/>
        </w:rPr>
        <w:t>流经县城的龙津河污染严重。为彻底改善水环境，海丰县通过推进“三清一加固”的方式，实施中小河流治理19宗，完成治理河长245公里，达到“河畅、水清、岸绿、景美、人和”的总体目标。2019年，全县重点整治公平、青年、红花地水库等饮用水源地和开展大湖鸟类保护区、黄江河流域污染综合整治，实现黄江河西闸国考断面水质持续稳定达标。</w:t>
      </w:r>
    </w:p>
    <w:p>
      <w:pPr>
        <w:spacing w:line="360" w:lineRule="auto"/>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第三</w:t>
      </w:r>
      <w:r>
        <w:rPr>
          <w:rFonts w:hint="eastAsia" w:ascii="Times New Roman" w:hAnsi="Times New Roman"/>
          <w:color w:val="auto"/>
          <w:sz w:val="28"/>
          <w:szCs w:val="28"/>
          <w:highlight w:val="none"/>
        </w:rPr>
        <w:t>，</w:t>
      </w:r>
      <w:r>
        <w:rPr>
          <w:rFonts w:ascii="Times New Roman" w:hAnsi="Times New Roman"/>
          <w:color w:val="auto"/>
          <w:sz w:val="28"/>
          <w:szCs w:val="28"/>
          <w:highlight w:val="none"/>
        </w:rPr>
        <w:t>全县空气质量优良</w:t>
      </w:r>
      <w:r>
        <w:rPr>
          <w:rFonts w:hint="eastAsia" w:ascii="Times New Roman" w:hAnsi="Times New Roman"/>
          <w:color w:val="auto"/>
          <w:sz w:val="28"/>
          <w:szCs w:val="28"/>
          <w:highlight w:val="none"/>
        </w:rPr>
        <w:t>。海丰县产业结构主要以农业和服务业为主，工业较少，2019年三次产业比重为10.7：42.8：46.5，</w:t>
      </w:r>
      <w:r>
        <w:rPr>
          <w:rFonts w:ascii="Times New Roman" w:hAnsi="Times New Roman"/>
          <w:color w:val="auto"/>
          <w:sz w:val="28"/>
          <w:szCs w:val="28"/>
          <w:highlight w:val="none"/>
        </w:rPr>
        <w:t>县城受到的工业污染有限</w:t>
      </w:r>
      <w:r>
        <w:rPr>
          <w:rFonts w:hint="eastAsia" w:ascii="Times New Roman" w:hAnsi="Times New Roman"/>
          <w:color w:val="auto"/>
          <w:sz w:val="28"/>
          <w:szCs w:val="28"/>
          <w:highlight w:val="none"/>
        </w:rPr>
        <w:t>。此外，海丰县</w:t>
      </w:r>
      <w:r>
        <w:rPr>
          <w:rFonts w:hint="default" w:ascii="Times New Roman" w:hAnsi="Times New Roman"/>
          <w:color w:val="auto"/>
          <w:sz w:val="28"/>
          <w:szCs w:val="28"/>
          <w:highlight w:val="none"/>
        </w:rPr>
        <w:t>集中力量整治“散乱污”工业企业，积极发展公共交通、绿色交通，</w:t>
      </w:r>
      <w:r>
        <w:rPr>
          <w:rFonts w:ascii="Times New Roman" w:hAnsi="Times New Roman"/>
          <w:color w:val="auto"/>
          <w:sz w:val="28"/>
          <w:szCs w:val="28"/>
          <w:highlight w:val="none"/>
        </w:rPr>
        <w:t>县城空气质量一直处于较高水平</w:t>
      </w:r>
      <w:r>
        <w:rPr>
          <w:rFonts w:hint="eastAsia" w:ascii="Times New Roman" w:hAnsi="Times New Roman"/>
          <w:color w:val="auto"/>
          <w:sz w:val="28"/>
          <w:szCs w:val="28"/>
          <w:highlight w:val="none"/>
        </w:rPr>
        <w:t>。据统计，2019年全年空气质量优良天数345天，已远超广东省园林县城评价标准。</w:t>
      </w:r>
    </w:p>
    <w:p>
      <w:pPr>
        <w:spacing w:line="360" w:lineRule="auto"/>
        <w:ind w:firstLine="562" w:firstLineChars="200"/>
        <w:rPr>
          <w:rFonts w:ascii="Times New Roman" w:hAnsi="Times New Roman"/>
          <w:b/>
          <w:bCs/>
          <w:color w:val="auto"/>
          <w:sz w:val="28"/>
          <w:szCs w:val="28"/>
          <w:highlight w:val="none"/>
        </w:rPr>
      </w:pPr>
      <w:r>
        <w:rPr>
          <w:rFonts w:ascii="Times New Roman" w:hAnsi="Times New Roman"/>
          <w:b/>
          <w:bCs/>
          <w:color w:val="auto"/>
          <w:sz w:val="28"/>
          <w:szCs w:val="28"/>
          <w:highlight w:val="none"/>
        </w:rPr>
        <w:t>（3）红城历史文化底蕴深厚</w:t>
      </w:r>
    </w:p>
    <w:p>
      <w:pPr>
        <w:spacing w:line="360" w:lineRule="auto"/>
        <w:ind w:firstLine="560" w:firstLineChars="200"/>
        <w:rPr>
          <w:rFonts w:ascii="Times New Roman" w:hAnsi="Times New Roman"/>
          <w:color w:val="auto"/>
          <w:sz w:val="28"/>
          <w:szCs w:val="28"/>
          <w:highlight w:val="none"/>
        </w:rPr>
      </w:pPr>
      <w:r>
        <w:rPr>
          <w:rFonts w:hint="eastAsia" w:ascii="Times New Roman" w:hAnsi="Times New Roman"/>
          <w:color w:val="auto"/>
          <w:sz w:val="28"/>
          <w:szCs w:val="28"/>
          <w:highlight w:val="none"/>
        </w:rPr>
        <w:t>海丰县作为全国闻名的“彭湃故里·东方红城”，具有悠久的历史和深厚的文化底蕴。目前，海丰县共有3处历史文化街区，分别为红宫红场历史文化街区、人民南路-红场路历史文化街区、中山西路-中山中路历史文化街区，核心保护范围7.95公顷；有国重点、省级、市级和县级文物保护单位40处，其中国重点文物保护单位1处，省级文物保护单位4处，市级文物保护单位8处，县级文物保护单位27处。全面修缮和升级改造红宫红场，并依托红宫红场这个红色核心，对周边环境进行全面整治和亮化、净化、美化，大手笔打造了长达3公里、全国独一无二的“红色文化街”。红色文化街与红宫红场融为一体，大大提升红色文化的辐射效应，成为全国著名的红色经典景区。</w:t>
      </w:r>
    </w:p>
    <w:p>
      <w:pPr>
        <w:spacing w:line="360" w:lineRule="auto"/>
        <w:rPr>
          <w:rFonts w:ascii="Times New Roman" w:hAnsi="Times New Roman"/>
          <w:color w:val="auto"/>
          <w:sz w:val="28"/>
          <w:szCs w:val="28"/>
          <w:highlight w:val="none"/>
        </w:rPr>
      </w:pPr>
      <w:r>
        <w:rPr>
          <w:rFonts w:ascii="Times New Roman" w:hAnsi="Times New Roman"/>
          <w:color w:val="auto"/>
          <w:highlight w:val="none"/>
        </w:rPr>
        <w:drawing>
          <wp:inline distT="0" distB="0" distL="0" distR="0">
            <wp:extent cx="5274310" cy="2972435"/>
            <wp:effectExtent l="0" t="0" r="2540" b="0"/>
            <wp:docPr id="40" name="图片 40" descr="http://www.gdhf.gov.cn/img/0/52/52956/619872.n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http://www.gdhf.gov.cn/img/0/52/52956/619872.nil"/>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5274310" cy="2973053"/>
                    </a:xfrm>
                    <a:prstGeom prst="rect">
                      <a:avLst/>
                    </a:prstGeom>
                    <a:noFill/>
                    <a:ln>
                      <a:noFill/>
                    </a:ln>
                  </pic:spPr>
                </pic:pic>
              </a:graphicData>
            </a:graphic>
          </wp:inline>
        </w:drawing>
      </w:r>
    </w:p>
    <w:p>
      <w:pPr>
        <w:spacing w:line="360" w:lineRule="auto"/>
        <w:jc w:val="center"/>
        <w:rPr>
          <w:rFonts w:ascii="Times New Roman" w:hAnsi="Times New Roman"/>
          <w:color w:val="auto"/>
          <w:sz w:val="28"/>
          <w:szCs w:val="28"/>
          <w:highlight w:val="none"/>
        </w:rPr>
      </w:pPr>
      <w:r>
        <w:rPr>
          <w:rFonts w:hint="eastAsia" w:ascii="Times New Roman" w:hAnsi="Times New Roman"/>
          <w:color w:val="auto"/>
          <w:sz w:val="28"/>
          <w:szCs w:val="28"/>
          <w:highlight w:val="none"/>
        </w:rPr>
        <w:t>图3-1-3  海丰县红色文化街</w:t>
      </w:r>
    </w:p>
    <w:p>
      <w:pPr>
        <w:pStyle w:val="5"/>
        <w:rPr>
          <w:rFonts w:ascii="Times New Roman" w:hAnsi="Times New Roman" w:eastAsia="宋体"/>
          <w:color w:val="auto"/>
          <w:highlight w:val="none"/>
        </w:rPr>
      </w:pPr>
      <w:bookmarkStart w:id="110" w:name="_Toc21795"/>
      <w:bookmarkStart w:id="111" w:name="_Toc13663"/>
      <w:bookmarkStart w:id="112" w:name="_Toc1"/>
      <w:bookmarkStart w:id="113" w:name="_Toc23554"/>
      <w:bookmarkStart w:id="114" w:name="_Toc1076"/>
      <w:bookmarkStart w:id="115" w:name="_Toc27660"/>
      <w:r>
        <w:rPr>
          <w:rFonts w:ascii="Times New Roman" w:hAnsi="Times New Roman" w:eastAsia="宋体"/>
          <w:color w:val="auto"/>
          <w:highlight w:val="none"/>
        </w:rPr>
        <w:t>3.2 省级园林县城指标对比</w:t>
      </w:r>
      <w:bookmarkEnd w:id="110"/>
      <w:bookmarkEnd w:id="111"/>
      <w:bookmarkEnd w:id="112"/>
      <w:bookmarkEnd w:id="113"/>
      <w:bookmarkEnd w:id="114"/>
      <w:bookmarkEnd w:id="115"/>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根据2017年广东省住房和城乡建设厅发布的《广东省园林城市系列标准》，广东省园林县城共有46项评价标准。经过调查和统计分析，海丰县共有20项指标达到创省园标准，16项指标未达标，9项指标为缺失项，不参与考核指标1项（表3</w:t>
      </w:r>
      <w:r>
        <w:rPr>
          <w:rFonts w:hint="eastAsia" w:ascii="Times New Roman" w:hAnsi="Times New Roman"/>
          <w:color w:val="auto"/>
          <w:sz w:val="28"/>
          <w:szCs w:val="28"/>
          <w:highlight w:val="none"/>
        </w:rPr>
        <w:t>-2</w:t>
      </w:r>
      <w:r>
        <w:rPr>
          <w:rFonts w:ascii="Times New Roman" w:hAnsi="Times New Roman"/>
          <w:color w:val="auto"/>
          <w:sz w:val="28"/>
          <w:szCs w:val="28"/>
          <w:highlight w:val="none"/>
        </w:rPr>
        <w:t>-1）。</w:t>
      </w:r>
    </w:p>
    <w:p>
      <w:pPr>
        <w:jc w:val="center"/>
        <w:rPr>
          <w:rFonts w:ascii="Times New Roman" w:hAnsi="Times New Roman"/>
          <w:b/>
          <w:bCs/>
          <w:color w:val="auto"/>
          <w:sz w:val="28"/>
          <w:szCs w:val="28"/>
          <w:highlight w:val="none"/>
        </w:rPr>
      </w:pPr>
      <w:r>
        <w:rPr>
          <w:rFonts w:ascii="Times New Roman" w:hAnsi="Times New Roman"/>
          <w:b/>
          <w:bCs/>
          <w:color w:val="auto"/>
          <w:sz w:val="28"/>
          <w:szCs w:val="28"/>
          <w:highlight w:val="none"/>
        </w:rPr>
        <w:t>表3-</w:t>
      </w:r>
      <w:r>
        <w:rPr>
          <w:rFonts w:hint="eastAsia" w:ascii="Times New Roman" w:hAnsi="Times New Roman"/>
          <w:b/>
          <w:bCs/>
          <w:color w:val="auto"/>
          <w:sz w:val="28"/>
          <w:szCs w:val="28"/>
          <w:highlight w:val="none"/>
        </w:rPr>
        <w:t>2-</w:t>
      </w:r>
      <w:r>
        <w:rPr>
          <w:rFonts w:ascii="Times New Roman" w:hAnsi="Times New Roman"/>
          <w:b/>
          <w:bCs/>
          <w:color w:val="auto"/>
          <w:sz w:val="28"/>
          <w:szCs w:val="28"/>
          <w:highlight w:val="none"/>
        </w:rPr>
        <w:t>1  海丰县创建省级园林县城指标达标情况统计表</w:t>
      </w:r>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6"/>
        <w:gridCol w:w="840"/>
        <w:gridCol w:w="5290"/>
        <w:gridCol w:w="15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866" w:type="dxa"/>
            <w:vAlign w:val="center"/>
          </w:tcPr>
          <w:p>
            <w:pPr>
              <w:jc w:val="center"/>
              <w:rPr>
                <w:rFonts w:ascii="Times New Roman" w:hAnsi="Times New Roman"/>
                <w:b/>
                <w:bCs/>
                <w:color w:val="auto"/>
                <w:sz w:val="24"/>
                <w:highlight w:val="none"/>
              </w:rPr>
            </w:pPr>
            <w:r>
              <w:rPr>
                <w:rFonts w:ascii="Times New Roman" w:hAnsi="Times New Roman"/>
                <w:b/>
                <w:bCs/>
                <w:color w:val="auto"/>
                <w:sz w:val="24"/>
                <w:highlight w:val="none"/>
              </w:rPr>
              <w:t>指标类型</w:t>
            </w:r>
          </w:p>
        </w:tc>
        <w:tc>
          <w:tcPr>
            <w:tcW w:w="840" w:type="dxa"/>
            <w:vAlign w:val="center"/>
          </w:tcPr>
          <w:p>
            <w:pPr>
              <w:jc w:val="center"/>
              <w:rPr>
                <w:rFonts w:ascii="Times New Roman" w:hAnsi="Times New Roman"/>
                <w:b/>
                <w:bCs/>
                <w:color w:val="auto"/>
                <w:sz w:val="24"/>
                <w:highlight w:val="none"/>
              </w:rPr>
            </w:pPr>
            <w:r>
              <w:rPr>
                <w:rFonts w:ascii="Times New Roman" w:hAnsi="Times New Roman"/>
                <w:b/>
                <w:bCs/>
                <w:color w:val="auto"/>
                <w:sz w:val="24"/>
                <w:highlight w:val="none"/>
              </w:rPr>
              <w:t>总计（项）</w:t>
            </w:r>
          </w:p>
        </w:tc>
        <w:tc>
          <w:tcPr>
            <w:tcW w:w="5290" w:type="dxa"/>
            <w:vAlign w:val="center"/>
          </w:tcPr>
          <w:p>
            <w:pPr>
              <w:jc w:val="center"/>
              <w:rPr>
                <w:rFonts w:ascii="Times New Roman" w:hAnsi="Times New Roman"/>
                <w:b/>
                <w:bCs/>
                <w:color w:val="auto"/>
                <w:sz w:val="24"/>
                <w:highlight w:val="none"/>
              </w:rPr>
            </w:pPr>
            <w:r>
              <w:rPr>
                <w:rFonts w:ascii="Times New Roman" w:hAnsi="Times New Roman"/>
                <w:b/>
                <w:bCs/>
                <w:color w:val="auto"/>
                <w:sz w:val="24"/>
                <w:highlight w:val="none"/>
              </w:rPr>
              <w:t>具体指标序号及名称</w:t>
            </w:r>
          </w:p>
        </w:tc>
        <w:tc>
          <w:tcPr>
            <w:tcW w:w="1526" w:type="dxa"/>
            <w:vAlign w:val="center"/>
          </w:tcPr>
          <w:p>
            <w:pPr>
              <w:jc w:val="center"/>
              <w:rPr>
                <w:rFonts w:ascii="Times New Roman" w:hAnsi="Times New Roman"/>
                <w:b/>
                <w:bCs/>
                <w:color w:val="auto"/>
                <w:sz w:val="24"/>
                <w:highlight w:val="none"/>
              </w:rPr>
            </w:pPr>
            <w:r>
              <w:rPr>
                <w:rFonts w:ascii="Times New Roman" w:hAnsi="Times New Roman"/>
                <w:b/>
                <w:bCs/>
                <w:color w:val="auto"/>
                <w:sz w:val="24"/>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6" w:type="dxa"/>
            <w:vAlign w:val="center"/>
          </w:tcPr>
          <w:p>
            <w:pPr>
              <w:jc w:val="center"/>
              <w:rPr>
                <w:rFonts w:ascii="Times New Roman" w:hAnsi="Times New Roman"/>
                <w:color w:val="auto"/>
                <w:sz w:val="24"/>
                <w:highlight w:val="none"/>
              </w:rPr>
            </w:pPr>
            <w:r>
              <w:rPr>
                <w:rFonts w:ascii="Times New Roman" w:hAnsi="Times New Roman"/>
                <w:color w:val="auto"/>
                <w:sz w:val="24"/>
                <w:highlight w:val="none"/>
              </w:rPr>
              <w:t>达标指标</w:t>
            </w:r>
          </w:p>
        </w:tc>
        <w:tc>
          <w:tcPr>
            <w:tcW w:w="840" w:type="dxa"/>
            <w:vAlign w:val="center"/>
          </w:tcPr>
          <w:p>
            <w:pPr>
              <w:jc w:val="center"/>
              <w:rPr>
                <w:rFonts w:ascii="Times New Roman" w:hAnsi="Times New Roman"/>
                <w:color w:val="auto"/>
                <w:sz w:val="24"/>
                <w:highlight w:val="none"/>
              </w:rPr>
            </w:pPr>
            <w:r>
              <w:rPr>
                <w:rFonts w:ascii="Times New Roman" w:hAnsi="Times New Roman"/>
                <w:color w:val="auto"/>
                <w:sz w:val="24"/>
                <w:highlight w:val="none"/>
              </w:rPr>
              <w:t>20</w:t>
            </w:r>
          </w:p>
        </w:tc>
        <w:tc>
          <w:tcPr>
            <w:tcW w:w="5290" w:type="dxa"/>
            <w:vAlign w:val="center"/>
          </w:tcPr>
          <w:p>
            <w:pPr>
              <w:jc w:val="center"/>
              <w:rPr>
                <w:rFonts w:ascii="Times New Roman" w:hAnsi="Times New Roman"/>
                <w:color w:val="auto"/>
                <w:sz w:val="24"/>
                <w:highlight w:val="none"/>
              </w:rPr>
            </w:pPr>
            <w:r>
              <w:rPr>
                <w:rFonts w:ascii="Times New Roman" w:hAnsi="Times New Roman"/>
                <w:color w:val="auto"/>
                <w:sz w:val="24"/>
                <w:highlight w:val="none"/>
              </w:rPr>
              <w:t>1园林绿化管理机构、2园林绿化建设维护专项资金、13符合《公园设计规范》要求的综合公园、18防护绿地实施率、22公园规范化管理、24绿道建设管理、26节约型园林绿化建设、30生态保护与修复、34全年空气质量优良天数、35地表水IV类及以上水体比率、36县容县貌、37管网水检测项目合格率、38污水处理率、39生活垃圾无害化处理率、40公共供水用水普及率、41道路完好率、42市政基础设施安全运行、43无障碍设施建设、44绿色建筑和装配式建筑、46综合否决项</w:t>
            </w:r>
          </w:p>
        </w:tc>
        <w:tc>
          <w:tcPr>
            <w:tcW w:w="1526" w:type="dxa"/>
            <w:vAlign w:val="center"/>
          </w:tcPr>
          <w:p>
            <w:pPr>
              <w:jc w:val="center"/>
              <w:rPr>
                <w:rFonts w:ascii="Times New Roman" w:hAnsi="Times New Roman"/>
                <w:color w:val="auto"/>
                <w:sz w:val="24"/>
                <w:highlight w:val="none"/>
              </w:rPr>
            </w:pPr>
            <w:r>
              <w:rPr>
                <w:rFonts w:ascii="Times New Roman" w:hAnsi="Times New Roman"/>
                <w:color w:val="auto"/>
                <w:sz w:val="24"/>
                <w:highlight w:val="none"/>
              </w:rPr>
              <w:t>含污水处理率、生活垃圾无害化处理率共2项否决项和1个综合否决项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trPr>
        <w:tc>
          <w:tcPr>
            <w:tcW w:w="866" w:type="dxa"/>
            <w:vAlign w:val="center"/>
          </w:tcPr>
          <w:p>
            <w:pPr>
              <w:jc w:val="center"/>
              <w:rPr>
                <w:rFonts w:ascii="Times New Roman" w:hAnsi="Times New Roman"/>
                <w:color w:val="auto"/>
                <w:sz w:val="24"/>
                <w:highlight w:val="none"/>
              </w:rPr>
            </w:pPr>
            <w:r>
              <w:rPr>
                <w:rFonts w:ascii="Times New Roman" w:hAnsi="Times New Roman"/>
                <w:color w:val="auto"/>
                <w:sz w:val="24"/>
                <w:highlight w:val="none"/>
              </w:rPr>
              <w:t>不达标指标</w:t>
            </w:r>
          </w:p>
        </w:tc>
        <w:tc>
          <w:tcPr>
            <w:tcW w:w="840" w:type="dxa"/>
            <w:vAlign w:val="center"/>
          </w:tcPr>
          <w:p>
            <w:pPr>
              <w:jc w:val="center"/>
              <w:rPr>
                <w:rFonts w:ascii="Times New Roman" w:hAnsi="Times New Roman"/>
                <w:color w:val="auto"/>
                <w:sz w:val="24"/>
                <w:highlight w:val="none"/>
              </w:rPr>
            </w:pPr>
            <w:r>
              <w:rPr>
                <w:rFonts w:ascii="Times New Roman" w:hAnsi="Times New Roman"/>
                <w:color w:val="auto"/>
                <w:sz w:val="24"/>
                <w:highlight w:val="none"/>
              </w:rPr>
              <w:t>16</w:t>
            </w:r>
          </w:p>
        </w:tc>
        <w:tc>
          <w:tcPr>
            <w:tcW w:w="5290" w:type="dxa"/>
            <w:vAlign w:val="center"/>
          </w:tcPr>
          <w:p>
            <w:pPr>
              <w:jc w:val="left"/>
              <w:rPr>
                <w:rFonts w:ascii="Times New Roman" w:hAnsi="Times New Roman"/>
                <w:color w:val="auto"/>
                <w:sz w:val="24"/>
                <w:highlight w:val="none"/>
              </w:rPr>
            </w:pPr>
            <w:r>
              <w:rPr>
                <w:rFonts w:ascii="Times New Roman" w:hAnsi="Times New Roman"/>
                <w:color w:val="auto"/>
                <w:sz w:val="24"/>
                <w:highlight w:val="none"/>
              </w:rPr>
              <w:t>4《绿地系统规划》编制实施、9建成区绿化覆盖率、10建成区绿地率、</w:t>
            </w:r>
            <w:r>
              <w:rPr>
                <w:rFonts w:hint="eastAsia" w:ascii="Times New Roman" w:hAnsi="Times New Roman"/>
                <w:color w:val="auto"/>
                <w:sz w:val="24"/>
                <w:highlight w:val="none"/>
              </w:rPr>
              <w:t>11</w:t>
            </w:r>
            <w:r>
              <w:rPr>
                <w:rFonts w:ascii="Times New Roman" w:hAnsi="Times New Roman"/>
                <w:color w:val="auto"/>
                <w:sz w:val="24"/>
                <w:highlight w:val="none"/>
              </w:rPr>
              <w:t>人均公园绿地面积、12公园绿地服务半径覆盖率、14新建、改建居住区绿地达标率、16道路绿化普及率、17道路绿化达标率、19河道绿化普及率、20绿地系统规划执行和建设管理、23公园绿地应急避险功能完善建设、25古树名木及后备资源保护、28历史风貌保护、32乡土、适生植物资源保护与应用、33湿地资源保护、45林荫路推广率</w:t>
            </w:r>
          </w:p>
        </w:tc>
        <w:tc>
          <w:tcPr>
            <w:tcW w:w="1526" w:type="dxa"/>
            <w:vAlign w:val="center"/>
          </w:tcPr>
          <w:p>
            <w:pPr>
              <w:jc w:val="center"/>
              <w:rPr>
                <w:rFonts w:ascii="Times New Roman" w:hAnsi="Times New Roman"/>
                <w:color w:val="auto"/>
                <w:sz w:val="24"/>
                <w:highlight w:val="none"/>
              </w:rPr>
            </w:pPr>
            <w:r>
              <w:rPr>
                <w:rFonts w:ascii="Times New Roman" w:hAnsi="Times New Roman"/>
                <w:color w:val="auto"/>
                <w:sz w:val="24"/>
                <w:highlight w:val="none"/>
              </w:rPr>
              <w:t>含《绿地系统规划》编制实施</w:t>
            </w:r>
            <w:r>
              <w:rPr>
                <w:rFonts w:hint="eastAsia" w:ascii="Times New Roman" w:hAnsi="Times New Roman"/>
                <w:color w:val="auto"/>
                <w:sz w:val="24"/>
                <w:highlight w:val="none"/>
              </w:rPr>
              <w:t>、</w:t>
            </w:r>
            <w:r>
              <w:rPr>
                <w:rFonts w:ascii="Times New Roman" w:hAnsi="Times New Roman"/>
                <w:color w:val="auto"/>
                <w:sz w:val="24"/>
                <w:highlight w:val="none"/>
              </w:rPr>
              <w:t>建成区绿地率</w:t>
            </w:r>
            <w:r>
              <w:rPr>
                <w:rFonts w:hint="eastAsia" w:ascii="Times New Roman" w:hAnsi="Times New Roman"/>
                <w:color w:val="auto"/>
                <w:sz w:val="24"/>
                <w:highlight w:val="none"/>
              </w:rPr>
              <w:t>和人均公园绿地面积</w:t>
            </w:r>
            <w:r>
              <w:rPr>
                <w:rFonts w:ascii="Times New Roman" w:hAnsi="Times New Roman"/>
                <w:color w:val="auto"/>
                <w:sz w:val="24"/>
                <w:highlight w:val="none"/>
              </w:rPr>
              <w:t>等3项否决项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6" w:type="dxa"/>
            <w:vAlign w:val="center"/>
          </w:tcPr>
          <w:p>
            <w:pPr>
              <w:jc w:val="center"/>
              <w:rPr>
                <w:rFonts w:ascii="Times New Roman" w:hAnsi="Times New Roman"/>
                <w:color w:val="auto"/>
                <w:sz w:val="24"/>
                <w:highlight w:val="none"/>
              </w:rPr>
            </w:pPr>
            <w:r>
              <w:rPr>
                <w:rFonts w:ascii="Times New Roman" w:hAnsi="Times New Roman"/>
                <w:color w:val="auto"/>
                <w:sz w:val="24"/>
                <w:highlight w:val="none"/>
              </w:rPr>
              <w:t>缺失性指标</w:t>
            </w:r>
          </w:p>
        </w:tc>
        <w:tc>
          <w:tcPr>
            <w:tcW w:w="840" w:type="dxa"/>
            <w:vAlign w:val="center"/>
          </w:tcPr>
          <w:p>
            <w:pPr>
              <w:jc w:val="center"/>
              <w:rPr>
                <w:rFonts w:ascii="Times New Roman" w:hAnsi="Times New Roman"/>
                <w:color w:val="auto"/>
                <w:sz w:val="24"/>
                <w:highlight w:val="none"/>
              </w:rPr>
            </w:pPr>
            <w:r>
              <w:rPr>
                <w:rFonts w:ascii="Times New Roman" w:hAnsi="Times New Roman"/>
                <w:color w:val="auto"/>
                <w:sz w:val="24"/>
                <w:highlight w:val="none"/>
              </w:rPr>
              <w:t>9</w:t>
            </w:r>
          </w:p>
        </w:tc>
        <w:tc>
          <w:tcPr>
            <w:tcW w:w="5290" w:type="dxa"/>
            <w:vAlign w:val="center"/>
          </w:tcPr>
          <w:p>
            <w:pPr>
              <w:jc w:val="center"/>
              <w:rPr>
                <w:rFonts w:ascii="Times New Roman" w:hAnsi="Times New Roman"/>
                <w:color w:val="auto"/>
                <w:sz w:val="24"/>
                <w:highlight w:val="none"/>
              </w:rPr>
            </w:pPr>
            <w:r>
              <w:rPr>
                <w:rFonts w:ascii="Times New Roman" w:hAnsi="Times New Roman"/>
                <w:color w:val="auto"/>
                <w:sz w:val="24"/>
                <w:highlight w:val="none"/>
              </w:rPr>
              <w:t>3园林绿化科研应用、5绿线管理、6园林绿化制度建设、7园林绿化管理信息技术、8公众对园林绿化的满意率、15园林式居住区（单位）达标率或年提升率、21大树移植、行道树树种更换等控制管理、27立体绿化推广、31生物多样性保护、</w:t>
            </w:r>
          </w:p>
        </w:tc>
        <w:tc>
          <w:tcPr>
            <w:tcW w:w="1526" w:type="dxa"/>
            <w:vAlign w:val="center"/>
          </w:tcPr>
          <w:p>
            <w:pPr>
              <w:jc w:val="center"/>
              <w:rPr>
                <w:rFonts w:ascii="Times New Roman" w:hAnsi="Times New Roman"/>
                <w:color w:val="auto"/>
                <w:sz w:val="24"/>
                <w:highlight w:val="none"/>
              </w:rPr>
            </w:pPr>
            <w:r>
              <w:rPr>
                <w:rFonts w:ascii="Times New Roman" w:hAnsi="Times New Roman"/>
                <w:color w:val="auto"/>
                <w:sz w:val="24"/>
                <w:highlight w:val="none"/>
              </w:rPr>
              <w:t>含绿线管理1项否决项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6" w:type="dxa"/>
            <w:vAlign w:val="center"/>
          </w:tcPr>
          <w:p>
            <w:pPr>
              <w:jc w:val="center"/>
              <w:rPr>
                <w:rFonts w:ascii="Times New Roman" w:hAnsi="Times New Roman"/>
                <w:color w:val="auto"/>
                <w:sz w:val="24"/>
                <w:highlight w:val="none"/>
              </w:rPr>
            </w:pPr>
            <w:r>
              <w:rPr>
                <w:rFonts w:ascii="Times New Roman" w:hAnsi="Times New Roman"/>
                <w:color w:val="auto"/>
                <w:sz w:val="24"/>
                <w:highlight w:val="none"/>
              </w:rPr>
              <w:t>不参与考核指标</w:t>
            </w:r>
          </w:p>
        </w:tc>
        <w:tc>
          <w:tcPr>
            <w:tcW w:w="840" w:type="dxa"/>
            <w:vAlign w:val="center"/>
          </w:tcPr>
          <w:p>
            <w:pPr>
              <w:jc w:val="center"/>
              <w:rPr>
                <w:rFonts w:ascii="Times New Roman" w:hAnsi="Times New Roman"/>
                <w:color w:val="auto"/>
                <w:sz w:val="24"/>
                <w:highlight w:val="none"/>
              </w:rPr>
            </w:pPr>
            <w:r>
              <w:rPr>
                <w:rFonts w:ascii="Times New Roman" w:hAnsi="Times New Roman"/>
                <w:color w:val="auto"/>
                <w:sz w:val="24"/>
                <w:highlight w:val="none"/>
              </w:rPr>
              <w:t>1</w:t>
            </w:r>
          </w:p>
        </w:tc>
        <w:tc>
          <w:tcPr>
            <w:tcW w:w="5290" w:type="dxa"/>
            <w:vAlign w:val="center"/>
          </w:tcPr>
          <w:p>
            <w:pPr>
              <w:jc w:val="left"/>
              <w:rPr>
                <w:rFonts w:ascii="Times New Roman" w:hAnsi="Times New Roman"/>
                <w:color w:val="auto"/>
                <w:sz w:val="24"/>
                <w:highlight w:val="none"/>
              </w:rPr>
            </w:pPr>
            <w:r>
              <w:rPr>
                <w:rFonts w:ascii="Times New Roman" w:hAnsi="Times New Roman"/>
                <w:color w:val="auto"/>
                <w:sz w:val="24"/>
                <w:highlight w:val="none"/>
              </w:rPr>
              <w:t>29风景名胜区、文化与自然遗产保护与管理</w:t>
            </w:r>
          </w:p>
        </w:tc>
        <w:tc>
          <w:tcPr>
            <w:tcW w:w="1526" w:type="dxa"/>
            <w:vAlign w:val="center"/>
          </w:tcPr>
          <w:p>
            <w:pPr>
              <w:jc w:val="center"/>
              <w:rPr>
                <w:rFonts w:ascii="Times New Roman" w:hAnsi="Times New Roman"/>
                <w:color w:val="auto"/>
                <w:sz w:val="24"/>
                <w:highlight w:val="none"/>
              </w:rPr>
            </w:pPr>
            <w:r>
              <w:rPr>
                <w:rFonts w:ascii="Times New Roman" w:hAnsi="Times New Roman"/>
                <w:color w:val="auto"/>
                <w:sz w:val="24"/>
                <w:highlight w:val="none"/>
              </w:rPr>
              <w:t>海丰县无风景名胜区、文化与自然遗产</w:t>
            </w:r>
          </w:p>
        </w:tc>
      </w:tr>
    </w:tbl>
    <w:p>
      <w:pPr>
        <w:rPr>
          <w:rFonts w:ascii="Times New Roman" w:hAnsi="Times New Roman"/>
          <w:color w:val="auto"/>
          <w:sz w:val="24"/>
          <w:highlight w:val="none"/>
        </w:rPr>
      </w:pPr>
      <w:r>
        <w:rPr>
          <w:rFonts w:hint="eastAsia" w:ascii="Times New Roman" w:hAnsi="Times New Roman"/>
          <w:color w:val="auto"/>
          <w:sz w:val="24"/>
          <w:highlight w:val="none"/>
        </w:rPr>
        <w:t>注：按照规划进行建设后，达标指标预计可达到43项；不达标或缺失性指标2项，为</w:t>
      </w:r>
      <w:r>
        <w:rPr>
          <w:rFonts w:hint="eastAsia" w:ascii="Times New Roman" w:hAnsi="Times New Roman"/>
          <w:color w:val="auto"/>
          <w:sz w:val="24"/>
          <w:highlight w:val="none"/>
          <w:lang w:val="en-US" w:eastAsia="zh-CN"/>
        </w:rPr>
        <w:t>道路绿化普及率</w:t>
      </w:r>
      <w:r>
        <w:rPr>
          <w:rFonts w:hint="eastAsia" w:ascii="Times New Roman" w:hAnsi="Times New Roman"/>
          <w:color w:val="auto"/>
          <w:sz w:val="24"/>
          <w:highlight w:val="none"/>
        </w:rPr>
        <w:t>和林荫路推广率（耗资大，见效慢）；1项指标不参与考核。</w:t>
      </w:r>
    </w:p>
    <w:p>
      <w:pPr>
        <w:pStyle w:val="5"/>
        <w:rPr>
          <w:rFonts w:ascii="Times New Roman" w:hAnsi="Times New Roman" w:eastAsia="宋体"/>
          <w:color w:val="auto"/>
          <w:highlight w:val="none"/>
        </w:rPr>
      </w:pPr>
      <w:bookmarkStart w:id="116" w:name="_Toc27380"/>
      <w:bookmarkStart w:id="117" w:name="_Toc24081"/>
      <w:bookmarkStart w:id="118" w:name="_Toc25173"/>
      <w:bookmarkStart w:id="119" w:name="_Toc18137"/>
      <w:bookmarkStart w:id="120" w:name="_Toc29911"/>
      <w:bookmarkStart w:id="121" w:name="_Toc920"/>
      <w:r>
        <w:rPr>
          <w:rFonts w:ascii="Times New Roman" w:hAnsi="Times New Roman" w:eastAsia="宋体"/>
          <w:color w:val="auto"/>
          <w:highlight w:val="none"/>
        </w:rPr>
        <w:t>3.3 存在问题</w:t>
      </w:r>
      <w:bookmarkEnd w:id="116"/>
      <w:bookmarkEnd w:id="117"/>
      <w:bookmarkEnd w:id="118"/>
      <w:bookmarkEnd w:id="119"/>
      <w:bookmarkEnd w:id="120"/>
      <w:bookmarkEnd w:id="121"/>
    </w:p>
    <w:p>
      <w:pPr>
        <w:pStyle w:val="6"/>
        <w:rPr>
          <w:rFonts w:ascii="Times New Roman" w:hAnsi="Times New Roman"/>
          <w:color w:val="auto"/>
          <w:highlight w:val="none"/>
        </w:rPr>
      </w:pPr>
      <w:bookmarkStart w:id="122" w:name="_Toc60776338"/>
      <w:bookmarkStart w:id="123" w:name="_Toc9876"/>
      <w:r>
        <w:rPr>
          <w:rFonts w:ascii="Times New Roman" w:hAnsi="Times New Roman"/>
          <w:color w:val="auto"/>
          <w:highlight w:val="none"/>
        </w:rPr>
        <w:t>3.3.1 县城园林绿化综合管理体系建设滞后</w:t>
      </w:r>
      <w:bookmarkEnd w:id="122"/>
      <w:bookmarkEnd w:id="123"/>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县城的园林绿化综合管理是广东省园林县城评价指标体系的重要组成部分，共包含园林绿化管理机构、园林绿化建设维护专项资金等8个指标。由于政府机构改革等原因，海丰县县城园林绿化综合管理体系建设比较滞后，主要体现在：</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（1）园林绿化管理责任不明确</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根据海丰县政府部门职能划分，县城绿化管理机构为县公用事业事务中心。县林业局、县水务局、城东镇、海城镇、附城镇以及县海业基础设施建设投资有限公司也参与县城部分绿化建设和管理工作。这说明了海丰县的园林绿化建设没有进行统一、规范化的管理，难以对全县有限的园林绿化方面的人力、物力资源进行充分整合，可能会造成建设管理效率低下、标准不统一、效果不佳等不良后果。</w:t>
      </w:r>
    </w:p>
    <w:p>
      <w:pPr>
        <w:numPr>
          <w:ilvl w:val="0"/>
          <w:numId w:val="2"/>
        </w:num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园林绿化专项资金偏少</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根据海丰县年度财政预算，2019年海丰县投入园林绿化资金约970万元，占财政支出比例较低。其中，园林绿化维护资金约724万元，相关人员经费约246万元。造成园林绿化专项资金偏少的原因主要是，海丰县政府财政预算中园林绿化建设维护资金仅包含县城道路绿化等公共绿化的养护资金，以及支付相关人员工资的资金，尚不包括园林绿化建设资金，造成园林绿化专项资金整体偏少。</w:t>
      </w:r>
    </w:p>
    <w:p>
      <w:pPr>
        <w:numPr>
          <w:ilvl w:val="0"/>
          <w:numId w:val="2"/>
        </w:num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园林绿化制度不够健全</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根据《广东省园林城市系列标准》，健全的园林绿化制度应包括绿线管理制度、园林绿化建设管理制度、园林绿化养护管理制度、生态保护制度、生物多样性保护制度、古树名木保护制度、义务植物制度等。目前，海丰县尚未制定和批准上述园林绿化制度，园林绿化制度建设比较滞后。</w:t>
      </w:r>
    </w:p>
    <w:p>
      <w:pPr>
        <w:numPr>
          <w:ilvl w:val="0"/>
          <w:numId w:val="2"/>
        </w:num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园林绿化科研应用偏少</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园林绿化新技术、新成果的应用体现了园林绿化建设和管理的质量，提升园林绿化效果并节约资源。目前，应用比较广泛的园林绿化新技术和新成果有新优植物材料的应用、透气和透水铺装材料的应用、节水灌溉和中水利用技术、立体绿化技术、古树复壮技术等。近年来，海丰县在县城园林绿化中应用了大量的乡土新优植物材料，包括樟树、罗汉松、黄金香柳、三角梅等，取得比较好的绿化效果，但其它园林绿化新技术、新成果应用较少。</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（5）县城绿地系统规划和县城绿线的划定严重滞后</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根据《广东省园林城市系列标准》，县城绿地系统规划应该在县城总体规划完成一年后编制完成。海丰县已在2018年编制完成《海丰县县城总体规划（2015-2035）》，目前县城绿地系统规划严重滞后，需要加快编制并提供编制滞后说明材料。在县城绿地系统规划完成后，海丰县需要根据县城总体规划和绿地系统规划要求，依据《城市绿线管理办法》（建设部令第112号）和《城市绿线划定技术规范》（GB/T51163-2016），划定县城绿线，并在至少两种以上媒体向社会公布，设立绿线公示牌或绿线界碑，向社会公布四至边界，严禁侵占。</w:t>
      </w:r>
    </w:p>
    <w:p>
      <w:pPr>
        <w:pStyle w:val="6"/>
        <w:rPr>
          <w:rFonts w:ascii="Times New Roman" w:hAnsi="Times New Roman"/>
          <w:color w:val="auto"/>
          <w:highlight w:val="none"/>
        </w:rPr>
      </w:pPr>
      <w:bookmarkStart w:id="124" w:name="_Toc6016"/>
      <w:bookmarkStart w:id="125" w:name="_Toc60776339"/>
      <w:r>
        <w:rPr>
          <w:rFonts w:ascii="Times New Roman" w:hAnsi="Times New Roman"/>
          <w:color w:val="auto"/>
          <w:highlight w:val="none"/>
        </w:rPr>
        <w:t>3.3.2 县城绿色空间不足，养护效果较差</w:t>
      </w:r>
      <w:bookmarkEnd w:id="124"/>
      <w:bookmarkEnd w:id="125"/>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县城的园林绿化综合管理是广东省园林县城评价指标体系的主要组成部分，共包含建成区绿化覆盖率、建成区绿地率等11个指标。近年来，海丰县园林绿化建设发展较快，陆续新建、改造了一批公园绿地和道路绿地，但整体上仍存在县城绿地空间不足，养护效果较差等问题。主要体现如下：</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（1）园林绿化空间不足</w:t>
      </w:r>
    </w:p>
    <w:p>
      <w:pPr>
        <w:pStyle w:val="2"/>
        <w:ind w:left="0" w:leftChars="0" w:firstLine="560"/>
        <w:rPr>
          <w:rFonts w:ascii="Times New Roman" w:hAnsi="Times New Roman" w:eastAsia="宋体"/>
          <w:color w:val="auto"/>
          <w:kern w:val="0"/>
          <w:sz w:val="20"/>
          <w:szCs w:val="20"/>
          <w:highlight w:val="none"/>
          <w:lang w:bidi="ar"/>
        </w:rPr>
      </w:pPr>
      <w:r>
        <w:rPr>
          <w:rFonts w:hint="eastAsia" w:ascii="Times New Roman" w:hAnsi="Times New Roman" w:eastAsia="宋体"/>
          <w:color w:val="auto"/>
          <w:szCs w:val="28"/>
          <w:highlight w:val="none"/>
        </w:rPr>
        <w:t>据分析，海丰县现状建成区面积</w:t>
      </w:r>
      <w:r>
        <w:rPr>
          <w:rFonts w:ascii="Times New Roman" w:hAnsi="Times New Roman" w:eastAsia="宋体"/>
          <w:color w:val="auto"/>
          <w:szCs w:val="28"/>
          <w:highlight w:val="none"/>
        </w:rPr>
        <w:t>19</w:t>
      </w:r>
      <w:r>
        <w:rPr>
          <w:rFonts w:hint="eastAsia" w:ascii="Times New Roman" w:hAnsi="Times New Roman" w:eastAsia="宋体"/>
          <w:color w:val="auto"/>
          <w:szCs w:val="28"/>
          <w:highlight w:val="none"/>
        </w:rPr>
        <w:t>平方公里，绿地面积</w:t>
      </w:r>
      <w:r>
        <w:rPr>
          <w:rFonts w:ascii="Times New Roman" w:hAnsi="Times New Roman" w:eastAsia="宋体"/>
          <w:color w:val="auto"/>
          <w:szCs w:val="28"/>
          <w:highlight w:val="none"/>
        </w:rPr>
        <w:t>268.92</w:t>
      </w:r>
      <w:r>
        <w:rPr>
          <w:rFonts w:hint="eastAsia" w:ascii="Times New Roman" w:hAnsi="Times New Roman" w:eastAsia="宋体"/>
          <w:color w:val="auto"/>
          <w:szCs w:val="28"/>
          <w:highlight w:val="none"/>
        </w:rPr>
        <w:t>公顷，绿地率仅</w:t>
      </w:r>
      <w:r>
        <w:rPr>
          <w:rFonts w:ascii="Times New Roman" w:hAnsi="Times New Roman" w:eastAsia="宋体"/>
          <w:color w:val="auto"/>
          <w:szCs w:val="28"/>
          <w:highlight w:val="none"/>
        </w:rPr>
        <w:t>14.15%</w:t>
      </w:r>
      <w:r>
        <w:rPr>
          <w:rFonts w:hint="eastAsia" w:ascii="Times New Roman" w:hAnsi="Times New Roman" w:eastAsia="宋体"/>
          <w:color w:val="auto"/>
          <w:szCs w:val="28"/>
          <w:highlight w:val="none"/>
        </w:rPr>
        <w:t>；绿化覆盖面积</w:t>
      </w:r>
      <w:r>
        <w:rPr>
          <w:rFonts w:ascii="Times New Roman" w:hAnsi="Times New Roman" w:eastAsia="宋体"/>
          <w:color w:val="auto"/>
          <w:szCs w:val="28"/>
          <w:highlight w:val="none"/>
        </w:rPr>
        <w:t>311.95</w:t>
      </w:r>
      <w:r>
        <w:rPr>
          <w:rFonts w:hint="eastAsia" w:ascii="Times New Roman" w:hAnsi="Times New Roman" w:eastAsia="宋体"/>
          <w:color w:val="auto"/>
          <w:szCs w:val="28"/>
          <w:highlight w:val="none"/>
        </w:rPr>
        <w:t>公顷，绿化覆盖率仅</w:t>
      </w:r>
      <w:r>
        <w:rPr>
          <w:rFonts w:ascii="Times New Roman" w:hAnsi="Times New Roman" w:eastAsia="宋体"/>
          <w:color w:val="auto"/>
          <w:szCs w:val="28"/>
          <w:highlight w:val="none"/>
        </w:rPr>
        <w:t>16.42%，</w:t>
      </w:r>
      <w:r>
        <w:rPr>
          <w:rFonts w:hint="eastAsia" w:ascii="Times New Roman" w:hAnsi="Times New Roman" w:eastAsia="宋体"/>
          <w:color w:val="auto"/>
          <w:szCs w:val="28"/>
          <w:highlight w:val="none"/>
        </w:rPr>
        <w:t>远不能满足省园绿地率（</w:t>
      </w:r>
      <w:r>
        <w:rPr>
          <w:rFonts w:ascii="Times New Roman" w:hAnsi="Times New Roman" w:eastAsia="宋体"/>
          <w:color w:val="auto"/>
          <w:szCs w:val="28"/>
          <w:highlight w:val="none"/>
        </w:rPr>
        <w:t>33%</w:t>
      </w:r>
      <w:r>
        <w:rPr>
          <w:rFonts w:hint="eastAsia" w:ascii="Times New Roman" w:hAnsi="Times New Roman" w:eastAsia="宋体"/>
          <w:color w:val="auto"/>
          <w:szCs w:val="28"/>
          <w:highlight w:val="none"/>
        </w:rPr>
        <w:t>，否决项）</w:t>
      </w:r>
      <w:r>
        <w:rPr>
          <w:rFonts w:ascii="Times New Roman" w:hAnsi="Times New Roman" w:eastAsia="宋体"/>
          <w:color w:val="auto"/>
          <w:szCs w:val="28"/>
          <w:highlight w:val="none"/>
        </w:rPr>
        <w:t>、</w:t>
      </w:r>
      <w:r>
        <w:rPr>
          <w:rFonts w:hint="eastAsia" w:ascii="Times New Roman" w:hAnsi="Times New Roman" w:eastAsia="宋体"/>
          <w:color w:val="auto"/>
          <w:szCs w:val="28"/>
          <w:highlight w:val="none"/>
        </w:rPr>
        <w:t>绿化覆盖率（</w:t>
      </w:r>
      <w:r>
        <w:rPr>
          <w:rFonts w:ascii="Times New Roman" w:hAnsi="Times New Roman" w:eastAsia="宋体"/>
          <w:color w:val="auto"/>
          <w:szCs w:val="28"/>
          <w:highlight w:val="none"/>
        </w:rPr>
        <w:t>38%</w:t>
      </w:r>
      <w:r>
        <w:rPr>
          <w:rFonts w:hint="eastAsia" w:ascii="Times New Roman" w:hAnsi="Times New Roman" w:eastAsia="宋体"/>
          <w:color w:val="auto"/>
          <w:szCs w:val="28"/>
          <w:highlight w:val="none"/>
        </w:rPr>
        <w:t>）的要求。</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造成海丰县绿地空间不足的原因主要有如下几个方面。第一，公园绿地少，分布不均。海丰县公园建成区内已有8个公园绿地，分别是文天祥公园、青年公园（在建）、烈士陵园、红宫红场旧址纪念馆公园、南门湖小游园、龙山公园、龙津西二路小游园、金山公园，总面积约37公顷。再者，海丰县现有的8个公园绿地有6个分布在海城镇，还有2个分布在城东镇，公园绿地部分不均匀，造成公园绿地服务半径覆盖率仅50.4%。第二，海丰县建成区内居住用地、工业用地、道路用地等建设密集，留用的附属绿地（包含居住区附属绿地、道路附属绿地等）面积较小。据统计，2002年以后新建、改建的居住区绿地达标率仅为67.9%，道路绿化普及率仅68.28%，不能达到广东省园林县城标准，并从总体上降低了建成区绿地率和绿化覆盖率。第三，河道绿化不足。海丰县建成区范围内有河流1条，为龙津河，河道绿化普及率为仅65.4%，距离广东省园林县城标准还有很大的提升空间。</w:t>
      </w:r>
    </w:p>
    <w:p>
      <w:pPr>
        <w:pStyle w:val="2"/>
        <w:spacing w:after="0"/>
        <w:ind w:firstLine="562"/>
        <w:jc w:val="center"/>
        <w:rPr>
          <w:rFonts w:ascii="Times New Roman" w:hAnsi="Times New Roman" w:eastAsia="宋体"/>
          <w:b/>
          <w:color w:val="auto"/>
          <w:szCs w:val="28"/>
          <w:highlight w:val="none"/>
        </w:rPr>
      </w:pPr>
      <w:r>
        <w:rPr>
          <w:rFonts w:ascii="Times New Roman" w:hAnsi="Times New Roman" w:eastAsia="宋体"/>
          <w:b/>
          <w:color w:val="auto"/>
          <w:szCs w:val="28"/>
          <w:highlight w:val="none"/>
        </w:rPr>
        <w:t>表3-</w:t>
      </w:r>
      <w:r>
        <w:rPr>
          <w:rFonts w:hint="eastAsia" w:ascii="Times New Roman" w:hAnsi="Times New Roman" w:eastAsia="宋体"/>
          <w:b/>
          <w:color w:val="auto"/>
          <w:szCs w:val="28"/>
          <w:highlight w:val="none"/>
        </w:rPr>
        <w:t>3-1</w:t>
      </w:r>
      <w:r>
        <w:rPr>
          <w:rFonts w:ascii="Times New Roman" w:hAnsi="Times New Roman" w:eastAsia="宋体"/>
          <w:b/>
          <w:color w:val="auto"/>
          <w:szCs w:val="28"/>
          <w:highlight w:val="none"/>
        </w:rPr>
        <w:t xml:space="preserve">  海丰县现状建成区内绿化情况统计表</w:t>
      </w:r>
    </w:p>
    <w:tbl>
      <w:tblPr>
        <w:tblStyle w:val="20"/>
        <w:tblW w:w="10353" w:type="dxa"/>
        <w:jc w:val="center"/>
        <w:tblLayout w:type="fixed"/>
        <w:tblCellMar>
          <w:top w:w="0" w:type="dxa"/>
          <w:left w:w="0" w:type="dxa"/>
          <w:bottom w:w="0" w:type="dxa"/>
          <w:right w:w="0" w:type="dxa"/>
        </w:tblCellMar>
      </w:tblPr>
      <w:tblGrid>
        <w:gridCol w:w="499"/>
        <w:gridCol w:w="851"/>
        <w:gridCol w:w="797"/>
        <w:gridCol w:w="877"/>
        <w:gridCol w:w="795"/>
        <w:gridCol w:w="957"/>
        <w:gridCol w:w="796"/>
        <w:gridCol w:w="796"/>
        <w:gridCol w:w="801"/>
        <w:gridCol w:w="796"/>
        <w:gridCol w:w="796"/>
        <w:gridCol w:w="796"/>
        <w:gridCol w:w="796"/>
      </w:tblGrid>
      <w:tr>
        <w:tblPrEx>
          <w:tblCellMar>
            <w:top w:w="0" w:type="dxa"/>
            <w:left w:w="0" w:type="dxa"/>
            <w:bottom w:w="0" w:type="dxa"/>
            <w:right w:w="0" w:type="dxa"/>
          </w:tblCellMar>
        </w:tblPrEx>
        <w:trPr>
          <w:trHeight w:val="340" w:hRule="atLeast"/>
          <w:jc w:val="center"/>
        </w:trPr>
        <w:tc>
          <w:tcPr>
            <w:tcW w:w="499"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Times New Roman" w:hAnsi="Times New Roman" w:eastAsia="宋体"/>
                <w:b/>
                <w:color w:val="auto"/>
                <w:kern w:val="0"/>
                <w:sz w:val="20"/>
                <w:szCs w:val="20"/>
                <w:highlight w:val="none"/>
                <w:lang w:eastAsia="zh-CN" w:bidi="ar"/>
              </w:rPr>
            </w:pPr>
            <w:r>
              <w:rPr>
                <w:rFonts w:ascii="Times New Roman" w:hAnsi="Times New Roman"/>
                <w:b/>
                <w:color w:val="auto"/>
                <w:kern w:val="0"/>
                <w:sz w:val="20"/>
                <w:szCs w:val="20"/>
                <w:highlight w:val="none"/>
                <w:lang w:bidi="ar"/>
              </w:rPr>
              <w:t>年</w:t>
            </w:r>
          </w:p>
          <w:p>
            <w:pPr>
              <w:widowControl/>
              <w:jc w:val="center"/>
              <w:textAlignment w:val="center"/>
              <w:rPr>
                <w:rFonts w:ascii="Times New Roman" w:hAnsi="Times New Roman"/>
                <w:b/>
                <w:color w:val="auto"/>
                <w:sz w:val="20"/>
                <w:szCs w:val="20"/>
                <w:highlight w:val="none"/>
              </w:rPr>
            </w:pPr>
            <w:r>
              <w:rPr>
                <w:rFonts w:ascii="Times New Roman" w:hAnsi="Times New Roman"/>
                <w:b/>
                <w:color w:val="auto"/>
                <w:kern w:val="0"/>
                <w:sz w:val="20"/>
                <w:szCs w:val="20"/>
                <w:highlight w:val="none"/>
                <w:lang w:bidi="ar"/>
              </w:rPr>
              <w:t>份</w:t>
            </w:r>
          </w:p>
        </w:tc>
        <w:tc>
          <w:tcPr>
            <w:tcW w:w="1648"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Times New Roman" w:hAnsi="Times New Roman"/>
                <w:b/>
                <w:color w:val="auto"/>
                <w:sz w:val="20"/>
                <w:szCs w:val="20"/>
                <w:highlight w:val="none"/>
              </w:rPr>
            </w:pPr>
            <w:r>
              <w:rPr>
                <w:rFonts w:ascii="Times New Roman" w:hAnsi="Times New Roman"/>
                <w:b/>
                <w:color w:val="auto"/>
                <w:kern w:val="0"/>
                <w:sz w:val="20"/>
                <w:szCs w:val="20"/>
                <w:highlight w:val="none"/>
                <w:lang w:bidi="ar"/>
              </w:rPr>
              <w:t>建 成 区</w:t>
            </w:r>
          </w:p>
        </w:tc>
        <w:tc>
          <w:tcPr>
            <w:tcW w:w="5022" w:type="dxa"/>
            <w:gridSpan w:val="6"/>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Times New Roman" w:hAnsi="Times New Roman"/>
                <w:b/>
                <w:color w:val="auto"/>
                <w:sz w:val="20"/>
                <w:szCs w:val="20"/>
                <w:highlight w:val="none"/>
              </w:rPr>
            </w:pPr>
            <w:r>
              <w:rPr>
                <w:rFonts w:ascii="Times New Roman" w:hAnsi="Times New Roman"/>
                <w:b/>
                <w:color w:val="auto"/>
                <w:kern w:val="0"/>
                <w:sz w:val="20"/>
                <w:szCs w:val="20"/>
                <w:highlight w:val="none"/>
                <w:lang w:bidi="ar"/>
              </w:rPr>
              <w:t>建成区园林绿化面积（公顷）</w:t>
            </w:r>
          </w:p>
        </w:tc>
        <w:tc>
          <w:tcPr>
            <w:tcW w:w="796"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Times New Roman" w:hAnsi="Times New Roman"/>
                <w:b/>
                <w:color w:val="auto"/>
                <w:sz w:val="20"/>
                <w:szCs w:val="20"/>
                <w:highlight w:val="none"/>
              </w:rPr>
            </w:pPr>
            <w:r>
              <w:rPr>
                <w:rFonts w:ascii="Times New Roman" w:hAnsi="Times New Roman"/>
                <w:b/>
                <w:color w:val="auto"/>
                <w:kern w:val="0"/>
                <w:sz w:val="20"/>
                <w:szCs w:val="20"/>
                <w:highlight w:val="none"/>
                <w:lang w:bidi="ar"/>
              </w:rPr>
              <w:t>绿地率(%)</w:t>
            </w:r>
          </w:p>
        </w:tc>
        <w:tc>
          <w:tcPr>
            <w:tcW w:w="796"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Times New Roman" w:hAnsi="Times New Roman" w:eastAsia="宋体"/>
                <w:b/>
                <w:color w:val="auto"/>
                <w:kern w:val="0"/>
                <w:sz w:val="20"/>
                <w:szCs w:val="20"/>
                <w:highlight w:val="none"/>
                <w:lang w:eastAsia="zh-CN" w:bidi="ar"/>
              </w:rPr>
            </w:pPr>
            <w:r>
              <w:rPr>
                <w:rFonts w:ascii="Times New Roman" w:hAnsi="Times New Roman"/>
                <w:b/>
                <w:color w:val="auto"/>
                <w:kern w:val="0"/>
                <w:sz w:val="20"/>
                <w:szCs w:val="20"/>
                <w:highlight w:val="none"/>
                <w:lang w:bidi="ar"/>
              </w:rPr>
              <w:t>绿化覆盖率</w:t>
            </w:r>
          </w:p>
          <w:p>
            <w:pPr>
              <w:widowControl/>
              <w:jc w:val="center"/>
              <w:textAlignment w:val="center"/>
              <w:rPr>
                <w:rFonts w:ascii="Times New Roman" w:hAnsi="Times New Roman"/>
                <w:b/>
                <w:color w:val="auto"/>
                <w:sz w:val="20"/>
                <w:szCs w:val="20"/>
                <w:highlight w:val="none"/>
              </w:rPr>
            </w:pPr>
            <w:r>
              <w:rPr>
                <w:rFonts w:ascii="Times New Roman" w:hAnsi="Times New Roman"/>
                <w:b/>
                <w:color w:val="auto"/>
                <w:kern w:val="0"/>
                <w:sz w:val="20"/>
                <w:szCs w:val="20"/>
                <w:highlight w:val="none"/>
                <w:lang w:bidi="ar"/>
              </w:rPr>
              <w:t>(%)</w:t>
            </w:r>
          </w:p>
        </w:tc>
        <w:tc>
          <w:tcPr>
            <w:tcW w:w="796"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Times New Roman" w:hAnsi="Times New Roman" w:eastAsia="宋体"/>
                <w:b/>
                <w:color w:val="auto"/>
                <w:kern w:val="0"/>
                <w:sz w:val="20"/>
                <w:szCs w:val="20"/>
                <w:highlight w:val="none"/>
                <w:lang w:eastAsia="zh-CN" w:bidi="ar"/>
              </w:rPr>
            </w:pPr>
            <w:r>
              <w:rPr>
                <w:rFonts w:ascii="Times New Roman" w:hAnsi="Times New Roman"/>
                <w:b/>
                <w:color w:val="auto"/>
                <w:kern w:val="0"/>
                <w:sz w:val="20"/>
                <w:szCs w:val="20"/>
                <w:highlight w:val="none"/>
                <w:lang w:bidi="ar"/>
              </w:rPr>
              <w:t>人均公园绿地面积</w:t>
            </w:r>
          </w:p>
          <w:p>
            <w:pPr>
              <w:widowControl/>
              <w:jc w:val="center"/>
              <w:textAlignment w:val="center"/>
              <w:rPr>
                <w:rFonts w:ascii="Times New Roman" w:hAnsi="Times New Roman"/>
                <w:b/>
                <w:color w:val="auto"/>
                <w:sz w:val="20"/>
                <w:szCs w:val="20"/>
                <w:highlight w:val="none"/>
              </w:rPr>
            </w:pPr>
            <w:r>
              <w:rPr>
                <w:rFonts w:ascii="Times New Roman" w:hAnsi="Times New Roman"/>
                <w:b/>
                <w:color w:val="auto"/>
                <w:kern w:val="0"/>
                <w:sz w:val="20"/>
                <w:szCs w:val="20"/>
                <w:highlight w:val="none"/>
                <w:lang w:bidi="ar"/>
              </w:rPr>
              <w:t>(平方米)</w:t>
            </w:r>
          </w:p>
        </w:tc>
        <w:tc>
          <w:tcPr>
            <w:tcW w:w="796" w:type="dxa"/>
            <w:vMerge w:val="restart"/>
            <w:tcBorders>
              <w:top w:val="single" w:color="000000" w:sz="4" w:space="0"/>
              <w:left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Times New Roman" w:hAnsi="Times New Roman"/>
                <w:b/>
                <w:color w:val="auto"/>
                <w:kern w:val="0"/>
                <w:sz w:val="20"/>
                <w:szCs w:val="20"/>
                <w:highlight w:val="none"/>
                <w:lang w:bidi="ar"/>
              </w:rPr>
            </w:pPr>
            <w:r>
              <w:rPr>
                <w:rFonts w:hint="eastAsia" w:ascii="Times New Roman" w:hAnsi="Times New Roman"/>
                <w:b/>
                <w:color w:val="auto"/>
                <w:kern w:val="0"/>
                <w:sz w:val="20"/>
                <w:szCs w:val="20"/>
                <w:highlight w:val="none"/>
                <w:lang w:bidi="ar"/>
              </w:rPr>
              <w:t>城市公园服务半径覆盖率</w:t>
            </w:r>
            <w:r>
              <w:rPr>
                <w:rFonts w:ascii="Times New Roman" w:hAnsi="Times New Roman"/>
                <w:b/>
                <w:color w:val="auto"/>
                <w:kern w:val="0"/>
                <w:sz w:val="20"/>
                <w:szCs w:val="20"/>
                <w:highlight w:val="none"/>
                <w:lang w:bidi="ar"/>
              </w:rPr>
              <w:t>(%)</w:t>
            </w:r>
          </w:p>
        </w:tc>
      </w:tr>
      <w:tr>
        <w:tblPrEx>
          <w:tblCellMar>
            <w:top w:w="0" w:type="dxa"/>
            <w:left w:w="0" w:type="dxa"/>
            <w:bottom w:w="0" w:type="dxa"/>
            <w:right w:w="0" w:type="dxa"/>
          </w:tblCellMar>
        </w:tblPrEx>
        <w:trPr>
          <w:trHeight w:val="972" w:hRule="atLeast"/>
          <w:jc w:val="center"/>
        </w:trPr>
        <w:tc>
          <w:tcPr>
            <w:tcW w:w="499"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Times New Roman" w:hAnsi="Times New Roman"/>
                <w:color w:val="auto"/>
                <w:sz w:val="20"/>
                <w:szCs w:val="20"/>
                <w:highlight w:val="none"/>
              </w:rPr>
            </w:pPr>
          </w:p>
        </w:tc>
        <w:tc>
          <w:tcPr>
            <w:tcW w:w="851"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hint="eastAsia" w:ascii="Times New Roman" w:hAnsi="Times New Roman" w:eastAsia="宋体"/>
                <w:b/>
                <w:color w:val="auto"/>
                <w:kern w:val="0"/>
                <w:sz w:val="20"/>
                <w:szCs w:val="20"/>
                <w:highlight w:val="none"/>
                <w:lang w:eastAsia="zh-CN" w:bidi="ar"/>
              </w:rPr>
            </w:pPr>
            <w:r>
              <w:rPr>
                <w:rFonts w:ascii="Times New Roman" w:hAnsi="Times New Roman"/>
                <w:b/>
                <w:color w:val="auto"/>
                <w:kern w:val="0"/>
                <w:sz w:val="20"/>
                <w:szCs w:val="20"/>
                <w:highlight w:val="none"/>
                <w:lang w:bidi="ar"/>
              </w:rPr>
              <w:t>总面积</w:t>
            </w:r>
          </w:p>
          <w:p>
            <w:pPr>
              <w:widowControl/>
              <w:jc w:val="center"/>
              <w:textAlignment w:val="center"/>
              <w:rPr>
                <w:rFonts w:ascii="Times New Roman" w:hAnsi="Times New Roman"/>
                <w:b/>
                <w:color w:val="auto"/>
                <w:sz w:val="20"/>
                <w:szCs w:val="20"/>
                <w:highlight w:val="none"/>
              </w:rPr>
            </w:pPr>
            <w:r>
              <w:rPr>
                <w:rFonts w:ascii="Times New Roman" w:hAnsi="Times New Roman"/>
                <w:b/>
                <w:color w:val="auto"/>
                <w:kern w:val="0"/>
                <w:sz w:val="20"/>
                <w:szCs w:val="20"/>
                <w:highlight w:val="none"/>
                <w:lang w:bidi="ar"/>
              </w:rPr>
              <w:t>（平方公里）</w:t>
            </w:r>
          </w:p>
        </w:tc>
        <w:tc>
          <w:tcPr>
            <w:tcW w:w="797"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Times New Roman" w:hAnsi="Times New Roman"/>
                <w:b/>
                <w:color w:val="auto"/>
                <w:sz w:val="20"/>
                <w:szCs w:val="20"/>
                <w:highlight w:val="none"/>
              </w:rPr>
            </w:pPr>
            <w:r>
              <w:rPr>
                <w:rFonts w:ascii="Times New Roman" w:hAnsi="Times New Roman"/>
                <w:b/>
                <w:color w:val="auto"/>
                <w:kern w:val="0"/>
                <w:sz w:val="20"/>
                <w:szCs w:val="20"/>
                <w:highlight w:val="none"/>
                <w:lang w:bidi="ar"/>
              </w:rPr>
              <w:t>城市人口(万人)</w:t>
            </w:r>
          </w:p>
        </w:tc>
        <w:tc>
          <w:tcPr>
            <w:tcW w:w="877"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Times New Roman" w:hAnsi="Times New Roman"/>
                <w:b/>
                <w:color w:val="auto"/>
                <w:sz w:val="22"/>
                <w:szCs w:val="22"/>
                <w:highlight w:val="none"/>
              </w:rPr>
            </w:pPr>
            <w:r>
              <w:rPr>
                <w:rFonts w:ascii="Times New Roman" w:hAnsi="Times New Roman"/>
                <w:b/>
                <w:color w:val="auto"/>
                <w:kern w:val="0"/>
                <w:sz w:val="22"/>
                <w:szCs w:val="22"/>
                <w:highlight w:val="none"/>
                <w:lang w:bidi="ar"/>
              </w:rPr>
              <w:t>G1公园绿地</w:t>
            </w:r>
          </w:p>
        </w:tc>
        <w:tc>
          <w:tcPr>
            <w:tcW w:w="795"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Times New Roman" w:hAnsi="Times New Roman"/>
                <w:b/>
                <w:color w:val="auto"/>
                <w:sz w:val="22"/>
                <w:szCs w:val="22"/>
                <w:highlight w:val="none"/>
              </w:rPr>
            </w:pPr>
            <w:r>
              <w:rPr>
                <w:rFonts w:ascii="Times New Roman" w:hAnsi="Times New Roman"/>
                <w:b/>
                <w:color w:val="auto"/>
                <w:kern w:val="0"/>
                <w:sz w:val="22"/>
                <w:szCs w:val="22"/>
                <w:highlight w:val="none"/>
                <w:lang w:bidi="ar"/>
              </w:rPr>
              <w:t>G2防护绿地</w:t>
            </w:r>
          </w:p>
        </w:tc>
        <w:tc>
          <w:tcPr>
            <w:tcW w:w="957"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Times New Roman" w:hAnsi="Times New Roman"/>
                <w:b/>
                <w:color w:val="auto"/>
                <w:sz w:val="22"/>
                <w:szCs w:val="22"/>
                <w:highlight w:val="none"/>
              </w:rPr>
            </w:pPr>
            <w:r>
              <w:rPr>
                <w:rFonts w:ascii="Times New Roman" w:hAnsi="Times New Roman"/>
                <w:b/>
                <w:color w:val="auto"/>
                <w:kern w:val="0"/>
                <w:sz w:val="22"/>
                <w:szCs w:val="22"/>
                <w:highlight w:val="none"/>
                <w:lang w:bidi="ar"/>
              </w:rPr>
              <w:t>G3广场用地中的绿地</w:t>
            </w:r>
          </w:p>
        </w:tc>
        <w:tc>
          <w:tcPr>
            <w:tcW w:w="79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Times New Roman" w:hAnsi="Times New Roman"/>
                <w:b/>
                <w:color w:val="auto"/>
                <w:sz w:val="22"/>
                <w:szCs w:val="22"/>
                <w:highlight w:val="none"/>
              </w:rPr>
            </w:pPr>
            <w:r>
              <w:rPr>
                <w:rFonts w:ascii="Times New Roman" w:hAnsi="Times New Roman"/>
                <w:b/>
                <w:color w:val="auto"/>
                <w:kern w:val="0"/>
                <w:sz w:val="22"/>
                <w:szCs w:val="22"/>
                <w:highlight w:val="none"/>
                <w:lang w:bidi="ar"/>
              </w:rPr>
              <w:t>XG附属绿地</w:t>
            </w:r>
          </w:p>
        </w:tc>
        <w:tc>
          <w:tcPr>
            <w:tcW w:w="796"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Times New Roman" w:hAnsi="Times New Roman"/>
                <w:b/>
                <w:color w:val="auto"/>
                <w:sz w:val="22"/>
                <w:szCs w:val="22"/>
                <w:highlight w:val="none"/>
              </w:rPr>
            </w:pPr>
            <w:r>
              <w:rPr>
                <w:rFonts w:ascii="Times New Roman" w:hAnsi="Times New Roman"/>
                <w:b/>
                <w:color w:val="auto"/>
                <w:kern w:val="0"/>
                <w:sz w:val="22"/>
                <w:szCs w:val="22"/>
                <w:highlight w:val="none"/>
                <w:lang w:bidi="ar"/>
              </w:rPr>
              <w:t>EG区域绿地</w:t>
            </w:r>
          </w:p>
        </w:tc>
        <w:tc>
          <w:tcPr>
            <w:tcW w:w="801"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Times New Roman" w:hAnsi="Times New Roman"/>
                <w:b/>
                <w:color w:val="auto"/>
                <w:sz w:val="22"/>
                <w:szCs w:val="22"/>
                <w:highlight w:val="none"/>
              </w:rPr>
            </w:pPr>
            <w:r>
              <w:rPr>
                <w:rFonts w:ascii="Times New Roman" w:hAnsi="Times New Roman"/>
                <w:b/>
                <w:color w:val="auto"/>
                <w:kern w:val="0"/>
                <w:sz w:val="22"/>
                <w:szCs w:val="22"/>
                <w:highlight w:val="none"/>
                <w:lang w:bidi="ar"/>
              </w:rPr>
              <w:t>总合计</w:t>
            </w:r>
          </w:p>
        </w:tc>
        <w:tc>
          <w:tcPr>
            <w:tcW w:w="796"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Times New Roman" w:hAnsi="Times New Roman"/>
                <w:color w:val="auto"/>
                <w:sz w:val="20"/>
                <w:szCs w:val="20"/>
                <w:highlight w:val="none"/>
              </w:rPr>
            </w:pPr>
          </w:p>
        </w:tc>
        <w:tc>
          <w:tcPr>
            <w:tcW w:w="796"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Times New Roman" w:hAnsi="Times New Roman"/>
                <w:color w:val="auto"/>
                <w:sz w:val="20"/>
                <w:szCs w:val="20"/>
                <w:highlight w:val="none"/>
              </w:rPr>
            </w:pPr>
          </w:p>
        </w:tc>
        <w:tc>
          <w:tcPr>
            <w:tcW w:w="796"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Times New Roman" w:hAnsi="Times New Roman"/>
                <w:color w:val="auto"/>
                <w:sz w:val="20"/>
                <w:szCs w:val="20"/>
                <w:highlight w:val="none"/>
              </w:rPr>
            </w:pPr>
          </w:p>
        </w:tc>
        <w:tc>
          <w:tcPr>
            <w:tcW w:w="796" w:type="dxa"/>
            <w:vMerge w:val="continue"/>
            <w:tcBorders>
              <w:left w:val="single" w:color="000000" w:sz="4" w:space="0"/>
              <w:right w:val="single" w:color="000000" w:sz="4" w:space="0"/>
            </w:tcBorders>
            <w:shd w:val="clear" w:color="auto" w:fill="auto"/>
            <w:tcMar>
              <w:top w:w="15" w:type="dxa"/>
              <w:left w:w="15" w:type="dxa"/>
              <w:right w:w="15" w:type="dxa"/>
            </w:tcMar>
            <w:vAlign w:val="center"/>
          </w:tcPr>
          <w:p>
            <w:pPr>
              <w:jc w:val="center"/>
              <w:rPr>
                <w:rFonts w:ascii="Times New Roman" w:hAnsi="Times New Roman"/>
                <w:color w:val="auto"/>
                <w:sz w:val="20"/>
                <w:szCs w:val="20"/>
                <w:highlight w:val="none"/>
              </w:rPr>
            </w:pPr>
          </w:p>
        </w:tc>
      </w:tr>
      <w:tr>
        <w:tblPrEx>
          <w:tblCellMar>
            <w:top w:w="0" w:type="dxa"/>
            <w:left w:w="0" w:type="dxa"/>
            <w:bottom w:w="0" w:type="dxa"/>
            <w:right w:w="0" w:type="dxa"/>
          </w:tblCellMar>
        </w:tblPrEx>
        <w:trPr>
          <w:trHeight w:val="656" w:hRule="atLeast"/>
          <w:jc w:val="center"/>
        </w:trPr>
        <w:tc>
          <w:tcPr>
            <w:tcW w:w="499"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Times New Roman" w:hAnsi="Times New Roman"/>
                <w:color w:val="auto"/>
                <w:sz w:val="20"/>
                <w:szCs w:val="20"/>
                <w:highlight w:val="none"/>
              </w:rPr>
            </w:pPr>
          </w:p>
        </w:tc>
        <w:tc>
          <w:tcPr>
            <w:tcW w:w="85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Times New Roman" w:hAnsi="Times New Roman"/>
                <w:b/>
                <w:color w:val="auto"/>
                <w:sz w:val="20"/>
                <w:szCs w:val="20"/>
                <w:highlight w:val="none"/>
              </w:rPr>
            </w:pPr>
          </w:p>
        </w:tc>
        <w:tc>
          <w:tcPr>
            <w:tcW w:w="797"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Times New Roman" w:hAnsi="Times New Roman"/>
                <w:b/>
                <w:color w:val="auto"/>
                <w:sz w:val="20"/>
                <w:szCs w:val="20"/>
                <w:highlight w:val="none"/>
              </w:rPr>
            </w:pPr>
          </w:p>
        </w:tc>
        <w:tc>
          <w:tcPr>
            <w:tcW w:w="8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Times New Roman" w:hAnsi="Times New Roman"/>
                <w:b/>
                <w:color w:val="auto"/>
                <w:sz w:val="20"/>
                <w:szCs w:val="20"/>
                <w:highlight w:val="none"/>
              </w:rPr>
            </w:pPr>
            <w:r>
              <w:rPr>
                <w:rFonts w:ascii="Times New Roman" w:hAnsi="Times New Roman"/>
                <w:b/>
                <w:color w:val="auto"/>
                <w:kern w:val="0"/>
                <w:sz w:val="20"/>
                <w:szCs w:val="20"/>
                <w:highlight w:val="none"/>
                <w:lang w:bidi="ar"/>
              </w:rPr>
              <w:t>绿地面积</w:t>
            </w:r>
          </w:p>
        </w:tc>
        <w:tc>
          <w:tcPr>
            <w:tcW w:w="7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Times New Roman" w:hAnsi="Times New Roman"/>
                <w:b/>
                <w:color w:val="auto"/>
                <w:sz w:val="20"/>
                <w:szCs w:val="20"/>
                <w:highlight w:val="none"/>
              </w:rPr>
            </w:pPr>
            <w:r>
              <w:rPr>
                <w:rFonts w:ascii="Times New Roman" w:hAnsi="Times New Roman"/>
                <w:b/>
                <w:color w:val="auto"/>
                <w:kern w:val="0"/>
                <w:sz w:val="20"/>
                <w:szCs w:val="20"/>
                <w:highlight w:val="none"/>
                <w:lang w:bidi="ar"/>
              </w:rPr>
              <w:t>绿地面积</w:t>
            </w:r>
          </w:p>
        </w:tc>
        <w:tc>
          <w:tcPr>
            <w:tcW w:w="95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Times New Roman" w:hAnsi="Times New Roman"/>
                <w:b/>
                <w:color w:val="auto"/>
                <w:sz w:val="20"/>
                <w:szCs w:val="20"/>
                <w:highlight w:val="none"/>
              </w:rPr>
            </w:pPr>
            <w:r>
              <w:rPr>
                <w:rFonts w:ascii="Times New Roman" w:hAnsi="Times New Roman"/>
                <w:b/>
                <w:color w:val="auto"/>
                <w:kern w:val="0"/>
                <w:sz w:val="20"/>
                <w:szCs w:val="20"/>
                <w:highlight w:val="none"/>
                <w:lang w:bidi="ar"/>
              </w:rPr>
              <w:t>绿地面积</w:t>
            </w:r>
          </w:p>
        </w:tc>
        <w:tc>
          <w:tcPr>
            <w:tcW w:w="79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Times New Roman" w:hAnsi="Times New Roman"/>
                <w:b/>
                <w:color w:val="auto"/>
                <w:sz w:val="20"/>
                <w:szCs w:val="20"/>
                <w:highlight w:val="none"/>
              </w:rPr>
            </w:pPr>
            <w:r>
              <w:rPr>
                <w:rFonts w:ascii="Times New Roman" w:hAnsi="Times New Roman"/>
                <w:b/>
                <w:color w:val="auto"/>
                <w:kern w:val="0"/>
                <w:sz w:val="20"/>
                <w:szCs w:val="20"/>
                <w:highlight w:val="none"/>
                <w:lang w:bidi="ar"/>
              </w:rPr>
              <w:t>绿地面积</w:t>
            </w:r>
          </w:p>
        </w:tc>
        <w:tc>
          <w:tcPr>
            <w:tcW w:w="79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Times New Roman" w:hAnsi="Times New Roman"/>
                <w:b/>
                <w:color w:val="auto"/>
                <w:sz w:val="20"/>
                <w:szCs w:val="20"/>
                <w:highlight w:val="none"/>
              </w:rPr>
            </w:pPr>
            <w:r>
              <w:rPr>
                <w:rFonts w:ascii="Times New Roman" w:hAnsi="Times New Roman"/>
                <w:b/>
                <w:color w:val="auto"/>
                <w:kern w:val="0"/>
                <w:sz w:val="20"/>
                <w:szCs w:val="20"/>
                <w:highlight w:val="none"/>
                <w:lang w:bidi="ar"/>
              </w:rPr>
              <w:t>绿地面积</w:t>
            </w:r>
          </w:p>
        </w:tc>
        <w:tc>
          <w:tcPr>
            <w:tcW w:w="80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Times New Roman" w:hAnsi="Times New Roman"/>
                <w:b/>
                <w:color w:val="auto"/>
                <w:sz w:val="20"/>
                <w:szCs w:val="20"/>
                <w:highlight w:val="none"/>
              </w:rPr>
            </w:pPr>
            <w:r>
              <w:rPr>
                <w:rFonts w:ascii="Times New Roman" w:hAnsi="Times New Roman"/>
                <w:b/>
                <w:color w:val="auto"/>
                <w:kern w:val="0"/>
                <w:sz w:val="20"/>
                <w:szCs w:val="20"/>
                <w:highlight w:val="none"/>
                <w:lang w:bidi="ar"/>
              </w:rPr>
              <w:t>绿地面积</w:t>
            </w:r>
          </w:p>
        </w:tc>
        <w:tc>
          <w:tcPr>
            <w:tcW w:w="796"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Times New Roman" w:hAnsi="Times New Roman"/>
                <w:color w:val="auto"/>
                <w:sz w:val="20"/>
                <w:szCs w:val="20"/>
                <w:highlight w:val="none"/>
              </w:rPr>
            </w:pPr>
          </w:p>
        </w:tc>
        <w:tc>
          <w:tcPr>
            <w:tcW w:w="796"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Times New Roman" w:hAnsi="Times New Roman"/>
                <w:color w:val="auto"/>
                <w:sz w:val="20"/>
                <w:szCs w:val="20"/>
                <w:highlight w:val="none"/>
              </w:rPr>
            </w:pPr>
          </w:p>
        </w:tc>
        <w:tc>
          <w:tcPr>
            <w:tcW w:w="796"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Times New Roman" w:hAnsi="Times New Roman"/>
                <w:color w:val="auto"/>
                <w:sz w:val="20"/>
                <w:szCs w:val="20"/>
                <w:highlight w:val="none"/>
              </w:rPr>
            </w:pPr>
          </w:p>
        </w:tc>
        <w:tc>
          <w:tcPr>
            <w:tcW w:w="796" w:type="dxa"/>
            <w:vMerge w:val="continue"/>
            <w:tcBorders>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ascii="Times New Roman" w:hAnsi="Times New Roman"/>
                <w:color w:val="auto"/>
                <w:sz w:val="20"/>
                <w:szCs w:val="20"/>
                <w:highlight w:val="none"/>
              </w:rPr>
            </w:pPr>
          </w:p>
        </w:tc>
      </w:tr>
      <w:tr>
        <w:tblPrEx>
          <w:tblCellMar>
            <w:top w:w="0" w:type="dxa"/>
            <w:left w:w="0" w:type="dxa"/>
            <w:bottom w:w="0" w:type="dxa"/>
            <w:right w:w="0" w:type="dxa"/>
          </w:tblCellMar>
        </w:tblPrEx>
        <w:trPr>
          <w:trHeight w:val="656" w:hRule="atLeast"/>
          <w:jc w:val="center"/>
        </w:trPr>
        <w:tc>
          <w:tcPr>
            <w:tcW w:w="49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2020</w:t>
            </w:r>
            <w:r>
              <w:rPr>
                <w:rFonts w:ascii="Times New Roman" w:hAnsi="Times New Roman"/>
                <w:color w:val="auto"/>
                <w:sz w:val="20"/>
                <w:szCs w:val="20"/>
                <w:highlight w:val="none"/>
              </w:rPr>
              <w:t xml:space="preserve"> </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19</w:t>
            </w:r>
          </w:p>
        </w:tc>
        <w:tc>
          <w:tcPr>
            <w:tcW w:w="79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28.73</w:t>
            </w:r>
          </w:p>
        </w:tc>
        <w:tc>
          <w:tcPr>
            <w:tcW w:w="8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 xml:space="preserve">36.74 </w:t>
            </w:r>
          </w:p>
        </w:tc>
        <w:tc>
          <w:tcPr>
            <w:tcW w:w="79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 xml:space="preserve">8.60 </w:t>
            </w:r>
          </w:p>
        </w:tc>
        <w:tc>
          <w:tcPr>
            <w:tcW w:w="95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 xml:space="preserve">4.13 </w:t>
            </w:r>
          </w:p>
        </w:tc>
        <w:tc>
          <w:tcPr>
            <w:tcW w:w="79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 xml:space="preserve">186.25 </w:t>
            </w:r>
          </w:p>
        </w:tc>
        <w:tc>
          <w:tcPr>
            <w:tcW w:w="79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 xml:space="preserve">33.20 </w:t>
            </w:r>
          </w:p>
        </w:tc>
        <w:tc>
          <w:tcPr>
            <w:tcW w:w="80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 xml:space="preserve">268.92 </w:t>
            </w:r>
          </w:p>
        </w:tc>
        <w:tc>
          <w:tcPr>
            <w:tcW w:w="79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 xml:space="preserve">14.15 </w:t>
            </w:r>
          </w:p>
        </w:tc>
        <w:tc>
          <w:tcPr>
            <w:tcW w:w="79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16.</w:t>
            </w:r>
            <w:r>
              <w:rPr>
                <w:rFonts w:hint="eastAsia" w:ascii="Times New Roman" w:hAnsi="Times New Roman"/>
                <w:color w:val="auto"/>
                <w:kern w:val="0"/>
                <w:sz w:val="20"/>
                <w:szCs w:val="20"/>
                <w:highlight w:val="none"/>
                <w:lang w:bidi="ar"/>
              </w:rPr>
              <w:t>4</w:t>
            </w:r>
            <w:r>
              <w:rPr>
                <w:rFonts w:ascii="Times New Roman" w:hAnsi="Times New Roman"/>
                <w:color w:val="auto"/>
                <w:kern w:val="0"/>
                <w:sz w:val="20"/>
                <w:szCs w:val="20"/>
                <w:highlight w:val="none"/>
                <w:lang w:bidi="ar"/>
              </w:rPr>
              <w:t xml:space="preserve">2 </w:t>
            </w:r>
          </w:p>
        </w:tc>
        <w:tc>
          <w:tcPr>
            <w:tcW w:w="79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 xml:space="preserve">1.28 </w:t>
            </w:r>
          </w:p>
        </w:tc>
        <w:tc>
          <w:tcPr>
            <w:tcW w:w="79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Times New Roman" w:hAnsi="Times New Roman"/>
                <w:color w:val="auto"/>
                <w:kern w:val="0"/>
                <w:sz w:val="20"/>
                <w:szCs w:val="20"/>
                <w:highlight w:val="none"/>
                <w:lang w:bidi="ar"/>
              </w:rPr>
            </w:pPr>
            <w:r>
              <w:rPr>
                <w:rFonts w:ascii="Times New Roman" w:hAnsi="Times New Roman"/>
                <w:color w:val="auto"/>
                <w:kern w:val="0"/>
                <w:sz w:val="20"/>
                <w:szCs w:val="20"/>
                <w:highlight w:val="none"/>
                <w:lang w:bidi="ar"/>
              </w:rPr>
              <w:t>50.4</w:t>
            </w:r>
          </w:p>
        </w:tc>
      </w:tr>
      <w:tr>
        <w:tblPrEx>
          <w:tblCellMar>
            <w:top w:w="0" w:type="dxa"/>
            <w:left w:w="0" w:type="dxa"/>
            <w:bottom w:w="0" w:type="dxa"/>
            <w:right w:w="0" w:type="dxa"/>
          </w:tblCellMar>
        </w:tblPrEx>
        <w:trPr>
          <w:trHeight w:val="350" w:hRule="atLeast"/>
          <w:jc w:val="center"/>
        </w:trPr>
        <w:tc>
          <w:tcPr>
            <w:tcW w:w="7169" w:type="dxa"/>
            <w:gridSpan w:val="9"/>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达标值</w:t>
            </w:r>
          </w:p>
        </w:tc>
        <w:tc>
          <w:tcPr>
            <w:tcW w:w="79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 xml:space="preserve">33.00 </w:t>
            </w:r>
          </w:p>
        </w:tc>
        <w:tc>
          <w:tcPr>
            <w:tcW w:w="79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 xml:space="preserve">38.00 </w:t>
            </w:r>
          </w:p>
        </w:tc>
        <w:tc>
          <w:tcPr>
            <w:tcW w:w="79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 xml:space="preserve">9.00 </w:t>
            </w:r>
          </w:p>
        </w:tc>
        <w:tc>
          <w:tcPr>
            <w:tcW w:w="79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Times New Roman" w:hAnsi="Times New Roman"/>
                <w:color w:val="auto"/>
                <w:kern w:val="0"/>
                <w:sz w:val="20"/>
                <w:szCs w:val="20"/>
                <w:highlight w:val="none"/>
                <w:lang w:bidi="ar"/>
              </w:rPr>
            </w:pPr>
            <w:r>
              <w:rPr>
                <w:rFonts w:ascii="Times New Roman" w:hAnsi="Times New Roman"/>
                <w:color w:val="auto"/>
                <w:kern w:val="0"/>
                <w:sz w:val="20"/>
                <w:szCs w:val="20"/>
                <w:highlight w:val="none"/>
                <w:lang w:bidi="ar"/>
              </w:rPr>
              <w:t>80</w:t>
            </w:r>
          </w:p>
        </w:tc>
      </w:tr>
    </w:tbl>
    <w:p>
      <w:pPr>
        <w:pStyle w:val="2"/>
        <w:ind w:left="0" w:leftChars="0" w:firstLine="0" w:firstLineChars="0"/>
        <w:rPr>
          <w:rFonts w:ascii="Times New Roman" w:hAnsi="Times New Roman" w:eastAsia="宋体"/>
          <w:color w:val="auto"/>
          <w:kern w:val="0"/>
          <w:sz w:val="20"/>
          <w:szCs w:val="20"/>
          <w:highlight w:val="none"/>
          <w:lang w:bidi="ar"/>
        </w:rPr>
      </w:pPr>
      <w:r>
        <w:rPr>
          <w:rFonts w:ascii="Times New Roman" w:hAnsi="Times New Roman" w:eastAsia="宋体"/>
          <w:color w:val="auto"/>
          <w:kern w:val="0"/>
          <w:sz w:val="20"/>
          <w:szCs w:val="20"/>
          <w:highlight w:val="none"/>
          <w:lang w:bidi="ar"/>
        </w:rPr>
        <w:t>注：1.区域绿地占总绿地（除区域绿地外）的12.34%</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（2）养护效果较差</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精细的养护是园林绿化维护和提升的重要手段。据调查，海丰县部分公园绿地、广场绿地欠缺精细养护，以致草坪杂草丛生，乔木、灌木无序生长。部分道路附属绿地的乔木在死亡后没有及时更换，或者由于没有及时修剪而占据人行道等等。故需要县城范围内加强绿化养护工作，提升园林绿化效果。</w:t>
      </w:r>
    </w:p>
    <w:p>
      <w:pPr>
        <w:pStyle w:val="6"/>
        <w:rPr>
          <w:rFonts w:ascii="Times New Roman" w:hAnsi="Times New Roman"/>
          <w:color w:val="auto"/>
          <w:highlight w:val="none"/>
        </w:rPr>
      </w:pPr>
      <w:bookmarkStart w:id="126" w:name="_Toc18517"/>
      <w:bookmarkStart w:id="127" w:name="_Toc60776340"/>
      <w:r>
        <w:rPr>
          <w:rFonts w:ascii="Times New Roman" w:hAnsi="Times New Roman"/>
          <w:color w:val="auto"/>
          <w:highlight w:val="none"/>
        </w:rPr>
        <w:t>3.3.3 县城建设管控力度不足，市政设施建设品质有待提升</w:t>
      </w:r>
      <w:bookmarkEnd w:id="126"/>
      <w:bookmarkEnd w:id="127"/>
    </w:p>
    <w:p>
      <w:pPr>
        <w:ind w:firstLine="560" w:firstLineChars="200"/>
        <w:rPr>
          <w:rFonts w:ascii="Times New Roman" w:hAnsi="Times New Roman"/>
          <w:bCs/>
          <w:color w:val="auto"/>
          <w:sz w:val="28"/>
          <w:szCs w:val="28"/>
          <w:highlight w:val="none"/>
        </w:rPr>
      </w:pPr>
      <w:r>
        <w:rPr>
          <w:rFonts w:ascii="Times New Roman" w:hAnsi="Times New Roman"/>
          <w:bCs/>
          <w:color w:val="auto"/>
          <w:sz w:val="28"/>
          <w:szCs w:val="28"/>
          <w:highlight w:val="none"/>
        </w:rPr>
        <w:t>县城的建设管控和市政设施包括绿地系统规划执行和建设管理、县容县貌等18指标。现阶段，海丰县县城建成区建设管控力度不足主要体现在：</w:t>
      </w:r>
    </w:p>
    <w:p>
      <w:pPr>
        <w:ind w:firstLine="562" w:firstLineChars="200"/>
        <w:rPr>
          <w:rFonts w:ascii="Times New Roman" w:hAnsi="Times New Roman"/>
          <w:b/>
          <w:color w:val="auto"/>
          <w:sz w:val="28"/>
          <w:szCs w:val="28"/>
          <w:highlight w:val="none"/>
        </w:rPr>
      </w:pPr>
      <w:r>
        <w:rPr>
          <w:rFonts w:hint="eastAsia" w:ascii="Times New Roman" w:hAnsi="Times New Roman"/>
          <w:b/>
          <w:color w:val="auto"/>
          <w:sz w:val="28"/>
          <w:szCs w:val="28"/>
          <w:highlight w:val="none"/>
        </w:rPr>
        <w:t>（</w:t>
      </w:r>
      <w:r>
        <w:rPr>
          <w:rFonts w:ascii="Times New Roman" w:hAnsi="Times New Roman"/>
          <w:b/>
          <w:color w:val="auto"/>
          <w:sz w:val="28"/>
          <w:szCs w:val="28"/>
          <w:highlight w:val="none"/>
        </w:rPr>
        <w:t>1</w:t>
      </w:r>
      <w:r>
        <w:rPr>
          <w:rFonts w:hint="eastAsia" w:ascii="Times New Roman" w:hAnsi="Times New Roman"/>
          <w:b/>
          <w:color w:val="auto"/>
          <w:sz w:val="28"/>
          <w:szCs w:val="28"/>
          <w:highlight w:val="none"/>
        </w:rPr>
        <w:t>）园林绿化品质不高</w:t>
      </w:r>
    </w:p>
    <w:p>
      <w:pPr>
        <w:ind w:firstLine="560" w:firstLineChars="200"/>
        <w:rPr>
          <w:rFonts w:ascii="Times New Roman" w:hAnsi="Times New Roman"/>
          <w:bCs/>
          <w:color w:val="auto"/>
          <w:sz w:val="28"/>
          <w:szCs w:val="28"/>
          <w:highlight w:val="none"/>
        </w:rPr>
      </w:pPr>
      <w:r>
        <w:rPr>
          <w:rFonts w:ascii="Times New Roman" w:hAnsi="Times New Roman"/>
          <w:bCs/>
          <w:color w:val="auto"/>
          <w:sz w:val="28"/>
          <w:szCs w:val="28"/>
          <w:highlight w:val="none"/>
        </w:rPr>
        <w:t>第一，</w:t>
      </w:r>
      <w:r>
        <w:rPr>
          <w:rFonts w:ascii="Times New Roman" w:hAnsi="Times New Roman"/>
          <w:color w:val="auto"/>
          <w:sz w:val="28"/>
          <w:szCs w:val="28"/>
          <w:highlight w:val="none"/>
        </w:rPr>
        <w:t>新建绿地大量应用断头树，绿化效果不佳。近年来，海丰县在建成区范围投资建设、改造了一批广场绿地和道路附属绿地，如市民广场、海丽大道、广富路等。经调查发现，新建的市政园林绿化工程中应用比较多的断头树，树型差，冠幅小，除了影响绿化美感外，还影响道路绿化达标率和林荫路推广率。目前，海丰县建成区道路绿化达标率仅55.96%，林荫路推广率仅有25.0%，不能满足广东省园林县城评价标准。第二，园林绿化形式单一。海丰县建成区的园林绿化主要以传统形式的园林绿化为主，立体绿化等新型绿化技术尚未得到推广。在建成区推广立体绿化，可以满足广东省园林县城评价标准，并在提高建成区绿地面积、绿化覆盖面积的同时，提升县城园林绿化效果。</w:t>
      </w:r>
    </w:p>
    <w:p>
      <w:pPr>
        <w:ind w:firstLine="562" w:firstLineChars="200"/>
        <w:rPr>
          <w:rFonts w:ascii="Times New Roman" w:hAnsi="Times New Roman"/>
          <w:b/>
          <w:bCs/>
          <w:color w:val="auto"/>
          <w:sz w:val="28"/>
          <w:szCs w:val="28"/>
          <w:highlight w:val="none"/>
        </w:rPr>
      </w:pPr>
      <w:r>
        <w:rPr>
          <w:rFonts w:hint="eastAsia" w:ascii="Times New Roman" w:hAnsi="Times New Roman"/>
          <w:b/>
          <w:bCs/>
          <w:color w:val="auto"/>
          <w:sz w:val="28"/>
          <w:szCs w:val="28"/>
          <w:highlight w:val="none"/>
        </w:rPr>
        <w:t>（</w:t>
      </w:r>
      <w:r>
        <w:rPr>
          <w:rFonts w:ascii="Times New Roman" w:hAnsi="Times New Roman"/>
          <w:b/>
          <w:bCs/>
          <w:color w:val="auto"/>
          <w:sz w:val="28"/>
          <w:szCs w:val="28"/>
          <w:highlight w:val="none"/>
        </w:rPr>
        <w:t>2</w:t>
      </w:r>
      <w:r>
        <w:rPr>
          <w:rFonts w:hint="eastAsia" w:ascii="Times New Roman" w:hAnsi="Times New Roman"/>
          <w:b/>
          <w:bCs/>
          <w:color w:val="auto"/>
          <w:sz w:val="28"/>
          <w:szCs w:val="28"/>
          <w:highlight w:val="none"/>
        </w:rPr>
        <w:t>）绿道和无障碍设施建设不符合规范</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海丰县县城目前已建设1条绿道，为青年水库绿道，长度约880m。据调查，青年水库绿道存在缺少标识牌、路面破损，绿道两旁植被质量较差等情况。因此，青年水库绿道以及后续的新建绿道需要按照《绿道规划设计导则》、《广东省绿道建设管理规定》（粤府令第191号）、《广东省城市绿道规划设计指引》的函（粤建规函〔2011〕460号）等相关标准规范要求进行维护和建设。县城部分公共区域无障碍设施建设不够规范，主要为人行道与车行道之间缺乏无障碍通道或衔接处距地面较高，路面与公园入口处缺乏无障碍通道等等。</w:t>
      </w:r>
    </w:p>
    <w:p>
      <w:pPr>
        <w:ind w:firstLine="562" w:firstLineChars="200"/>
        <w:rPr>
          <w:rFonts w:ascii="Times New Roman" w:hAnsi="Times New Roman"/>
          <w:b/>
          <w:bCs/>
          <w:color w:val="auto"/>
          <w:sz w:val="28"/>
          <w:szCs w:val="28"/>
          <w:highlight w:val="none"/>
        </w:rPr>
      </w:pPr>
      <w:r>
        <w:rPr>
          <w:rFonts w:hint="eastAsia" w:ascii="Times New Roman" w:hAnsi="Times New Roman"/>
          <w:b/>
          <w:bCs/>
          <w:color w:val="auto"/>
          <w:sz w:val="28"/>
          <w:szCs w:val="28"/>
          <w:highlight w:val="none"/>
        </w:rPr>
        <w:t>（</w:t>
      </w:r>
      <w:r>
        <w:rPr>
          <w:rFonts w:ascii="Times New Roman" w:hAnsi="Times New Roman"/>
          <w:b/>
          <w:bCs/>
          <w:color w:val="auto"/>
          <w:sz w:val="28"/>
          <w:szCs w:val="28"/>
          <w:highlight w:val="none"/>
        </w:rPr>
        <w:t>3</w:t>
      </w:r>
      <w:r>
        <w:rPr>
          <w:rFonts w:hint="eastAsia" w:ascii="Times New Roman" w:hAnsi="Times New Roman"/>
          <w:b/>
          <w:bCs/>
          <w:color w:val="auto"/>
          <w:sz w:val="28"/>
          <w:szCs w:val="28"/>
          <w:highlight w:val="none"/>
        </w:rPr>
        <w:t>）县容县貌有待提升</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海丰县作为粤东历史名城，老城区街道狭窄、绿地少，且由于缺乏监管，一定程度上存在违规设摊、占道经营、车辆停放不规范等影响县容县貌的问题。2018年海丰县县城开始实行包环境卫生、包绿化管理、包市容秩序的“门前三包”工作，县城的环境卫生和市容秩序得到一定程度的改善，上述影响县容县貌的问题在老城区仍然比较突出，亟需得到妥善解决。</w:t>
      </w:r>
    </w:p>
    <w:p>
      <w:pPr>
        <w:pStyle w:val="6"/>
        <w:rPr>
          <w:rFonts w:ascii="Times New Roman" w:hAnsi="Times New Roman"/>
          <w:color w:val="auto"/>
          <w:highlight w:val="none"/>
        </w:rPr>
      </w:pPr>
      <w:bookmarkStart w:id="128" w:name="_Toc60776341"/>
      <w:bookmarkStart w:id="129" w:name="_Toc20276"/>
      <w:r>
        <w:rPr>
          <w:rFonts w:ascii="Times New Roman" w:hAnsi="Times New Roman"/>
          <w:color w:val="auto"/>
          <w:highlight w:val="none"/>
        </w:rPr>
        <w:t>3.3.4 县城生态环境保护管理体系亟待建设</w:t>
      </w:r>
      <w:bookmarkEnd w:id="128"/>
      <w:bookmarkEnd w:id="129"/>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县城生态环境保护共有生态保护与修复、生物多样性保护等6项指标。据调查，海丰县县域范围内自然山水格局和自然生态系统保护较好，存在的主要问题是尚未建立生态环境保护管理体系，体现如下：</w:t>
      </w:r>
    </w:p>
    <w:p>
      <w:pPr>
        <w:ind w:firstLine="562" w:firstLineChars="200"/>
        <w:rPr>
          <w:rFonts w:ascii="Times New Roman" w:hAnsi="Times New Roman"/>
          <w:b/>
          <w:bCs/>
          <w:color w:val="auto"/>
          <w:sz w:val="28"/>
          <w:szCs w:val="28"/>
          <w:highlight w:val="none"/>
        </w:rPr>
      </w:pPr>
      <w:r>
        <w:rPr>
          <w:rFonts w:hint="eastAsia" w:ascii="Times New Roman" w:hAnsi="Times New Roman"/>
          <w:b/>
          <w:bCs/>
          <w:color w:val="auto"/>
          <w:sz w:val="28"/>
          <w:szCs w:val="28"/>
          <w:highlight w:val="none"/>
        </w:rPr>
        <w:t>（</w:t>
      </w:r>
      <w:r>
        <w:rPr>
          <w:rFonts w:ascii="Times New Roman" w:hAnsi="Times New Roman"/>
          <w:b/>
          <w:bCs/>
          <w:color w:val="auto"/>
          <w:sz w:val="28"/>
          <w:szCs w:val="28"/>
          <w:highlight w:val="none"/>
        </w:rPr>
        <w:t>1</w:t>
      </w:r>
      <w:r>
        <w:rPr>
          <w:rFonts w:hint="eastAsia" w:ascii="Times New Roman" w:hAnsi="Times New Roman"/>
          <w:b/>
          <w:bCs/>
          <w:color w:val="auto"/>
          <w:sz w:val="28"/>
          <w:szCs w:val="28"/>
          <w:highlight w:val="none"/>
        </w:rPr>
        <w:t>）古树名木及后备资源管理力度尚需加强</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海丰县已经完成全县范围内树龄100年以上的古树名木普查工作，部分古树名木已挂牌保护。然而，树龄50-99年的古树后备资源尚未得到普查，挂牌、明确保护责任单位或责任人等工作也亟待完成。</w:t>
      </w:r>
    </w:p>
    <w:p>
      <w:pPr>
        <w:ind w:firstLine="562" w:firstLineChars="200"/>
        <w:rPr>
          <w:rFonts w:ascii="Times New Roman" w:hAnsi="Times New Roman"/>
          <w:b/>
          <w:bCs/>
          <w:color w:val="auto"/>
          <w:sz w:val="28"/>
          <w:szCs w:val="28"/>
          <w:highlight w:val="none"/>
        </w:rPr>
      </w:pPr>
      <w:r>
        <w:rPr>
          <w:rFonts w:hint="eastAsia" w:ascii="Times New Roman" w:hAnsi="Times New Roman"/>
          <w:b/>
          <w:bCs/>
          <w:color w:val="auto"/>
          <w:sz w:val="28"/>
          <w:szCs w:val="28"/>
          <w:highlight w:val="none"/>
        </w:rPr>
        <w:t>（</w:t>
      </w:r>
      <w:r>
        <w:rPr>
          <w:rFonts w:ascii="Times New Roman" w:hAnsi="Times New Roman"/>
          <w:b/>
          <w:bCs/>
          <w:color w:val="auto"/>
          <w:sz w:val="28"/>
          <w:szCs w:val="28"/>
          <w:highlight w:val="none"/>
        </w:rPr>
        <w:t>2</w:t>
      </w:r>
      <w:r>
        <w:rPr>
          <w:rFonts w:hint="eastAsia" w:ascii="Times New Roman" w:hAnsi="Times New Roman"/>
          <w:b/>
          <w:bCs/>
          <w:color w:val="auto"/>
          <w:sz w:val="28"/>
          <w:szCs w:val="28"/>
          <w:highlight w:val="none"/>
        </w:rPr>
        <w:t>）生物多样性保护工作有待加强</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丰富的生物多样性是健康的生态系统的主要组成部分之一，而生物物种的多样性是生物多样性的重要指标，种质资源库的建设为生物物种多样性提供重要保障。到目前为止，海丰县尚未完成县域范围内生物物种资源普查工作，以及建立乡土、适生植物种植资源库，这两方面的工作有待加强。</w:t>
      </w:r>
    </w:p>
    <w:p>
      <w:pPr>
        <w:ind w:firstLine="562" w:firstLineChars="200"/>
        <w:rPr>
          <w:rFonts w:ascii="Times New Roman" w:hAnsi="Times New Roman"/>
          <w:b/>
          <w:bCs/>
          <w:color w:val="auto"/>
          <w:sz w:val="28"/>
          <w:szCs w:val="28"/>
          <w:highlight w:val="none"/>
        </w:rPr>
      </w:pPr>
      <w:r>
        <w:rPr>
          <w:rFonts w:hint="eastAsia" w:ascii="Times New Roman" w:hAnsi="Times New Roman"/>
          <w:b/>
          <w:bCs/>
          <w:color w:val="auto"/>
          <w:sz w:val="28"/>
          <w:szCs w:val="28"/>
          <w:highlight w:val="none"/>
        </w:rPr>
        <w:t>（</w:t>
      </w:r>
      <w:r>
        <w:rPr>
          <w:rFonts w:ascii="Times New Roman" w:hAnsi="Times New Roman"/>
          <w:b/>
          <w:bCs/>
          <w:color w:val="auto"/>
          <w:sz w:val="28"/>
          <w:szCs w:val="28"/>
          <w:highlight w:val="none"/>
        </w:rPr>
        <w:t>3</w:t>
      </w:r>
      <w:r>
        <w:rPr>
          <w:rFonts w:hint="eastAsia" w:ascii="Times New Roman" w:hAnsi="Times New Roman"/>
          <w:b/>
          <w:bCs/>
          <w:color w:val="auto"/>
          <w:sz w:val="28"/>
          <w:szCs w:val="28"/>
          <w:highlight w:val="none"/>
        </w:rPr>
        <w:t>）湿地资源保护工作有待加强</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湿地被誉为地球之肾，具有保护生物多样性、调节径流、改善水质、调节小气候、以及提供食物及工业原料，以及提供旅游资源等作用。健康的湿地同样是健康的生态系统的主要组成部分之一。海丰县具有丰富的湿地资源。1998 年，经省人民政府批准，海丰县主要湿地公平水库、大湖、东关联安围建立起广东海丰鸟类省级自然保护区，成为我国36处国际重要湿地之一。然而，海丰县尚未系统性开展湿地资源普查和保护规划工作，相关湿地管理</w:t>
      </w:r>
      <w:r>
        <w:rPr>
          <w:rFonts w:hint="eastAsia" w:ascii="Times New Roman" w:hAnsi="Times New Roman"/>
          <w:color w:val="auto"/>
          <w:sz w:val="28"/>
          <w:szCs w:val="28"/>
          <w:highlight w:val="none"/>
          <w:lang w:val="en-US" w:eastAsia="zh-CN"/>
        </w:rPr>
        <w:t>职责尚未明确</w:t>
      </w:r>
      <w:r>
        <w:rPr>
          <w:rFonts w:ascii="Times New Roman" w:hAnsi="Times New Roman"/>
          <w:color w:val="auto"/>
          <w:sz w:val="28"/>
          <w:szCs w:val="28"/>
          <w:highlight w:val="none"/>
        </w:rPr>
        <w:t>。为加强湿地的管理保护工作，海丰县亟需建立专门的湿地管理机构，并同时开展湿地普查和保护规划工作。</w:t>
      </w:r>
    </w:p>
    <w:p>
      <w:pPr>
        <w:pStyle w:val="4"/>
        <w:rPr>
          <w:rFonts w:ascii="Times New Roman" w:hAnsi="Times New Roman" w:eastAsia="宋体"/>
          <w:bCs/>
          <w:color w:val="auto"/>
          <w:highlight w:val="none"/>
        </w:rPr>
      </w:pPr>
      <w:bookmarkStart w:id="130" w:name="_Toc12118"/>
      <w:bookmarkStart w:id="131" w:name="_Toc16878"/>
      <w:bookmarkStart w:id="132" w:name="_Toc23998"/>
      <w:bookmarkStart w:id="133" w:name="_Toc15094"/>
      <w:bookmarkStart w:id="134" w:name="_Toc20495"/>
      <w:bookmarkStart w:id="135" w:name="_Toc8096"/>
      <w:r>
        <w:rPr>
          <w:rFonts w:ascii="Times New Roman" w:hAnsi="Times New Roman" w:eastAsia="宋体"/>
          <w:bCs/>
          <w:color w:val="auto"/>
          <w:highlight w:val="none"/>
        </w:rPr>
        <w:t>4 行动规划</w:t>
      </w:r>
      <w:bookmarkEnd w:id="130"/>
      <w:bookmarkEnd w:id="131"/>
      <w:bookmarkEnd w:id="132"/>
      <w:bookmarkEnd w:id="133"/>
      <w:bookmarkEnd w:id="134"/>
      <w:bookmarkEnd w:id="135"/>
    </w:p>
    <w:p>
      <w:pPr>
        <w:pStyle w:val="5"/>
        <w:rPr>
          <w:rFonts w:ascii="Times New Roman" w:hAnsi="Times New Roman" w:eastAsia="宋体"/>
          <w:bCs/>
          <w:color w:val="auto"/>
          <w:highlight w:val="none"/>
        </w:rPr>
      </w:pPr>
      <w:bookmarkStart w:id="136" w:name="_Toc6511"/>
      <w:bookmarkStart w:id="137" w:name="_Toc14473"/>
      <w:bookmarkStart w:id="138" w:name="_Toc13481"/>
      <w:bookmarkStart w:id="139" w:name="_Toc817"/>
      <w:bookmarkStart w:id="140" w:name="_Toc2197"/>
      <w:bookmarkStart w:id="141" w:name="_Toc7854"/>
      <w:r>
        <w:rPr>
          <w:rFonts w:ascii="Times New Roman" w:hAnsi="Times New Roman" w:eastAsia="宋体"/>
          <w:bCs/>
          <w:color w:val="auto"/>
          <w:highlight w:val="none"/>
        </w:rPr>
        <w:t>4.1 行动一：高效管理，完善园林县城管控体系</w:t>
      </w:r>
      <w:bookmarkEnd w:id="136"/>
      <w:bookmarkEnd w:id="137"/>
      <w:bookmarkEnd w:id="138"/>
      <w:bookmarkEnd w:id="139"/>
      <w:bookmarkEnd w:id="140"/>
      <w:bookmarkEnd w:id="141"/>
    </w:p>
    <w:p>
      <w:pPr>
        <w:pStyle w:val="6"/>
        <w:rPr>
          <w:rFonts w:ascii="Times New Roman" w:hAnsi="Times New Roman"/>
          <w:color w:val="auto"/>
          <w:highlight w:val="none"/>
        </w:rPr>
      </w:pPr>
      <w:bookmarkStart w:id="142" w:name="_Toc29390"/>
      <w:bookmarkStart w:id="143" w:name="_Toc60776344"/>
      <w:r>
        <w:rPr>
          <w:rFonts w:ascii="Times New Roman" w:hAnsi="Times New Roman"/>
          <w:color w:val="auto"/>
          <w:highlight w:val="none"/>
        </w:rPr>
        <w:t>4.1.1 制度建设，为园林县城提供管理保障</w:t>
      </w:r>
      <w:bookmarkEnd w:id="142"/>
      <w:bookmarkEnd w:id="143"/>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依据规章制度进行规范化管理，是县城的各类建设活动正常有效开展的基础，是县城有序、高质发展的有力保障。根据《广东省园林城市系列标准》，海丰县待建设的园林县城管理制度共2</w:t>
      </w:r>
      <w:r>
        <w:rPr>
          <w:rFonts w:hint="eastAsia" w:ascii="Times New Roman" w:hAnsi="Times New Roman"/>
          <w:color w:val="auto"/>
          <w:sz w:val="28"/>
          <w:szCs w:val="28"/>
          <w:highlight w:val="none"/>
          <w:lang w:val="en-US" w:eastAsia="zh-CN"/>
        </w:rPr>
        <w:t>4</w:t>
      </w:r>
      <w:r>
        <w:rPr>
          <w:rFonts w:ascii="Times New Roman" w:hAnsi="Times New Roman"/>
          <w:color w:val="auto"/>
          <w:sz w:val="28"/>
          <w:szCs w:val="28"/>
          <w:highlight w:val="none"/>
        </w:rPr>
        <w:t>项，涉及财政保障、绿化建设和养护管理、生态环境保护、市政管理、历史文化保护等方面。各相关部门应根据职能范围，按时高质完成各项制度的制定工作，呈主管部门进行批准、实施。2</w:t>
      </w:r>
      <w:r>
        <w:rPr>
          <w:rFonts w:hint="eastAsia" w:ascii="Times New Roman" w:hAnsi="Times New Roman"/>
          <w:color w:val="auto"/>
          <w:sz w:val="28"/>
          <w:szCs w:val="28"/>
          <w:highlight w:val="none"/>
          <w:lang w:val="en-US" w:eastAsia="zh-CN"/>
        </w:rPr>
        <w:t>4</w:t>
      </w:r>
      <w:r>
        <w:rPr>
          <w:rFonts w:ascii="Times New Roman" w:hAnsi="Times New Roman"/>
          <w:color w:val="auto"/>
          <w:sz w:val="28"/>
          <w:szCs w:val="28"/>
          <w:highlight w:val="none"/>
        </w:rPr>
        <w:t>项制度建设清单详见表4-</w:t>
      </w:r>
      <w:r>
        <w:rPr>
          <w:rFonts w:hint="eastAsia" w:ascii="Times New Roman" w:hAnsi="Times New Roman"/>
          <w:color w:val="auto"/>
          <w:sz w:val="28"/>
          <w:szCs w:val="28"/>
          <w:highlight w:val="none"/>
          <w:lang w:val="en-US" w:eastAsia="zh-CN"/>
        </w:rPr>
        <w:t>1</w:t>
      </w:r>
      <w:r>
        <w:rPr>
          <w:rFonts w:hint="eastAsia" w:ascii="Times New Roman" w:hAnsi="Times New Roman"/>
          <w:color w:val="auto"/>
          <w:sz w:val="28"/>
          <w:szCs w:val="28"/>
          <w:highlight w:val="none"/>
        </w:rPr>
        <w:t>-</w:t>
      </w:r>
      <w:r>
        <w:rPr>
          <w:rFonts w:ascii="Times New Roman" w:hAnsi="Times New Roman"/>
          <w:color w:val="auto"/>
          <w:sz w:val="28"/>
          <w:szCs w:val="28"/>
          <w:highlight w:val="none"/>
        </w:rPr>
        <w:t>1。</w:t>
      </w:r>
    </w:p>
    <w:p>
      <w:pPr>
        <w:jc w:val="center"/>
        <w:rPr>
          <w:rFonts w:ascii="Times New Roman" w:hAnsi="Times New Roman"/>
          <w:b/>
          <w:bCs/>
          <w:color w:val="auto"/>
          <w:sz w:val="28"/>
          <w:szCs w:val="28"/>
          <w:highlight w:val="none"/>
        </w:rPr>
      </w:pPr>
      <w:r>
        <w:rPr>
          <w:rFonts w:ascii="Times New Roman" w:hAnsi="Times New Roman"/>
          <w:b/>
          <w:bCs/>
          <w:color w:val="auto"/>
          <w:sz w:val="28"/>
          <w:szCs w:val="28"/>
          <w:highlight w:val="none"/>
        </w:rPr>
        <w:t>表4-</w:t>
      </w:r>
      <w:r>
        <w:rPr>
          <w:rFonts w:hint="eastAsia" w:ascii="Times New Roman" w:hAnsi="Times New Roman"/>
          <w:b/>
          <w:bCs/>
          <w:color w:val="auto"/>
          <w:sz w:val="28"/>
          <w:szCs w:val="28"/>
          <w:highlight w:val="none"/>
        </w:rPr>
        <w:t>1-</w:t>
      </w:r>
      <w:r>
        <w:rPr>
          <w:rFonts w:ascii="Times New Roman" w:hAnsi="Times New Roman"/>
          <w:b/>
          <w:bCs/>
          <w:color w:val="auto"/>
          <w:sz w:val="28"/>
          <w:szCs w:val="28"/>
          <w:highlight w:val="none"/>
        </w:rPr>
        <w:t>1 海丰县制度建设行动方案</w:t>
      </w:r>
    </w:p>
    <w:tbl>
      <w:tblPr>
        <w:tblStyle w:val="20"/>
        <w:tblW w:w="86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1"/>
        <w:gridCol w:w="1306"/>
        <w:gridCol w:w="2451"/>
        <w:gridCol w:w="1746"/>
        <w:gridCol w:w="870"/>
        <w:gridCol w:w="870"/>
        <w:gridCol w:w="8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541"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序号</w:t>
            </w:r>
          </w:p>
        </w:tc>
        <w:tc>
          <w:tcPr>
            <w:tcW w:w="1306"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项目</w:t>
            </w:r>
          </w:p>
        </w:tc>
        <w:tc>
          <w:tcPr>
            <w:tcW w:w="2451"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内容</w:t>
            </w:r>
          </w:p>
        </w:tc>
        <w:tc>
          <w:tcPr>
            <w:tcW w:w="1746"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责任单位</w:t>
            </w:r>
          </w:p>
        </w:tc>
        <w:tc>
          <w:tcPr>
            <w:tcW w:w="870"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性质</w:t>
            </w:r>
          </w:p>
        </w:tc>
        <w:tc>
          <w:tcPr>
            <w:tcW w:w="870"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对应考核指标</w:t>
            </w:r>
          </w:p>
        </w:tc>
        <w:tc>
          <w:tcPr>
            <w:tcW w:w="871"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完成时间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1</w:t>
            </w:r>
          </w:p>
        </w:tc>
        <w:tc>
          <w:tcPr>
            <w:tcW w:w="13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园林绿化资金相关文件</w:t>
            </w:r>
          </w:p>
        </w:tc>
        <w:tc>
          <w:tcPr>
            <w:tcW w:w="245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经人大批准的政府预算中的批文和财政部门列有“城市园林绿化建设和维护资金”两项</w:t>
            </w:r>
          </w:p>
        </w:tc>
        <w:tc>
          <w:tcPr>
            <w:tcW w:w="174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县财政局</w:t>
            </w:r>
          </w:p>
        </w:tc>
        <w:tc>
          <w:tcPr>
            <w:tcW w:w="870" w:type="dxa"/>
            <w:vAlign w:val="center"/>
          </w:tcPr>
          <w:p>
            <w:pPr>
              <w:jc w:val="center"/>
              <w:rPr>
                <w:rFonts w:ascii="Times New Roman" w:hAnsi="Times New Roman"/>
                <w:color w:val="auto"/>
                <w:kern w:val="0"/>
                <w:sz w:val="24"/>
                <w:highlight w:val="none"/>
              </w:rPr>
            </w:pPr>
            <w:r>
              <w:rPr>
                <w:rFonts w:hint="eastAsia" w:ascii="Times New Roman" w:hAnsi="Times New Roman"/>
                <w:color w:val="auto"/>
                <w:kern w:val="0"/>
                <w:sz w:val="24"/>
                <w:highlight w:val="none"/>
                <w:lang w:bidi="ar"/>
              </w:rPr>
              <w:t>提升项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2</w:t>
            </w:r>
          </w:p>
        </w:tc>
        <w:tc>
          <w:tcPr>
            <w:tcW w:w="871" w:type="dxa"/>
            <w:vAlign w:val="center"/>
          </w:tcPr>
          <w:p>
            <w:pPr>
              <w:jc w:val="center"/>
              <w:rPr>
                <w:rFonts w:ascii="Times New Roman" w:hAnsi="Times New Roman"/>
                <w:color w:val="auto"/>
                <w:kern w:val="0"/>
                <w:sz w:val="24"/>
                <w:highlight w:val="none"/>
              </w:rPr>
            </w:pPr>
            <w:r>
              <w:rPr>
                <w:rFonts w:ascii="Times New Roman" w:hAnsi="Times New Roman"/>
                <w:bCs/>
                <w:color w:val="auto"/>
                <w:kern w:val="0"/>
                <w:sz w:val="24"/>
                <w:highlight w:val="none"/>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2</w:t>
            </w:r>
          </w:p>
        </w:tc>
        <w:tc>
          <w:tcPr>
            <w:tcW w:w="13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海丰县园林绿化养护管理定额标准</w:t>
            </w:r>
          </w:p>
        </w:tc>
        <w:tc>
          <w:tcPr>
            <w:tcW w:w="245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经批准的海丰县园林绿化养护管理定额标准，与海丰县的园林绿化资金和各类绿地总量相适应</w:t>
            </w:r>
          </w:p>
        </w:tc>
        <w:tc>
          <w:tcPr>
            <w:tcW w:w="174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2</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3</w:t>
            </w:r>
          </w:p>
        </w:tc>
        <w:tc>
          <w:tcPr>
            <w:tcW w:w="13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县城绿线管制制度</w:t>
            </w:r>
          </w:p>
        </w:tc>
        <w:tc>
          <w:tcPr>
            <w:tcW w:w="245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经批准并印发的《县城绿线管制制度》，以及执行情况报告</w:t>
            </w:r>
          </w:p>
        </w:tc>
        <w:tc>
          <w:tcPr>
            <w:tcW w:w="174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6</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rPr>
              <w:t>3</w:t>
            </w:r>
            <w:r>
              <w:rPr>
                <w:rFonts w:ascii="Times New Roman" w:hAnsi="Times New Roman"/>
                <w:bCs/>
                <w:color w:val="auto"/>
                <w:kern w:val="0"/>
                <w:sz w:val="24"/>
                <w:highlight w:val="none"/>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4</w:t>
            </w:r>
          </w:p>
        </w:tc>
        <w:tc>
          <w:tcPr>
            <w:tcW w:w="13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海丰县园林绿化工程项目建设管理办法</w:t>
            </w:r>
          </w:p>
        </w:tc>
        <w:tc>
          <w:tcPr>
            <w:tcW w:w="245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经批准并印发的县城园林绿化工程项目建设管理办法</w:t>
            </w:r>
          </w:p>
        </w:tc>
        <w:tc>
          <w:tcPr>
            <w:tcW w:w="174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6</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rPr>
              <w:t>3</w:t>
            </w:r>
            <w:r>
              <w:rPr>
                <w:rFonts w:ascii="Times New Roman" w:hAnsi="Times New Roman"/>
                <w:bCs/>
                <w:color w:val="auto"/>
                <w:kern w:val="0"/>
                <w:sz w:val="24"/>
                <w:highlight w:val="none"/>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5</w:t>
            </w:r>
          </w:p>
        </w:tc>
        <w:tc>
          <w:tcPr>
            <w:tcW w:w="13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县城园林绿化养护管理办法</w:t>
            </w:r>
          </w:p>
        </w:tc>
        <w:tc>
          <w:tcPr>
            <w:tcW w:w="245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经批准并印发的县城园林绿化养护管理办法</w:t>
            </w:r>
          </w:p>
        </w:tc>
        <w:tc>
          <w:tcPr>
            <w:tcW w:w="174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6</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rPr>
              <w:t>3</w:t>
            </w:r>
            <w:r>
              <w:rPr>
                <w:rFonts w:ascii="Times New Roman" w:hAnsi="Times New Roman"/>
                <w:bCs/>
                <w:color w:val="auto"/>
                <w:kern w:val="0"/>
                <w:sz w:val="24"/>
                <w:highlight w:val="none"/>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6</w:t>
            </w:r>
          </w:p>
        </w:tc>
        <w:tc>
          <w:tcPr>
            <w:tcW w:w="13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海丰县生态环境保护管理规定</w:t>
            </w:r>
          </w:p>
        </w:tc>
        <w:tc>
          <w:tcPr>
            <w:tcW w:w="245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经批准并印发的县城生态环境保护管理规定</w:t>
            </w:r>
          </w:p>
        </w:tc>
        <w:tc>
          <w:tcPr>
            <w:tcW w:w="174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市生态环境局海丰分局</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6</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rPr>
              <w:t>3</w:t>
            </w:r>
            <w:r>
              <w:rPr>
                <w:rFonts w:ascii="Times New Roman" w:hAnsi="Times New Roman"/>
                <w:bCs/>
                <w:color w:val="auto"/>
                <w:kern w:val="0"/>
                <w:sz w:val="24"/>
                <w:highlight w:val="none"/>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7</w:t>
            </w:r>
          </w:p>
        </w:tc>
        <w:tc>
          <w:tcPr>
            <w:tcW w:w="13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海丰县生物多样性保护管理规定</w:t>
            </w:r>
          </w:p>
        </w:tc>
        <w:tc>
          <w:tcPr>
            <w:tcW w:w="245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经批准并印发的海丰县生物多样性保护管理规定</w:t>
            </w:r>
          </w:p>
        </w:tc>
        <w:tc>
          <w:tcPr>
            <w:tcW w:w="174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县林业局</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6、31</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rPr>
              <w:t>3</w:t>
            </w:r>
            <w:r>
              <w:rPr>
                <w:rFonts w:ascii="Times New Roman" w:hAnsi="Times New Roman"/>
                <w:bCs/>
                <w:color w:val="auto"/>
                <w:kern w:val="0"/>
                <w:sz w:val="24"/>
                <w:highlight w:val="none"/>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8</w:t>
            </w:r>
          </w:p>
        </w:tc>
        <w:tc>
          <w:tcPr>
            <w:tcW w:w="13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海丰县古树名木保护管理办法</w:t>
            </w:r>
          </w:p>
        </w:tc>
        <w:tc>
          <w:tcPr>
            <w:tcW w:w="245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经批准并印发的海丰县古树名木保护管理规定、直接管理单位责任书或合同书</w:t>
            </w:r>
          </w:p>
        </w:tc>
        <w:tc>
          <w:tcPr>
            <w:tcW w:w="174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县林业局</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6、25</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rPr>
              <w:t>3</w:t>
            </w:r>
            <w:r>
              <w:rPr>
                <w:rFonts w:ascii="Times New Roman" w:hAnsi="Times New Roman"/>
                <w:bCs/>
                <w:color w:val="auto"/>
                <w:kern w:val="0"/>
                <w:sz w:val="24"/>
                <w:highlight w:val="none"/>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9</w:t>
            </w:r>
          </w:p>
        </w:tc>
        <w:tc>
          <w:tcPr>
            <w:tcW w:w="13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海丰县义务植树管理办法</w:t>
            </w:r>
          </w:p>
        </w:tc>
        <w:tc>
          <w:tcPr>
            <w:tcW w:w="245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经批准并印发的海丰县义务植树管理办法</w:t>
            </w:r>
          </w:p>
        </w:tc>
        <w:tc>
          <w:tcPr>
            <w:tcW w:w="174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县林业局</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6</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rPr>
              <w:t>3</w:t>
            </w:r>
            <w:r>
              <w:rPr>
                <w:rFonts w:ascii="Times New Roman" w:hAnsi="Times New Roman"/>
                <w:bCs/>
                <w:color w:val="auto"/>
                <w:kern w:val="0"/>
                <w:sz w:val="24"/>
                <w:highlight w:val="none"/>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10</w:t>
            </w:r>
          </w:p>
        </w:tc>
        <w:tc>
          <w:tcPr>
            <w:tcW w:w="13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县城园林式居住区（单位）考核管理办法</w:t>
            </w:r>
          </w:p>
        </w:tc>
        <w:tc>
          <w:tcPr>
            <w:tcW w:w="245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经批准的海丰县园林式居住区（单位）考核管理办法</w:t>
            </w:r>
          </w:p>
        </w:tc>
        <w:tc>
          <w:tcPr>
            <w:tcW w:w="174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15</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rPr>
              <w:t>3</w:t>
            </w:r>
            <w:r>
              <w:rPr>
                <w:rFonts w:ascii="Times New Roman" w:hAnsi="Times New Roman"/>
                <w:bCs/>
                <w:color w:val="auto"/>
                <w:kern w:val="0"/>
                <w:sz w:val="24"/>
                <w:highlight w:val="none"/>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11</w:t>
            </w:r>
          </w:p>
        </w:tc>
        <w:tc>
          <w:tcPr>
            <w:tcW w:w="13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海丰县大树移植管理制度</w:t>
            </w:r>
          </w:p>
        </w:tc>
        <w:tc>
          <w:tcPr>
            <w:tcW w:w="245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经批准的控制大树移植及随意更换行道树种的制度，以及执行情况报告</w:t>
            </w:r>
          </w:p>
        </w:tc>
        <w:tc>
          <w:tcPr>
            <w:tcW w:w="174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县林业局</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6、21、26</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rPr>
              <w:t>3</w:t>
            </w:r>
            <w:r>
              <w:rPr>
                <w:rFonts w:ascii="Times New Roman" w:hAnsi="Times New Roman"/>
                <w:bCs/>
                <w:color w:val="auto"/>
                <w:kern w:val="0"/>
                <w:sz w:val="24"/>
                <w:highlight w:val="none"/>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12</w:t>
            </w:r>
          </w:p>
        </w:tc>
        <w:tc>
          <w:tcPr>
            <w:tcW w:w="13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县城公园管理制度</w:t>
            </w:r>
          </w:p>
        </w:tc>
        <w:tc>
          <w:tcPr>
            <w:tcW w:w="245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经批准的县城公园管理制度</w:t>
            </w:r>
          </w:p>
        </w:tc>
        <w:tc>
          <w:tcPr>
            <w:tcW w:w="174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县住建局、县文体局</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22</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rPr>
              <w:t>3</w:t>
            </w:r>
            <w:r>
              <w:rPr>
                <w:rFonts w:ascii="Times New Roman" w:hAnsi="Times New Roman"/>
                <w:bCs/>
                <w:color w:val="auto"/>
                <w:kern w:val="0"/>
                <w:sz w:val="24"/>
                <w:highlight w:val="none"/>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13</w:t>
            </w:r>
          </w:p>
        </w:tc>
        <w:tc>
          <w:tcPr>
            <w:tcW w:w="13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县城节约型园林绿化建设</w:t>
            </w:r>
            <w:r>
              <w:rPr>
                <w:rFonts w:hint="eastAsia" w:ascii="Times New Roman" w:hAnsi="Times New Roman"/>
                <w:color w:val="auto"/>
                <w:kern w:val="0"/>
                <w:sz w:val="24"/>
                <w:highlight w:val="none"/>
              </w:rPr>
              <w:t>推广</w:t>
            </w:r>
            <w:r>
              <w:rPr>
                <w:rFonts w:ascii="Times New Roman" w:hAnsi="Times New Roman"/>
                <w:color w:val="auto"/>
                <w:kern w:val="0"/>
                <w:sz w:val="24"/>
                <w:highlight w:val="none"/>
              </w:rPr>
              <w:t>制度</w:t>
            </w:r>
          </w:p>
        </w:tc>
        <w:tc>
          <w:tcPr>
            <w:tcW w:w="245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经批准的县城节约型园林绿化建设</w:t>
            </w:r>
            <w:r>
              <w:rPr>
                <w:rFonts w:hint="eastAsia" w:ascii="Times New Roman" w:hAnsi="Times New Roman"/>
                <w:color w:val="auto"/>
                <w:kern w:val="0"/>
                <w:sz w:val="24"/>
                <w:highlight w:val="none"/>
              </w:rPr>
              <w:t>推广</w:t>
            </w:r>
            <w:r>
              <w:rPr>
                <w:rFonts w:ascii="Times New Roman" w:hAnsi="Times New Roman"/>
                <w:color w:val="auto"/>
                <w:kern w:val="0"/>
                <w:sz w:val="24"/>
                <w:highlight w:val="none"/>
              </w:rPr>
              <w:t>制度，在县城范围内控制大树移植、大广场、喷泉、水景、人工大水面、大草坪、大色块、雕塑、灯具造景</w:t>
            </w:r>
          </w:p>
        </w:tc>
        <w:tc>
          <w:tcPr>
            <w:tcW w:w="174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县住建局、县林业局</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26</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rPr>
              <w:t>3</w:t>
            </w:r>
            <w:r>
              <w:rPr>
                <w:rFonts w:ascii="Times New Roman" w:hAnsi="Times New Roman"/>
                <w:bCs/>
                <w:color w:val="auto"/>
                <w:kern w:val="0"/>
                <w:sz w:val="24"/>
                <w:highlight w:val="none"/>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14</w:t>
            </w:r>
          </w:p>
        </w:tc>
        <w:tc>
          <w:tcPr>
            <w:tcW w:w="13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海丰县立体绿化推广技术指引</w:t>
            </w:r>
          </w:p>
        </w:tc>
        <w:tc>
          <w:tcPr>
            <w:tcW w:w="245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制定并经批准的立体绿化推广的鼓励政策、技术措施、实施方案，以及实施情况说明</w:t>
            </w:r>
          </w:p>
        </w:tc>
        <w:tc>
          <w:tcPr>
            <w:tcW w:w="174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县住建局、县林业局</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27</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rPr>
              <w:t>3</w:t>
            </w:r>
            <w:r>
              <w:rPr>
                <w:rFonts w:ascii="Times New Roman" w:hAnsi="Times New Roman"/>
                <w:bCs/>
                <w:color w:val="auto"/>
                <w:kern w:val="0"/>
                <w:sz w:val="24"/>
                <w:highlight w:val="none"/>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15</w:t>
            </w:r>
          </w:p>
        </w:tc>
        <w:tc>
          <w:tcPr>
            <w:tcW w:w="13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县城湿地保护实施方案、湿地资源保护管理办法、保护机构</w:t>
            </w:r>
          </w:p>
        </w:tc>
        <w:tc>
          <w:tcPr>
            <w:tcW w:w="2451" w:type="dxa"/>
            <w:vAlign w:val="center"/>
          </w:tcPr>
          <w:p>
            <w:pPr>
              <w:jc w:val="center"/>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经批准的县城湿地资源保护实施方案；</w:t>
            </w:r>
          </w:p>
          <w:p>
            <w:pPr>
              <w:jc w:val="center"/>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经批准的湿地资源保护管理办法；</w:t>
            </w:r>
          </w:p>
          <w:p>
            <w:pPr>
              <w:jc w:val="center"/>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③</w:t>
            </w:r>
            <w:r>
              <w:rPr>
                <w:rFonts w:ascii="Times New Roman" w:hAnsi="Times New Roman"/>
                <w:color w:val="auto"/>
                <w:kern w:val="0"/>
                <w:sz w:val="24"/>
                <w:highlight w:val="none"/>
              </w:rPr>
              <w:t>经批准的湿地资源保护管理单位三定方案。</w:t>
            </w:r>
          </w:p>
        </w:tc>
        <w:tc>
          <w:tcPr>
            <w:tcW w:w="174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县林业局</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33</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rPr>
              <w:t>3</w:t>
            </w:r>
            <w:r>
              <w:rPr>
                <w:rFonts w:ascii="Times New Roman" w:hAnsi="Times New Roman"/>
                <w:bCs/>
                <w:color w:val="auto"/>
                <w:kern w:val="0"/>
                <w:sz w:val="24"/>
                <w:highlight w:val="none"/>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16</w:t>
            </w:r>
          </w:p>
        </w:tc>
        <w:tc>
          <w:tcPr>
            <w:tcW w:w="13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海丰县环卫保洁制度</w:t>
            </w:r>
          </w:p>
        </w:tc>
        <w:tc>
          <w:tcPr>
            <w:tcW w:w="2451" w:type="dxa"/>
            <w:vAlign w:val="center"/>
          </w:tcPr>
          <w:p>
            <w:pPr>
              <w:jc w:val="center"/>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县城各居住小区环卫保洁制度；</w:t>
            </w:r>
          </w:p>
          <w:p>
            <w:pPr>
              <w:jc w:val="center"/>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经批准的县城街道保洁管理办法；</w:t>
            </w:r>
          </w:p>
        </w:tc>
        <w:tc>
          <w:tcPr>
            <w:tcW w:w="174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县住建局、在城三镇、县公用事业事务中心</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36</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rPr>
              <w:t>3</w:t>
            </w:r>
            <w:r>
              <w:rPr>
                <w:rFonts w:ascii="Times New Roman" w:hAnsi="Times New Roman"/>
                <w:bCs/>
                <w:color w:val="auto"/>
                <w:kern w:val="0"/>
                <w:sz w:val="24"/>
                <w:highlight w:val="none"/>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17</w:t>
            </w:r>
          </w:p>
        </w:tc>
        <w:tc>
          <w:tcPr>
            <w:tcW w:w="13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海丰县商业街区守法经营管理制度</w:t>
            </w:r>
          </w:p>
        </w:tc>
        <w:tc>
          <w:tcPr>
            <w:tcW w:w="245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经批准的县城商业街区守法经营管理制度</w:t>
            </w:r>
          </w:p>
        </w:tc>
        <w:tc>
          <w:tcPr>
            <w:tcW w:w="174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县市场监督管理局</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36</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rPr>
              <w:t>3</w:t>
            </w:r>
            <w:r>
              <w:rPr>
                <w:rFonts w:ascii="Times New Roman" w:hAnsi="Times New Roman"/>
                <w:bCs/>
                <w:color w:val="auto"/>
                <w:kern w:val="0"/>
                <w:sz w:val="24"/>
                <w:highlight w:val="none"/>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18</w:t>
            </w:r>
          </w:p>
        </w:tc>
        <w:tc>
          <w:tcPr>
            <w:tcW w:w="13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海丰县交通安全管理条例</w:t>
            </w:r>
          </w:p>
        </w:tc>
        <w:tc>
          <w:tcPr>
            <w:tcW w:w="245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经批准的海丰县交通安全管理相关制度文件，以及车辆停靠管理实施方案</w:t>
            </w:r>
          </w:p>
        </w:tc>
        <w:tc>
          <w:tcPr>
            <w:tcW w:w="1746" w:type="dxa"/>
            <w:vAlign w:val="center"/>
          </w:tcPr>
          <w:p>
            <w:pPr>
              <w:jc w:val="center"/>
              <w:rPr>
                <w:rFonts w:hint="eastAsia" w:ascii="Times New Roman" w:hAnsi="Times New Roman" w:eastAsia="宋体"/>
                <w:color w:val="auto"/>
                <w:kern w:val="0"/>
                <w:sz w:val="24"/>
                <w:highlight w:val="none"/>
                <w:lang w:eastAsia="zh-CN"/>
              </w:rPr>
            </w:pPr>
            <w:r>
              <w:rPr>
                <w:rFonts w:ascii="Times New Roman" w:hAnsi="Times New Roman"/>
                <w:color w:val="auto"/>
                <w:kern w:val="0"/>
                <w:sz w:val="24"/>
                <w:highlight w:val="none"/>
              </w:rPr>
              <w:t>县</w:t>
            </w:r>
            <w:r>
              <w:rPr>
                <w:rFonts w:hint="eastAsia" w:ascii="Times New Roman" w:hAnsi="Times New Roman"/>
                <w:color w:val="auto"/>
                <w:kern w:val="0"/>
                <w:sz w:val="24"/>
                <w:highlight w:val="none"/>
                <w:lang w:val="en-US" w:eastAsia="zh-CN"/>
              </w:rPr>
              <w:t>交警大队</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36</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rPr>
              <w:t>3</w:t>
            </w:r>
            <w:r>
              <w:rPr>
                <w:rFonts w:ascii="Times New Roman" w:hAnsi="Times New Roman"/>
                <w:bCs/>
                <w:color w:val="auto"/>
                <w:kern w:val="0"/>
                <w:sz w:val="24"/>
                <w:highlight w:val="none"/>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19</w:t>
            </w:r>
          </w:p>
        </w:tc>
        <w:tc>
          <w:tcPr>
            <w:tcW w:w="13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海丰县公厕管理条例</w:t>
            </w:r>
          </w:p>
        </w:tc>
        <w:tc>
          <w:tcPr>
            <w:tcW w:w="245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经批准的县城公厕管理相关制度文件</w:t>
            </w:r>
          </w:p>
        </w:tc>
        <w:tc>
          <w:tcPr>
            <w:tcW w:w="174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县公用事业事务中心</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36</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rPr>
              <w:t>3</w:t>
            </w:r>
            <w:r>
              <w:rPr>
                <w:rFonts w:ascii="Times New Roman" w:hAnsi="Times New Roman"/>
                <w:bCs/>
                <w:color w:val="auto"/>
                <w:kern w:val="0"/>
                <w:sz w:val="24"/>
                <w:highlight w:val="none"/>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20</w:t>
            </w:r>
          </w:p>
        </w:tc>
        <w:tc>
          <w:tcPr>
            <w:tcW w:w="13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海丰县市政基础设施管理条例</w:t>
            </w:r>
          </w:p>
        </w:tc>
        <w:tc>
          <w:tcPr>
            <w:tcW w:w="245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经批准的供水、供气、市容环卫、园林绿化、市政设施、地下管网、道路桥梁等市政基础设施安全运行制度文件</w:t>
            </w:r>
          </w:p>
        </w:tc>
        <w:tc>
          <w:tcPr>
            <w:tcW w:w="174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县住建局、县供水总公司、县交通运输局</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42</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rPr>
              <w:t>3</w:t>
            </w:r>
            <w:r>
              <w:rPr>
                <w:rFonts w:ascii="Times New Roman" w:hAnsi="Times New Roman"/>
                <w:bCs/>
                <w:color w:val="auto"/>
                <w:kern w:val="0"/>
                <w:sz w:val="24"/>
                <w:highlight w:val="none"/>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21</w:t>
            </w:r>
          </w:p>
        </w:tc>
        <w:tc>
          <w:tcPr>
            <w:tcW w:w="13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海丰县无障碍设施管理条例</w:t>
            </w:r>
          </w:p>
        </w:tc>
        <w:tc>
          <w:tcPr>
            <w:tcW w:w="245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经批准的公共场所无障碍设施使用和维护相关制度</w:t>
            </w:r>
          </w:p>
        </w:tc>
        <w:tc>
          <w:tcPr>
            <w:tcW w:w="174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43</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rPr>
              <w:t>3</w:t>
            </w:r>
            <w:r>
              <w:rPr>
                <w:rFonts w:ascii="Times New Roman" w:hAnsi="Times New Roman"/>
                <w:bCs/>
                <w:color w:val="auto"/>
                <w:kern w:val="0"/>
                <w:sz w:val="24"/>
                <w:highlight w:val="none"/>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22</w:t>
            </w:r>
          </w:p>
        </w:tc>
        <w:tc>
          <w:tcPr>
            <w:tcW w:w="13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海丰县绿色建筑和装配式建筑推广技术指引</w:t>
            </w:r>
          </w:p>
        </w:tc>
        <w:tc>
          <w:tcPr>
            <w:tcW w:w="245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经批准的县城推广绿色建材和装配式建筑政策措施文件及实施情况说明</w:t>
            </w:r>
          </w:p>
        </w:tc>
        <w:tc>
          <w:tcPr>
            <w:tcW w:w="174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w:t>
            </w:r>
          </w:p>
        </w:tc>
        <w:tc>
          <w:tcPr>
            <w:tcW w:w="870" w:type="dxa"/>
            <w:vAlign w:val="center"/>
          </w:tcPr>
          <w:p>
            <w:pPr>
              <w:jc w:val="center"/>
              <w:rPr>
                <w:rFonts w:ascii="Times New Roman" w:hAnsi="Times New Roman"/>
                <w:color w:val="auto"/>
                <w:kern w:val="0"/>
                <w:sz w:val="24"/>
                <w:highlight w:val="none"/>
              </w:rPr>
            </w:pPr>
            <w:r>
              <w:rPr>
                <w:rFonts w:hint="eastAsia" w:ascii="Times New Roman" w:hAnsi="Times New Roman"/>
                <w:color w:val="auto"/>
                <w:kern w:val="0"/>
                <w:sz w:val="24"/>
                <w:highlight w:val="none"/>
              </w:rPr>
              <w:t>提升项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44</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rPr>
              <w:t>3</w:t>
            </w:r>
            <w:r>
              <w:rPr>
                <w:rFonts w:ascii="Times New Roman" w:hAnsi="Times New Roman"/>
                <w:bCs/>
                <w:color w:val="auto"/>
                <w:kern w:val="0"/>
                <w:sz w:val="24"/>
                <w:highlight w:val="none"/>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pPr>
              <w:jc w:val="center"/>
              <w:rPr>
                <w:rFonts w:hint="eastAsia" w:ascii="Times New Roman" w:hAnsi="Times New Roman" w:eastAsia="宋体"/>
                <w:color w:val="auto"/>
                <w:kern w:val="0"/>
                <w:sz w:val="24"/>
                <w:highlight w:val="none"/>
                <w:lang w:eastAsia="zh-CN"/>
              </w:rPr>
            </w:pPr>
            <w:r>
              <w:rPr>
                <w:rFonts w:ascii="Times New Roman" w:hAnsi="Times New Roman"/>
                <w:color w:val="auto"/>
                <w:kern w:val="0"/>
                <w:sz w:val="24"/>
                <w:highlight w:val="none"/>
              </w:rPr>
              <w:t>2</w:t>
            </w:r>
            <w:r>
              <w:rPr>
                <w:rFonts w:hint="eastAsia" w:ascii="Times New Roman" w:hAnsi="Times New Roman"/>
                <w:color w:val="auto"/>
                <w:kern w:val="0"/>
                <w:sz w:val="24"/>
                <w:highlight w:val="none"/>
                <w:lang w:val="en-US" w:eastAsia="zh-CN"/>
              </w:rPr>
              <w:t>3</w:t>
            </w:r>
          </w:p>
        </w:tc>
        <w:tc>
          <w:tcPr>
            <w:tcW w:w="13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新建建筑风貌管理制度</w:t>
            </w:r>
          </w:p>
        </w:tc>
        <w:tc>
          <w:tcPr>
            <w:tcW w:w="245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经批准的海丰县（规划区）新建建筑风貌管理相关规定</w:t>
            </w:r>
          </w:p>
        </w:tc>
        <w:tc>
          <w:tcPr>
            <w:tcW w:w="174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28</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rPr>
              <w:t>3</w:t>
            </w:r>
            <w:r>
              <w:rPr>
                <w:rFonts w:ascii="Times New Roman" w:hAnsi="Times New Roman"/>
                <w:bCs/>
                <w:color w:val="auto"/>
                <w:kern w:val="0"/>
                <w:sz w:val="24"/>
                <w:highlight w:val="none"/>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41" w:type="dxa"/>
            <w:vAlign w:val="center"/>
          </w:tcPr>
          <w:p>
            <w:pPr>
              <w:jc w:val="center"/>
              <w:rPr>
                <w:rFonts w:hint="eastAsia" w:ascii="Times New Roman" w:hAnsi="Times New Roman" w:eastAsia="宋体"/>
                <w:color w:val="auto"/>
                <w:kern w:val="0"/>
                <w:sz w:val="24"/>
                <w:highlight w:val="none"/>
                <w:lang w:eastAsia="zh-CN"/>
              </w:rPr>
            </w:pPr>
            <w:r>
              <w:rPr>
                <w:rFonts w:ascii="Times New Roman" w:hAnsi="Times New Roman"/>
                <w:color w:val="auto"/>
                <w:kern w:val="0"/>
                <w:sz w:val="24"/>
                <w:highlight w:val="none"/>
              </w:rPr>
              <w:t>2</w:t>
            </w:r>
            <w:r>
              <w:rPr>
                <w:rFonts w:hint="eastAsia" w:ascii="Times New Roman" w:hAnsi="Times New Roman"/>
                <w:color w:val="auto"/>
                <w:kern w:val="0"/>
                <w:sz w:val="24"/>
                <w:highlight w:val="none"/>
                <w:lang w:val="en-US" w:eastAsia="zh-CN"/>
              </w:rPr>
              <w:t>4</w:t>
            </w:r>
          </w:p>
        </w:tc>
        <w:tc>
          <w:tcPr>
            <w:tcW w:w="13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海丰县绿道管理办法</w:t>
            </w:r>
          </w:p>
        </w:tc>
        <w:tc>
          <w:tcPr>
            <w:tcW w:w="245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经批准的绿道管理维护制度</w:t>
            </w:r>
          </w:p>
        </w:tc>
        <w:tc>
          <w:tcPr>
            <w:tcW w:w="174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23</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rPr>
              <w:t>3</w:t>
            </w:r>
            <w:r>
              <w:rPr>
                <w:rFonts w:ascii="Times New Roman" w:hAnsi="Times New Roman"/>
                <w:bCs/>
                <w:color w:val="auto"/>
                <w:kern w:val="0"/>
                <w:sz w:val="24"/>
                <w:highlight w:val="none"/>
              </w:rPr>
              <w:t>月</w:t>
            </w:r>
          </w:p>
        </w:tc>
      </w:tr>
    </w:tbl>
    <w:p>
      <w:pPr>
        <w:rPr>
          <w:rFonts w:ascii="Times New Roman" w:hAnsi="Times New Roman"/>
          <w:color w:val="auto"/>
          <w:highlight w:val="none"/>
        </w:rPr>
      </w:pPr>
    </w:p>
    <w:p>
      <w:pPr>
        <w:pStyle w:val="6"/>
        <w:rPr>
          <w:rFonts w:ascii="Times New Roman" w:hAnsi="Times New Roman"/>
          <w:color w:val="auto"/>
          <w:highlight w:val="none"/>
        </w:rPr>
      </w:pPr>
      <w:bookmarkStart w:id="144" w:name="_Toc60776345"/>
      <w:bookmarkStart w:id="145" w:name="_Toc14906"/>
      <w:r>
        <w:rPr>
          <w:rFonts w:ascii="Times New Roman" w:hAnsi="Times New Roman"/>
          <w:color w:val="auto"/>
          <w:highlight w:val="none"/>
        </w:rPr>
        <w:t>4.1.2 规划编制，奠定县城市政建设和生态保护格局</w:t>
      </w:r>
      <w:bookmarkEnd w:id="144"/>
      <w:bookmarkEnd w:id="145"/>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海丰县于2018年完成了《海丰县县城总体规划（2015-2035）》的编制工作，将县城性质定为“国内知名红色革命策源地、粤港澳大湾区东翼的特色产业城市、深汕深化合作的先行典范城市和汕尾市域组合主中心城市。”《海丰县县城总体规划（2015-2035）》对县城绿地系统、综合防灾减灾系统、县城历史文化保护、湿地资源保护等进行了系统性的规划。在此基础上，2019年编制完成的《海丰县城规划区控制性详细规划》对县城绿地系统、历史文化保护规划、综合防灾规划进行了进一步的系统性规划。因此，立足于上述规划，并根据《广东省园林城市系列标准》要求，对县城绿地系统、综合防灾减灾系统、县城历史文化保护、湿地资源保护等规划进行深化、优化和特色化工作，编制《海丰县县城绿地系统规划》、《海丰县历史文化风貌保护规划（县域）》、《海丰县湿地保护规划》等。详见表4-</w:t>
      </w:r>
      <w:r>
        <w:rPr>
          <w:rFonts w:hint="eastAsia" w:ascii="Times New Roman" w:hAnsi="Times New Roman"/>
          <w:color w:val="auto"/>
          <w:sz w:val="28"/>
          <w:szCs w:val="28"/>
          <w:highlight w:val="none"/>
        </w:rPr>
        <w:t>1-</w:t>
      </w:r>
      <w:r>
        <w:rPr>
          <w:rFonts w:ascii="Times New Roman" w:hAnsi="Times New Roman"/>
          <w:color w:val="auto"/>
          <w:sz w:val="28"/>
          <w:szCs w:val="28"/>
          <w:highlight w:val="none"/>
        </w:rPr>
        <w:t>2。</w:t>
      </w:r>
    </w:p>
    <w:p>
      <w:pPr>
        <w:jc w:val="center"/>
        <w:rPr>
          <w:rFonts w:ascii="Times New Roman" w:hAnsi="Times New Roman"/>
          <w:b/>
          <w:bCs/>
          <w:color w:val="auto"/>
          <w:sz w:val="28"/>
          <w:szCs w:val="28"/>
          <w:highlight w:val="none"/>
        </w:rPr>
      </w:pPr>
      <w:r>
        <w:rPr>
          <w:rFonts w:ascii="Times New Roman" w:hAnsi="Times New Roman"/>
          <w:b/>
          <w:bCs/>
          <w:color w:val="auto"/>
          <w:sz w:val="28"/>
          <w:szCs w:val="28"/>
          <w:highlight w:val="none"/>
        </w:rPr>
        <w:t>表4-</w:t>
      </w:r>
      <w:r>
        <w:rPr>
          <w:rFonts w:hint="eastAsia" w:ascii="Times New Roman" w:hAnsi="Times New Roman"/>
          <w:b/>
          <w:bCs/>
          <w:color w:val="auto"/>
          <w:sz w:val="28"/>
          <w:szCs w:val="28"/>
          <w:highlight w:val="none"/>
        </w:rPr>
        <w:t>1-</w:t>
      </w:r>
      <w:r>
        <w:rPr>
          <w:rFonts w:ascii="Times New Roman" w:hAnsi="Times New Roman"/>
          <w:b/>
          <w:bCs/>
          <w:color w:val="auto"/>
          <w:sz w:val="28"/>
          <w:szCs w:val="28"/>
          <w:highlight w:val="none"/>
        </w:rPr>
        <w:t>2 海丰县规划编制行动方案</w:t>
      </w:r>
    </w:p>
    <w:tbl>
      <w:tblPr>
        <w:tblStyle w:val="20"/>
        <w:tblW w:w="85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6"/>
        <w:gridCol w:w="1306"/>
        <w:gridCol w:w="2451"/>
        <w:gridCol w:w="1746"/>
        <w:gridCol w:w="870"/>
        <w:gridCol w:w="870"/>
        <w:gridCol w:w="8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406"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序号</w:t>
            </w:r>
          </w:p>
        </w:tc>
        <w:tc>
          <w:tcPr>
            <w:tcW w:w="1306"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项目</w:t>
            </w:r>
          </w:p>
        </w:tc>
        <w:tc>
          <w:tcPr>
            <w:tcW w:w="2451"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内容</w:t>
            </w:r>
          </w:p>
        </w:tc>
        <w:tc>
          <w:tcPr>
            <w:tcW w:w="1746"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责任单位</w:t>
            </w:r>
          </w:p>
        </w:tc>
        <w:tc>
          <w:tcPr>
            <w:tcW w:w="870"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性质</w:t>
            </w:r>
          </w:p>
        </w:tc>
        <w:tc>
          <w:tcPr>
            <w:tcW w:w="870"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对应考核指标</w:t>
            </w:r>
          </w:p>
        </w:tc>
        <w:tc>
          <w:tcPr>
            <w:tcW w:w="871"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完成时间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1</w:t>
            </w:r>
          </w:p>
        </w:tc>
        <w:tc>
          <w:tcPr>
            <w:tcW w:w="13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绿地系统规划</w:t>
            </w:r>
          </w:p>
        </w:tc>
        <w:tc>
          <w:tcPr>
            <w:tcW w:w="245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《县城总体规划》审批一年内编制完成《县城绿地系统规划》</w:t>
            </w:r>
          </w:p>
        </w:tc>
        <w:tc>
          <w:tcPr>
            <w:tcW w:w="174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4、9、10、11、12、18、20、23、31</w:t>
            </w:r>
          </w:p>
        </w:tc>
        <w:tc>
          <w:tcPr>
            <w:tcW w:w="871" w:type="dxa"/>
            <w:vAlign w:val="center"/>
          </w:tcPr>
          <w:p>
            <w:pPr>
              <w:jc w:val="center"/>
              <w:rPr>
                <w:rFonts w:ascii="Times New Roman" w:hAnsi="Times New Roman"/>
                <w:color w:val="auto"/>
                <w:kern w:val="0"/>
                <w:sz w:val="24"/>
                <w:highlight w:val="none"/>
              </w:rPr>
            </w:pPr>
            <w:r>
              <w:rPr>
                <w:rFonts w:ascii="Times New Roman" w:hAnsi="Times New Roman"/>
                <w:bCs/>
                <w:color w:val="auto"/>
                <w:kern w:val="0"/>
                <w:sz w:val="24"/>
                <w:highlight w:val="none"/>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pPr>
              <w:jc w:val="center"/>
              <w:rPr>
                <w:rFonts w:hint="eastAsia" w:ascii="Times New Roman" w:hAnsi="Times New Roman" w:eastAsia="宋体"/>
                <w:color w:val="auto"/>
                <w:kern w:val="0"/>
                <w:sz w:val="24"/>
                <w:highlight w:val="none"/>
                <w:lang w:val="en-US" w:eastAsia="zh-CN"/>
              </w:rPr>
            </w:pPr>
            <w:r>
              <w:rPr>
                <w:rFonts w:hint="eastAsia" w:ascii="Times New Roman" w:hAnsi="Times New Roman"/>
                <w:color w:val="auto"/>
                <w:kern w:val="0"/>
                <w:sz w:val="24"/>
                <w:highlight w:val="none"/>
                <w:lang w:val="en-US" w:eastAsia="zh-CN"/>
              </w:rPr>
              <w:t>2</w:t>
            </w:r>
          </w:p>
        </w:tc>
        <w:tc>
          <w:tcPr>
            <w:tcW w:w="1306" w:type="dxa"/>
            <w:vAlign w:val="center"/>
          </w:tcPr>
          <w:p>
            <w:pPr>
              <w:jc w:val="center"/>
              <w:rPr>
                <w:rFonts w:hint="default" w:ascii="Times New Roman" w:hAnsi="Times New Roman" w:eastAsia="宋体"/>
                <w:color w:val="auto"/>
                <w:kern w:val="0"/>
                <w:sz w:val="24"/>
                <w:highlight w:val="none"/>
                <w:lang w:val="en-US" w:eastAsia="zh-CN"/>
              </w:rPr>
            </w:pPr>
            <w:r>
              <w:rPr>
                <w:rFonts w:hint="eastAsia" w:ascii="Times New Roman" w:hAnsi="Times New Roman"/>
                <w:color w:val="auto"/>
                <w:kern w:val="0"/>
                <w:sz w:val="24"/>
                <w:highlight w:val="none"/>
                <w:lang w:val="en-US" w:eastAsia="zh-CN"/>
              </w:rPr>
              <w:t>绿线图则</w:t>
            </w:r>
          </w:p>
        </w:tc>
        <w:tc>
          <w:tcPr>
            <w:tcW w:w="2451" w:type="dxa"/>
            <w:vAlign w:val="center"/>
          </w:tcPr>
          <w:p>
            <w:pPr>
              <w:jc w:val="center"/>
              <w:rPr>
                <w:rFonts w:hint="default" w:ascii="Times New Roman" w:hAnsi="Times New Roman" w:eastAsia="宋体"/>
                <w:color w:val="auto"/>
                <w:kern w:val="0"/>
                <w:sz w:val="24"/>
                <w:highlight w:val="none"/>
                <w:lang w:val="en-US" w:eastAsia="zh-CN"/>
              </w:rPr>
            </w:pPr>
            <w:r>
              <w:rPr>
                <w:rFonts w:hint="eastAsia" w:ascii="Times New Roman" w:hAnsi="Times New Roman"/>
                <w:color w:val="auto"/>
                <w:kern w:val="0"/>
                <w:sz w:val="24"/>
                <w:highlight w:val="none"/>
                <w:lang w:val="en-US" w:eastAsia="zh-CN"/>
              </w:rPr>
              <w:t>划定绿线图则</w:t>
            </w:r>
          </w:p>
        </w:tc>
        <w:tc>
          <w:tcPr>
            <w:tcW w:w="174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pPr>
              <w:jc w:val="center"/>
              <w:rPr>
                <w:rFonts w:hint="eastAsia" w:ascii="Times New Roman" w:hAnsi="Times New Roman" w:eastAsia="宋体"/>
                <w:color w:val="auto"/>
                <w:kern w:val="0"/>
                <w:sz w:val="24"/>
                <w:highlight w:val="none"/>
                <w:lang w:val="en-US" w:eastAsia="zh-CN"/>
              </w:rPr>
            </w:pPr>
            <w:r>
              <w:rPr>
                <w:rFonts w:hint="eastAsia" w:ascii="Times New Roman" w:hAnsi="Times New Roman"/>
                <w:color w:val="auto"/>
                <w:kern w:val="0"/>
                <w:sz w:val="24"/>
                <w:highlight w:val="none"/>
                <w:lang w:val="en-US" w:eastAsia="zh-CN"/>
              </w:rPr>
              <w:t>6</w:t>
            </w:r>
          </w:p>
        </w:tc>
        <w:tc>
          <w:tcPr>
            <w:tcW w:w="871" w:type="dxa"/>
            <w:vAlign w:val="center"/>
          </w:tcPr>
          <w:p>
            <w:pPr>
              <w:jc w:val="center"/>
              <w:rPr>
                <w:rFonts w:hint="default" w:ascii="Times New Roman" w:hAnsi="Times New Roman" w:eastAsia="宋体"/>
                <w:bCs/>
                <w:color w:val="auto"/>
                <w:kern w:val="0"/>
                <w:sz w:val="24"/>
                <w:highlight w:val="none"/>
                <w:lang w:val="en-US" w:eastAsia="zh-CN"/>
              </w:rPr>
            </w:pPr>
            <w:r>
              <w:rPr>
                <w:rFonts w:hint="eastAsia" w:ascii="Times New Roman" w:hAnsi="Times New Roman"/>
                <w:bCs/>
                <w:color w:val="auto"/>
                <w:kern w:val="0"/>
                <w:sz w:val="24"/>
                <w:highlight w:val="none"/>
                <w:lang w:val="en-US" w:eastAsia="zh-CN"/>
              </w:rPr>
              <w:t>2021年6月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pPr>
              <w:jc w:val="center"/>
              <w:rPr>
                <w:rFonts w:ascii="Times New Roman" w:hAnsi="Times New Roman"/>
                <w:color w:val="auto"/>
                <w:kern w:val="0"/>
                <w:sz w:val="24"/>
                <w:highlight w:val="none"/>
              </w:rPr>
            </w:pPr>
            <w:r>
              <w:rPr>
                <w:rFonts w:hint="eastAsia" w:ascii="Times New Roman" w:hAnsi="Times New Roman"/>
                <w:color w:val="auto"/>
                <w:kern w:val="0"/>
                <w:sz w:val="24"/>
                <w:highlight w:val="none"/>
                <w:lang w:val="en-US" w:eastAsia="zh-CN"/>
              </w:rPr>
              <w:t>3</w:t>
            </w:r>
          </w:p>
        </w:tc>
        <w:tc>
          <w:tcPr>
            <w:tcW w:w="13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县城绿地系统防灾避险规划</w:t>
            </w:r>
          </w:p>
        </w:tc>
        <w:tc>
          <w:tcPr>
            <w:tcW w:w="245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经批准的县城绿地系统防灾避险规划或在绿地系统规划上有专篇</w:t>
            </w:r>
          </w:p>
        </w:tc>
        <w:tc>
          <w:tcPr>
            <w:tcW w:w="174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23</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pPr>
              <w:jc w:val="center"/>
              <w:rPr>
                <w:rFonts w:ascii="Times New Roman" w:hAnsi="Times New Roman"/>
                <w:color w:val="auto"/>
                <w:kern w:val="0"/>
                <w:sz w:val="24"/>
                <w:highlight w:val="none"/>
              </w:rPr>
            </w:pPr>
            <w:r>
              <w:rPr>
                <w:rFonts w:hint="eastAsia" w:ascii="Times New Roman" w:hAnsi="Times New Roman"/>
                <w:color w:val="auto"/>
                <w:kern w:val="0"/>
                <w:sz w:val="24"/>
                <w:highlight w:val="none"/>
                <w:lang w:val="en-US" w:eastAsia="zh-CN"/>
              </w:rPr>
              <w:t>4</w:t>
            </w:r>
          </w:p>
        </w:tc>
        <w:tc>
          <w:tcPr>
            <w:tcW w:w="13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海丰县历史文化</w:t>
            </w:r>
            <w:r>
              <w:rPr>
                <w:rFonts w:hint="eastAsia" w:ascii="Times New Roman" w:hAnsi="Times New Roman"/>
                <w:color w:val="auto"/>
                <w:kern w:val="0"/>
                <w:sz w:val="24"/>
                <w:highlight w:val="none"/>
                <w:lang w:val="en-US" w:eastAsia="zh-CN"/>
              </w:rPr>
              <w:t>名城</w:t>
            </w:r>
            <w:r>
              <w:rPr>
                <w:rFonts w:ascii="Times New Roman" w:hAnsi="Times New Roman"/>
                <w:color w:val="auto"/>
                <w:kern w:val="0"/>
                <w:sz w:val="24"/>
                <w:highlight w:val="none"/>
              </w:rPr>
              <w:t>保护规划（县域）</w:t>
            </w:r>
          </w:p>
        </w:tc>
        <w:tc>
          <w:tcPr>
            <w:tcW w:w="245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经批准的海丰县历史文化</w:t>
            </w:r>
            <w:r>
              <w:rPr>
                <w:rFonts w:hint="eastAsia" w:ascii="Times New Roman" w:hAnsi="Times New Roman"/>
                <w:color w:val="auto"/>
                <w:kern w:val="0"/>
                <w:sz w:val="24"/>
                <w:highlight w:val="none"/>
                <w:lang w:val="en-US" w:eastAsia="zh-CN"/>
              </w:rPr>
              <w:t>名城</w:t>
            </w:r>
            <w:r>
              <w:rPr>
                <w:rFonts w:ascii="Times New Roman" w:hAnsi="Times New Roman"/>
                <w:color w:val="auto"/>
                <w:kern w:val="0"/>
                <w:sz w:val="24"/>
                <w:highlight w:val="none"/>
              </w:rPr>
              <w:t>保护规划（县域）</w:t>
            </w:r>
          </w:p>
        </w:tc>
        <w:tc>
          <w:tcPr>
            <w:tcW w:w="1746" w:type="dxa"/>
            <w:vAlign w:val="center"/>
          </w:tcPr>
          <w:p>
            <w:pPr>
              <w:jc w:val="center"/>
              <w:rPr>
                <w:rFonts w:hint="eastAsia" w:ascii="Times New Roman" w:hAnsi="Times New Roman" w:eastAsia="宋体"/>
                <w:color w:val="auto"/>
                <w:kern w:val="0"/>
                <w:sz w:val="24"/>
                <w:highlight w:val="none"/>
                <w:lang w:eastAsia="zh-CN"/>
              </w:rPr>
            </w:pPr>
            <w:r>
              <w:rPr>
                <w:rFonts w:ascii="Times New Roman" w:hAnsi="Times New Roman"/>
                <w:color w:val="auto"/>
                <w:kern w:val="0"/>
                <w:sz w:val="24"/>
                <w:highlight w:val="none"/>
              </w:rPr>
              <w:t>县</w:t>
            </w:r>
            <w:r>
              <w:rPr>
                <w:rFonts w:hint="eastAsia" w:ascii="Times New Roman" w:hAnsi="Times New Roman"/>
                <w:color w:val="auto"/>
                <w:kern w:val="0"/>
                <w:sz w:val="24"/>
                <w:highlight w:val="none"/>
                <w:lang w:val="en-US" w:eastAsia="zh-CN"/>
              </w:rPr>
              <w:t>住建局</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28</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2021年</w:t>
            </w:r>
            <w:r>
              <w:rPr>
                <w:rFonts w:hint="eastAsia" w:ascii="Times New Roman" w:hAnsi="Times New Roman"/>
                <w:bCs/>
                <w:color w:val="auto"/>
                <w:kern w:val="0"/>
                <w:sz w:val="24"/>
                <w:highlight w:val="none"/>
                <w:lang w:val="en-US" w:eastAsia="zh-CN"/>
              </w:rPr>
              <w:t>6</w:t>
            </w:r>
            <w:r>
              <w:rPr>
                <w:rFonts w:ascii="Times New Roman" w:hAnsi="Times New Roman"/>
                <w:bCs/>
                <w:color w:val="auto"/>
                <w:kern w:val="0"/>
                <w:sz w:val="24"/>
                <w:highlight w:val="none"/>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pPr>
              <w:jc w:val="center"/>
              <w:rPr>
                <w:rFonts w:ascii="Times New Roman" w:hAnsi="Times New Roman"/>
                <w:color w:val="auto"/>
                <w:kern w:val="0"/>
                <w:sz w:val="24"/>
                <w:highlight w:val="none"/>
              </w:rPr>
            </w:pPr>
            <w:r>
              <w:rPr>
                <w:rFonts w:hint="eastAsia" w:ascii="Times New Roman" w:hAnsi="Times New Roman"/>
                <w:color w:val="auto"/>
                <w:kern w:val="0"/>
                <w:sz w:val="24"/>
                <w:highlight w:val="none"/>
                <w:lang w:val="en-US" w:eastAsia="zh-CN"/>
              </w:rPr>
              <w:t>5</w:t>
            </w:r>
          </w:p>
        </w:tc>
        <w:tc>
          <w:tcPr>
            <w:tcW w:w="13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海丰县历史文化</w:t>
            </w:r>
            <w:r>
              <w:rPr>
                <w:rFonts w:hint="eastAsia" w:ascii="Times New Roman" w:hAnsi="Times New Roman"/>
                <w:color w:val="auto"/>
                <w:kern w:val="0"/>
                <w:sz w:val="24"/>
                <w:highlight w:val="none"/>
                <w:lang w:val="en-US" w:eastAsia="zh-CN"/>
              </w:rPr>
              <w:t>名城</w:t>
            </w:r>
            <w:r>
              <w:rPr>
                <w:rFonts w:ascii="Times New Roman" w:hAnsi="Times New Roman"/>
                <w:color w:val="auto"/>
                <w:kern w:val="0"/>
                <w:sz w:val="24"/>
                <w:highlight w:val="none"/>
              </w:rPr>
              <w:t>保护实施方案</w:t>
            </w:r>
          </w:p>
        </w:tc>
        <w:tc>
          <w:tcPr>
            <w:tcW w:w="245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经批准的海丰县历史文化</w:t>
            </w:r>
            <w:r>
              <w:rPr>
                <w:rFonts w:hint="eastAsia" w:ascii="Times New Roman" w:hAnsi="Times New Roman"/>
                <w:color w:val="auto"/>
                <w:kern w:val="0"/>
                <w:sz w:val="24"/>
                <w:highlight w:val="none"/>
                <w:lang w:val="en-US" w:eastAsia="zh-CN"/>
              </w:rPr>
              <w:t>名城</w:t>
            </w:r>
            <w:r>
              <w:rPr>
                <w:rFonts w:ascii="Times New Roman" w:hAnsi="Times New Roman"/>
                <w:color w:val="auto"/>
                <w:kern w:val="0"/>
                <w:sz w:val="24"/>
                <w:highlight w:val="none"/>
              </w:rPr>
              <w:t>保护实施方案</w:t>
            </w:r>
          </w:p>
        </w:tc>
        <w:tc>
          <w:tcPr>
            <w:tcW w:w="174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县</w:t>
            </w:r>
            <w:r>
              <w:rPr>
                <w:rFonts w:hint="eastAsia" w:ascii="Times New Roman" w:hAnsi="Times New Roman"/>
                <w:color w:val="auto"/>
                <w:kern w:val="0"/>
                <w:sz w:val="24"/>
                <w:highlight w:val="none"/>
                <w:lang w:val="en-US" w:eastAsia="zh-CN"/>
              </w:rPr>
              <w:t>住建局</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28</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2021年</w:t>
            </w:r>
            <w:r>
              <w:rPr>
                <w:rFonts w:hint="eastAsia" w:ascii="Times New Roman" w:hAnsi="Times New Roman"/>
                <w:bCs/>
                <w:color w:val="auto"/>
                <w:kern w:val="0"/>
                <w:sz w:val="24"/>
                <w:highlight w:val="none"/>
                <w:lang w:val="en-US" w:eastAsia="zh-CN"/>
              </w:rPr>
              <w:t>6</w:t>
            </w:r>
            <w:r>
              <w:rPr>
                <w:rFonts w:ascii="Times New Roman" w:hAnsi="Times New Roman"/>
                <w:bCs/>
                <w:color w:val="auto"/>
                <w:kern w:val="0"/>
                <w:sz w:val="24"/>
                <w:highlight w:val="none"/>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pPr>
              <w:jc w:val="center"/>
              <w:rPr>
                <w:rFonts w:ascii="Times New Roman" w:hAnsi="Times New Roman"/>
                <w:color w:val="auto"/>
                <w:kern w:val="0"/>
                <w:sz w:val="24"/>
                <w:highlight w:val="none"/>
              </w:rPr>
            </w:pPr>
            <w:r>
              <w:rPr>
                <w:rFonts w:hint="eastAsia" w:ascii="Times New Roman" w:hAnsi="Times New Roman"/>
                <w:color w:val="auto"/>
                <w:kern w:val="0"/>
                <w:sz w:val="24"/>
                <w:highlight w:val="none"/>
                <w:lang w:val="en-US" w:eastAsia="zh-CN"/>
              </w:rPr>
              <w:t>6</w:t>
            </w:r>
          </w:p>
        </w:tc>
        <w:tc>
          <w:tcPr>
            <w:tcW w:w="13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海丰县生物多样性保护规划</w:t>
            </w:r>
          </w:p>
        </w:tc>
        <w:tc>
          <w:tcPr>
            <w:tcW w:w="245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经批准的海丰县生物多样性保护规划或在绿地系统规划上有专篇</w:t>
            </w:r>
          </w:p>
        </w:tc>
        <w:tc>
          <w:tcPr>
            <w:tcW w:w="174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县林业局</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31</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pPr>
              <w:jc w:val="center"/>
              <w:rPr>
                <w:rFonts w:hint="eastAsia" w:ascii="Times New Roman" w:hAnsi="Times New Roman" w:eastAsia="宋体"/>
                <w:color w:val="auto"/>
                <w:kern w:val="0"/>
                <w:sz w:val="24"/>
                <w:highlight w:val="none"/>
                <w:lang w:val="en-US" w:eastAsia="zh-CN"/>
              </w:rPr>
            </w:pPr>
            <w:r>
              <w:rPr>
                <w:rFonts w:hint="eastAsia" w:ascii="Times New Roman" w:hAnsi="Times New Roman"/>
                <w:color w:val="auto"/>
                <w:kern w:val="0"/>
                <w:sz w:val="24"/>
                <w:highlight w:val="none"/>
                <w:lang w:val="en-US" w:eastAsia="zh-CN"/>
              </w:rPr>
              <w:t>7</w:t>
            </w:r>
          </w:p>
        </w:tc>
        <w:tc>
          <w:tcPr>
            <w:tcW w:w="13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海丰县湿地保护规划</w:t>
            </w:r>
          </w:p>
        </w:tc>
        <w:tc>
          <w:tcPr>
            <w:tcW w:w="245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经批准实施的海丰县湿地保护规划</w:t>
            </w:r>
          </w:p>
        </w:tc>
        <w:tc>
          <w:tcPr>
            <w:tcW w:w="174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县林业局</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33</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pPr>
              <w:jc w:val="center"/>
              <w:rPr>
                <w:rFonts w:ascii="Times New Roman" w:hAnsi="Times New Roman"/>
                <w:color w:val="auto"/>
                <w:kern w:val="0"/>
                <w:sz w:val="24"/>
                <w:highlight w:val="none"/>
              </w:rPr>
            </w:pPr>
            <w:r>
              <w:rPr>
                <w:rFonts w:hint="eastAsia" w:ascii="Times New Roman" w:hAnsi="Times New Roman"/>
                <w:color w:val="auto"/>
                <w:kern w:val="0"/>
                <w:sz w:val="24"/>
                <w:highlight w:val="none"/>
                <w:lang w:val="en-US" w:eastAsia="zh-CN"/>
              </w:rPr>
              <w:t>8</w:t>
            </w:r>
          </w:p>
        </w:tc>
        <w:tc>
          <w:tcPr>
            <w:tcW w:w="13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海丰县湿地保护实施方案</w:t>
            </w:r>
          </w:p>
        </w:tc>
        <w:tc>
          <w:tcPr>
            <w:tcW w:w="245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经批准的海丰县湿地保护实施方案</w:t>
            </w:r>
          </w:p>
        </w:tc>
        <w:tc>
          <w:tcPr>
            <w:tcW w:w="174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县林业局</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33</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2021年3月</w:t>
            </w:r>
          </w:p>
        </w:tc>
      </w:tr>
    </w:tbl>
    <w:p>
      <w:pPr>
        <w:rPr>
          <w:rFonts w:ascii="Times New Roman" w:hAnsi="Times New Roman"/>
          <w:color w:val="auto"/>
          <w:highlight w:val="none"/>
        </w:rPr>
      </w:pPr>
    </w:p>
    <w:p>
      <w:pPr>
        <w:pStyle w:val="6"/>
        <w:rPr>
          <w:rFonts w:ascii="Times New Roman" w:hAnsi="Times New Roman"/>
          <w:color w:val="auto"/>
          <w:highlight w:val="none"/>
        </w:rPr>
      </w:pPr>
      <w:bookmarkStart w:id="146" w:name="_Toc20432"/>
      <w:bookmarkStart w:id="147" w:name="_Toc60776346"/>
      <w:r>
        <w:rPr>
          <w:rFonts w:ascii="Times New Roman" w:hAnsi="Times New Roman"/>
          <w:color w:val="auto"/>
          <w:highlight w:val="none"/>
        </w:rPr>
        <w:t>4.1.3 建设管控，保证园林县城建设品质</w:t>
      </w:r>
      <w:bookmarkEnd w:id="146"/>
      <w:bookmarkEnd w:id="147"/>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为保证市民分享到县城园林绿化高品质建设成果，必须对县城的绿化建设进行规范化管控，以保证园林县城建设品质。</w:t>
      </w:r>
    </w:p>
    <w:p>
      <w:pPr>
        <w:numPr>
          <w:ilvl w:val="0"/>
          <w:numId w:val="3"/>
        </w:num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加强县城现状绿地管控</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对县城绿地实行严格管控，保障县城绿化建设成果。严格执行《海丰县县城绿地系统规划（2020-2035）》，县城各项绿地建设符合规划，规划绿地性质无改变，保证县城绿地率及各类绿地面积符合《广东省园林城市系列标准》要求。严格按照《城市绿线管理办法》要求划定县城绿线，通过2种以上媒体向社会公布四至边界，并设立绿线公示牌或绿线界碑，防止现状绿地被非法侵害。</w:t>
      </w:r>
    </w:p>
    <w:p>
      <w:pPr>
        <w:numPr>
          <w:ilvl w:val="0"/>
          <w:numId w:val="3"/>
        </w:num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加强县城绿地建设</w:t>
      </w:r>
      <w:r>
        <w:rPr>
          <w:rFonts w:hint="eastAsia" w:ascii="Times New Roman" w:hAnsi="Times New Roman"/>
          <w:color w:val="auto"/>
          <w:sz w:val="28"/>
          <w:szCs w:val="28"/>
          <w:highlight w:val="none"/>
        </w:rPr>
        <w:t>质量</w:t>
      </w:r>
      <w:r>
        <w:rPr>
          <w:rFonts w:ascii="Times New Roman" w:hAnsi="Times New Roman"/>
          <w:color w:val="auto"/>
          <w:sz w:val="28"/>
          <w:szCs w:val="28"/>
          <w:highlight w:val="none"/>
        </w:rPr>
        <w:t>管控</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根据县城经济发展状况和城市园林建设行业现状，实行节约型园林建设。在县城园林景观建设过程</w:t>
      </w:r>
      <w:r>
        <w:rPr>
          <w:rFonts w:hint="eastAsia" w:ascii="Times New Roman" w:hAnsi="Times New Roman"/>
          <w:color w:val="auto"/>
          <w:sz w:val="28"/>
          <w:szCs w:val="28"/>
          <w:highlight w:val="none"/>
        </w:rPr>
        <w:t>中</w:t>
      </w:r>
      <w:r>
        <w:rPr>
          <w:rFonts w:ascii="Times New Roman" w:hAnsi="Times New Roman"/>
          <w:color w:val="auto"/>
          <w:sz w:val="28"/>
          <w:szCs w:val="28"/>
          <w:highlight w:val="none"/>
        </w:rPr>
        <w:t>，严格控制大广场、喷泉、水景、人工大水面、打草坪、大色块、假树假花、雕塑、灯具造景、过度量化等；积极推广乡土、适生植物，严格控制大树（胸径20 cm以上的落叶乔木、15cm以上的常绿乔木）进城，不得大规模（群植10株以上）移植大树，不得随意更换行道树；充分发挥公园绿地的应急避险功能，完善公园绿地承担防灾避险功能中的水、电、通讯、标识等设施，使之符合相关标准规范要求。公园绿地应按照《公园设计规范》等相关标准规范要求，完善公园基础设施，确保公园100%免费开放，确保公园的公益性；按照《城市公园配套服务项目经营管理暂行办法》，对商业服务、游乐项目进行规范化管理。</w:t>
      </w:r>
    </w:p>
    <w:p>
      <w:pPr>
        <w:numPr>
          <w:ilvl w:val="0"/>
          <w:numId w:val="3"/>
        </w:num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建立县城绿化评估和反馈机制</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建立县城绿化评估和反馈机制，以了解县城绿化建设的不足并及时修正，使县城绿化建设能切实贴合市民的需求。通过委托第三方专业机构，调查公众对县城园林绿化的满意率进行调查，以及时了解县城在绿化建设过程中的得与失，为后续的绿化建设提供意见参考。</w:t>
      </w:r>
    </w:p>
    <w:p>
      <w:pPr>
        <w:jc w:val="center"/>
        <w:rPr>
          <w:rFonts w:ascii="Times New Roman" w:hAnsi="Times New Roman"/>
          <w:b/>
          <w:bCs/>
          <w:color w:val="auto"/>
          <w:sz w:val="28"/>
          <w:szCs w:val="28"/>
          <w:highlight w:val="none"/>
        </w:rPr>
      </w:pPr>
      <w:r>
        <w:rPr>
          <w:rFonts w:ascii="Times New Roman" w:hAnsi="Times New Roman"/>
          <w:b/>
          <w:bCs/>
          <w:color w:val="auto"/>
          <w:sz w:val="28"/>
          <w:szCs w:val="28"/>
          <w:highlight w:val="none"/>
        </w:rPr>
        <w:t>表4-</w:t>
      </w:r>
      <w:r>
        <w:rPr>
          <w:rFonts w:hint="eastAsia" w:ascii="Times New Roman" w:hAnsi="Times New Roman"/>
          <w:b/>
          <w:bCs/>
          <w:color w:val="auto"/>
          <w:sz w:val="28"/>
          <w:szCs w:val="28"/>
          <w:highlight w:val="none"/>
        </w:rPr>
        <w:t>1-</w:t>
      </w:r>
      <w:r>
        <w:rPr>
          <w:rFonts w:ascii="Times New Roman" w:hAnsi="Times New Roman"/>
          <w:b/>
          <w:bCs/>
          <w:color w:val="auto"/>
          <w:sz w:val="28"/>
          <w:szCs w:val="28"/>
          <w:highlight w:val="none"/>
        </w:rPr>
        <w:t>3 海丰县</w:t>
      </w:r>
      <w:r>
        <w:rPr>
          <w:rFonts w:hint="eastAsia" w:ascii="Times New Roman" w:hAnsi="Times New Roman"/>
          <w:b/>
          <w:bCs/>
          <w:color w:val="auto"/>
          <w:sz w:val="28"/>
          <w:szCs w:val="28"/>
          <w:highlight w:val="none"/>
        </w:rPr>
        <w:t>绿地</w:t>
      </w:r>
      <w:r>
        <w:rPr>
          <w:rFonts w:ascii="Times New Roman" w:hAnsi="Times New Roman"/>
          <w:b/>
          <w:bCs/>
          <w:color w:val="auto"/>
          <w:sz w:val="28"/>
          <w:szCs w:val="28"/>
          <w:highlight w:val="none"/>
        </w:rPr>
        <w:t>建设管控行动方案</w:t>
      </w:r>
    </w:p>
    <w:tbl>
      <w:tblPr>
        <w:tblStyle w:val="20"/>
        <w:tblW w:w="85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6"/>
        <w:gridCol w:w="1306"/>
        <w:gridCol w:w="2720"/>
        <w:gridCol w:w="1477"/>
        <w:gridCol w:w="870"/>
        <w:gridCol w:w="870"/>
        <w:gridCol w:w="8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406"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序号</w:t>
            </w:r>
          </w:p>
        </w:tc>
        <w:tc>
          <w:tcPr>
            <w:tcW w:w="1306"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项目</w:t>
            </w:r>
          </w:p>
        </w:tc>
        <w:tc>
          <w:tcPr>
            <w:tcW w:w="2720"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内容</w:t>
            </w:r>
          </w:p>
        </w:tc>
        <w:tc>
          <w:tcPr>
            <w:tcW w:w="1477"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责任单位</w:t>
            </w:r>
          </w:p>
        </w:tc>
        <w:tc>
          <w:tcPr>
            <w:tcW w:w="870"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性质</w:t>
            </w:r>
          </w:p>
        </w:tc>
        <w:tc>
          <w:tcPr>
            <w:tcW w:w="870"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对应考核指标</w:t>
            </w:r>
          </w:p>
        </w:tc>
        <w:tc>
          <w:tcPr>
            <w:tcW w:w="871"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完成时间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1</w:t>
            </w:r>
          </w:p>
        </w:tc>
        <w:tc>
          <w:tcPr>
            <w:tcW w:w="13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县城绿地系统规划执行和建设管理</w:t>
            </w:r>
          </w:p>
        </w:tc>
        <w:tc>
          <w:tcPr>
            <w:tcW w:w="2720" w:type="dxa"/>
            <w:vAlign w:val="center"/>
          </w:tcPr>
          <w:p>
            <w:pPr>
              <w:spacing w:line="300" w:lineRule="exact"/>
              <w:rPr>
                <w:rFonts w:ascii="Times New Roman" w:hAnsi="Times New Roman"/>
                <w:color w:val="auto"/>
                <w:sz w:val="24"/>
                <w:highlight w:val="none"/>
              </w:rPr>
            </w:pPr>
            <w:r>
              <w:rPr>
                <w:rFonts w:hint="default" w:ascii="Times New Roman" w:hAnsi="Times New Roman" w:cs="Times New Roman"/>
                <w:color w:val="auto"/>
                <w:sz w:val="24"/>
                <w:highlight w:val="none"/>
              </w:rPr>
              <w:t>①</w:t>
            </w:r>
            <w:r>
              <w:rPr>
                <w:rFonts w:ascii="Times New Roman" w:hAnsi="Times New Roman"/>
                <w:color w:val="auto"/>
                <w:sz w:val="24"/>
                <w:highlight w:val="none"/>
              </w:rPr>
              <w:t>绿地系统规划得到有效执行，绿地建设符合规划；</w:t>
            </w:r>
          </w:p>
          <w:p>
            <w:pPr>
              <w:spacing w:line="300" w:lineRule="exact"/>
              <w:rPr>
                <w:rFonts w:ascii="Times New Roman" w:hAnsi="Times New Roman"/>
                <w:color w:val="auto"/>
                <w:sz w:val="24"/>
                <w:highlight w:val="none"/>
              </w:rPr>
            </w:pPr>
            <w:r>
              <w:rPr>
                <w:rFonts w:hint="default" w:ascii="Times New Roman" w:hAnsi="Times New Roman" w:cs="Times New Roman"/>
                <w:color w:val="auto"/>
                <w:sz w:val="24"/>
                <w:highlight w:val="none"/>
              </w:rPr>
              <w:t>②</w:t>
            </w:r>
            <w:r>
              <w:rPr>
                <w:rFonts w:ascii="Times New Roman" w:hAnsi="Times New Roman"/>
                <w:color w:val="auto"/>
                <w:sz w:val="24"/>
                <w:highlight w:val="none"/>
              </w:rPr>
              <w:t>绿地建设成果得到有效保护，规划绿地性质无改变；</w:t>
            </w:r>
          </w:p>
          <w:p>
            <w:pPr>
              <w:spacing w:line="300" w:lineRule="exact"/>
              <w:rPr>
                <w:rFonts w:ascii="Times New Roman" w:hAnsi="Times New Roman"/>
                <w:color w:val="auto"/>
                <w:kern w:val="0"/>
                <w:sz w:val="24"/>
                <w:highlight w:val="none"/>
              </w:rPr>
            </w:pPr>
            <w:r>
              <w:rPr>
                <w:rFonts w:hint="default" w:ascii="Times New Roman" w:hAnsi="Times New Roman" w:cs="Times New Roman"/>
                <w:color w:val="auto"/>
                <w:sz w:val="24"/>
                <w:highlight w:val="none"/>
              </w:rPr>
              <w:t>③</w:t>
            </w:r>
            <w:r>
              <w:rPr>
                <w:rFonts w:ascii="Times New Roman" w:hAnsi="Times New Roman"/>
                <w:color w:val="auto"/>
                <w:sz w:val="24"/>
                <w:highlight w:val="none"/>
              </w:rPr>
              <w:t>园林绿化主管部门参与公园绿地建设项目设计和项目竣工验收。</w:t>
            </w:r>
          </w:p>
        </w:tc>
        <w:tc>
          <w:tcPr>
            <w:tcW w:w="1477" w:type="dxa"/>
            <w:vAlign w:val="center"/>
          </w:tcPr>
          <w:p>
            <w:pPr>
              <w:spacing w:line="300" w:lineRule="exact"/>
              <w:jc w:val="center"/>
              <w:rPr>
                <w:rFonts w:ascii="Times New Roman" w:hAnsi="Times New Roman"/>
                <w:color w:val="auto"/>
                <w:kern w:val="0"/>
                <w:sz w:val="24"/>
                <w:highlight w:val="none"/>
              </w:rPr>
            </w:pPr>
            <w:r>
              <w:rPr>
                <w:rFonts w:ascii="Times New Roman" w:hAnsi="Times New Roman"/>
                <w:color w:val="auto"/>
                <w:sz w:val="24"/>
                <w:highlight w:val="none"/>
              </w:rPr>
              <w:t>县住建局</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20</w:t>
            </w:r>
          </w:p>
        </w:tc>
        <w:tc>
          <w:tcPr>
            <w:tcW w:w="871" w:type="dxa"/>
            <w:vAlign w:val="center"/>
          </w:tcPr>
          <w:p>
            <w:pPr>
              <w:jc w:val="center"/>
              <w:rPr>
                <w:rFonts w:ascii="Times New Roman" w:hAnsi="Times New Roman"/>
                <w:color w:val="auto"/>
                <w:kern w:val="0"/>
                <w:sz w:val="24"/>
                <w:highlight w:val="none"/>
              </w:rPr>
            </w:pPr>
            <w:r>
              <w:rPr>
                <w:rFonts w:ascii="Times New Roman" w:hAnsi="Times New Roman"/>
                <w:bCs/>
                <w:color w:val="auto"/>
                <w:kern w:val="0"/>
                <w:sz w:val="24"/>
                <w:highlight w:val="none"/>
              </w:rPr>
              <w:t>2021年6月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2</w:t>
            </w:r>
          </w:p>
        </w:tc>
        <w:tc>
          <w:tcPr>
            <w:tcW w:w="1306" w:type="dxa"/>
            <w:vAlign w:val="center"/>
          </w:tcPr>
          <w:p>
            <w:pPr>
              <w:spacing w:line="300" w:lineRule="exact"/>
              <w:rPr>
                <w:rFonts w:ascii="Times New Roman" w:hAnsi="Times New Roman"/>
                <w:color w:val="auto"/>
                <w:kern w:val="0"/>
                <w:sz w:val="24"/>
                <w:highlight w:val="none"/>
              </w:rPr>
            </w:pPr>
            <w:r>
              <w:rPr>
                <w:rFonts w:ascii="Times New Roman" w:hAnsi="Times New Roman"/>
                <w:color w:val="auto"/>
                <w:kern w:val="0"/>
                <w:sz w:val="24"/>
                <w:highlight w:val="none"/>
              </w:rPr>
              <w:t>县城绿线管理</w:t>
            </w:r>
          </w:p>
        </w:tc>
        <w:tc>
          <w:tcPr>
            <w:tcW w:w="2720" w:type="dxa"/>
            <w:vAlign w:val="center"/>
          </w:tcPr>
          <w:p>
            <w:pPr>
              <w:spacing w:line="300" w:lineRule="exact"/>
              <w:rPr>
                <w:rFonts w:ascii="Times New Roman" w:hAnsi="Times New Roman"/>
                <w:color w:val="auto"/>
                <w:kern w:val="0"/>
                <w:sz w:val="24"/>
                <w:highlight w:val="none"/>
              </w:rPr>
            </w:pPr>
            <w:r>
              <w:rPr>
                <w:rFonts w:ascii="Times New Roman" w:hAnsi="Times New Roman"/>
                <w:color w:val="auto"/>
                <w:sz w:val="24"/>
                <w:highlight w:val="none"/>
              </w:rPr>
              <w:t>严格实施县城绿线管制制度，按照《城市绿线管理办法》（建设部令第112号）和《城市绿线划定技术规范》（GB/T51163-2016）要求划定绿线，并在至少2种以上的媒体上向社会公布，设立绿线公示牌或绿线界碑，向社会公布四至边界，严禁侵占。</w:t>
            </w:r>
          </w:p>
        </w:tc>
        <w:tc>
          <w:tcPr>
            <w:tcW w:w="1477" w:type="dxa"/>
            <w:vAlign w:val="center"/>
          </w:tcPr>
          <w:p>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w:t>
            </w:r>
          </w:p>
          <w:p>
            <w:pPr>
              <w:spacing w:line="300" w:lineRule="exact"/>
              <w:jc w:val="center"/>
              <w:rPr>
                <w:rFonts w:ascii="Times New Roman" w:hAnsi="Times New Roman"/>
                <w:color w:val="auto"/>
                <w:kern w:val="0"/>
                <w:sz w:val="24"/>
                <w:highlight w:val="none"/>
              </w:rPr>
            </w:pP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5</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3</w:t>
            </w:r>
          </w:p>
        </w:tc>
        <w:tc>
          <w:tcPr>
            <w:tcW w:w="1306" w:type="dxa"/>
            <w:vAlign w:val="center"/>
          </w:tcPr>
          <w:p>
            <w:pPr>
              <w:spacing w:line="300" w:lineRule="exact"/>
              <w:rPr>
                <w:rFonts w:ascii="Times New Roman" w:hAnsi="Times New Roman"/>
                <w:color w:val="auto"/>
                <w:kern w:val="0"/>
                <w:sz w:val="24"/>
                <w:highlight w:val="none"/>
              </w:rPr>
            </w:pPr>
            <w:r>
              <w:rPr>
                <w:rFonts w:ascii="Times New Roman" w:hAnsi="Times New Roman"/>
                <w:color w:val="auto"/>
                <w:kern w:val="0"/>
                <w:sz w:val="24"/>
                <w:highlight w:val="none"/>
              </w:rPr>
              <w:t>节约型园林绿化建设</w:t>
            </w:r>
          </w:p>
        </w:tc>
        <w:tc>
          <w:tcPr>
            <w:tcW w:w="2720" w:type="dxa"/>
            <w:vAlign w:val="center"/>
          </w:tcPr>
          <w:p>
            <w:pPr>
              <w:spacing w:line="300" w:lineRule="exact"/>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园林绿化建设以植物造景为主，以栽植全冠苗木为主，采取有效措施严格控制大树移植、大广场、喷泉、水景、人工大水面、大草坪、大色块、雕塑、灯具造景、过度亮化等；</w:t>
            </w:r>
          </w:p>
          <w:p>
            <w:pPr>
              <w:spacing w:line="300" w:lineRule="exact"/>
              <w:rPr>
                <w:rFonts w:ascii="Times New Roman" w:hAnsi="Times New Roman"/>
                <w:color w:val="auto"/>
                <w:kern w:val="0"/>
                <w:sz w:val="24"/>
                <w:highlight w:val="none"/>
              </w:rPr>
            </w:pPr>
            <w:r>
              <w:rPr>
                <w:rFonts w:hint="default" w:ascii="Times New Roman" w:hAnsi="Times New Roman" w:cs="Times New Roman"/>
                <w:color w:val="auto"/>
                <w:sz w:val="24"/>
                <w:highlight w:val="none"/>
              </w:rPr>
              <w:t>②</w:t>
            </w:r>
            <w:r>
              <w:rPr>
                <w:rFonts w:ascii="Times New Roman" w:hAnsi="Times New Roman"/>
                <w:color w:val="auto"/>
                <w:sz w:val="24"/>
                <w:highlight w:val="none"/>
              </w:rPr>
              <w:t>合理选择应用乡土、适生植物，优先使用本地苗圃培育的种苗，严格控制反季节种植、更换行道树树种等</w:t>
            </w:r>
            <w:r>
              <w:rPr>
                <w:rFonts w:hint="eastAsia" w:ascii="Times New Roman" w:hAnsi="Times New Roman"/>
                <w:color w:val="auto"/>
                <w:sz w:val="24"/>
                <w:highlight w:val="none"/>
              </w:rPr>
              <w:t>。</w:t>
            </w:r>
          </w:p>
        </w:tc>
        <w:tc>
          <w:tcPr>
            <w:tcW w:w="1477" w:type="dxa"/>
            <w:vAlign w:val="center"/>
          </w:tcPr>
          <w:p>
            <w:pPr>
              <w:spacing w:line="300" w:lineRule="exact"/>
              <w:jc w:val="center"/>
              <w:rPr>
                <w:rFonts w:ascii="Times New Roman" w:hAnsi="Times New Roman"/>
                <w:color w:val="auto"/>
                <w:kern w:val="0"/>
                <w:sz w:val="24"/>
                <w:highlight w:val="none"/>
              </w:rPr>
            </w:pPr>
            <w:r>
              <w:rPr>
                <w:rFonts w:ascii="Times New Roman" w:hAnsi="Times New Roman"/>
                <w:color w:val="auto"/>
                <w:sz w:val="24"/>
                <w:highlight w:val="none"/>
              </w:rPr>
              <w:t>县住建局</w:t>
            </w:r>
          </w:p>
        </w:tc>
        <w:tc>
          <w:tcPr>
            <w:tcW w:w="870" w:type="dxa"/>
            <w:vAlign w:val="center"/>
          </w:tcPr>
          <w:p>
            <w:pPr>
              <w:jc w:val="center"/>
              <w:rPr>
                <w:rFonts w:ascii="Times New Roman" w:hAnsi="Times New Roman"/>
                <w:color w:val="auto"/>
                <w:kern w:val="0"/>
                <w:sz w:val="24"/>
                <w:highlight w:val="none"/>
              </w:rPr>
            </w:pPr>
            <w:r>
              <w:rPr>
                <w:rFonts w:hint="eastAsia" w:ascii="Times New Roman" w:hAnsi="Times New Roman"/>
                <w:color w:val="auto"/>
                <w:kern w:val="0"/>
                <w:sz w:val="24"/>
                <w:highlight w:val="none"/>
                <w:lang w:bidi="ar"/>
              </w:rPr>
              <w:t>提升项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26</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4</w:t>
            </w:r>
          </w:p>
        </w:tc>
        <w:tc>
          <w:tcPr>
            <w:tcW w:w="1306" w:type="dxa"/>
            <w:vAlign w:val="center"/>
          </w:tcPr>
          <w:p>
            <w:pPr>
              <w:spacing w:line="300" w:lineRule="exact"/>
              <w:jc w:val="left"/>
              <w:rPr>
                <w:rFonts w:ascii="Times New Roman" w:hAnsi="Times New Roman"/>
                <w:color w:val="auto"/>
                <w:kern w:val="0"/>
                <w:sz w:val="24"/>
                <w:highlight w:val="none"/>
              </w:rPr>
            </w:pPr>
            <w:r>
              <w:rPr>
                <w:rFonts w:ascii="Times New Roman" w:hAnsi="Times New Roman"/>
                <w:color w:val="auto"/>
                <w:kern w:val="0"/>
                <w:sz w:val="24"/>
                <w:highlight w:val="none"/>
              </w:rPr>
              <w:t>大树移植、行道树树种更换等控制管理</w:t>
            </w:r>
          </w:p>
        </w:tc>
        <w:tc>
          <w:tcPr>
            <w:tcW w:w="2720" w:type="dxa"/>
            <w:vAlign w:val="center"/>
          </w:tcPr>
          <w:p>
            <w:pPr>
              <w:spacing w:line="300" w:lineRule="exact"/>
              <w:rPr>
                <w:rFonts w:ascii="Times New Roman" w:hAnsi="Times New Roman"/>
                <w:color w:val="auto"/>
                <w:sz w:val="24"/>
                <w:highlight w:val="none"/>
              </w:rPr>
            </w:pPr>
            <w:r>
              <w:rPr>
                <w:rFonts w:hint="default" w:ascii="Times New Roman" w:hAnsi="Times New Roman" w:cs="Times New Roman"/>
                <w:color w:val="auto"/>
                <w:sz w:val="24"/>
                <w:highlight w:val="none"/>
              </w:rPr>
              <w:t>①</w:t>
            </w:r>
            <w:r>
              <w:rPr>
                <w:rFonts w:ascii="Times New Roman" w:hAnsi="Times New Roman"/>
                <w:color w:val="auto"/>
                <w:sz w:val="24"/>
                <w:highlight w:val="none"/>
              </w:rPr>
              <w:t>制定严格控制大树移植及随意更换行道树树种的制度或管控措施，并落实良好；</w:t>
            </w:r>
          </w:p>
          <w:p>
            <w:pPr>
              <w:spacing w:line="300" w:lineRule="exact"/>
              <w:rPr>
                <w:rFonts w:ascii="Times New Roman" w:hAnsi="Times New Roman"/>
                <w:color w:val="auto"/>
                <w:kern w:val="0"/>
                <w:sz w:val="24"/>
                <w:highlight w:val="none"/>
              </w:rPr>
            </w:pPr>
            <w:r>
              <w:rPr>
                <w:rFonts w:hint="default" w:ascii="Times New Roman" w:hAnsi="Times New Roman" w:cs="Times New Roman"/>
                <w:color w:val="auto"/>
                <w:sz w:val="24"/>
                <w:highlight w:val="none"/>
              </w:rPr>
              <w:t>②</w:t>
            </w:r>
            <w:r>
              <w:rPr>
                <w:rFonts w:ascii="Times New Roman" w:hAnsi="Times New Roman"/>
                <w:color w:val="auto"/>
                <w:sz w:val="24"/>
                <w:highlight w:val="none"/>
              </w:rPr>
              <w:t>近2年（含申报年），公园绿地、道路绿化建设或改、扩建中未曾发生大规模、未经专家论证及社会公示认可而更换行道树树种等现象。</w:t>
            </w:r>
          </w:p>
        </w:tc>
        <w:tc>
          <w:tcPr>
            <w:tcW w:w="1477" w:type="dxa"/>
            <w:vAlign w:val="center"/>
          </w:tcPr>
          <w:p>
            <w:pPr>
              <w:spacing w:line="300" w:lineRule="exact"/>
              <w:jc w:val="center"/>
              <w:rPr>
                <w:rFonts w:ascii="Times New Roman" w:hAnsi="Times New Roman"/>
                <w:color w:val="auto"/>
                <w:kern w:val="0"/>
                <w:sz w:val="24"/>
                <w:highlight w:val="none"/>
              </w:rPr>
            </w:pPr>
            <w:r>
              <w:rPr>
                <w:rFonts w:ascii="Times New Roman" w:hAnsi="Times New Roman"/>
                <w:color w:val="auto"/>
                <w:sz w:val="24"/>
                <w:highlight w:val="none"/>
              </w:rPr>
              <w:t>县住建局</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21</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2021年6月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5</w:t>
            </w:r>
          </w:p>
        </w:tc>
        <w:tc>
          <w:tcPr>
            <w:tcW w:w="1306" w:type="dxa"/>
            <w:vAlign w:val="center"/>
          </w:tcPr>
          <w:p>
            <w:pPr>
              <w:spacing w:line="300" w:lineRule="exact"/>
              <w:jc w:val="left"/>
              <w:rPr>
                <w:rFonts w:ascii="Times New Roman" w:hAnsi="Times New Roman"/>
                <w:color w:val="auto"/>
                <w:kern w:val="0"/>
                <w:sz w:val="24"/>
                <w:highlight w:val="none"/>
              </w:rPr>
            </w:pPr>
            <w:r>
              <w:rPr>
                <w:rFonts w:ascii="Times New Roman" w:hAnsi="Times New Roman"/>
                <w:bCs/>
                <w:color w:val="auto"/>
                <w:kern w:val="0"/>
                <w:sz w:val="24"/>
                <w:highlight w:val="none"/>
              </w:rPr>
              <w:t>公园规范化管理</w:t>
            </w:r>
          </w:p>
        </w:tc>
        <w:tc>
          <w:tcPr>
            <w:tcW w:w="2720" w:type="dxa"/>
            <w:vAlign w:val="center"/>
          </w:tcPr>
          <w:p>
            <w:pPr>
              <w:spacing w:line="300" w:lineRule="exact"/>
              <w:rPr>
                <w:rFonts w:ascii="Times New Roman" w:hAnsi="Times New Roman"/>
                <w:color w:val="auto"/>
                <w:sz w:val="24"/>
                <w:highlight w:val="none"/>
              </w:rPr>
            </w:pPr>
            <w:r>
              <w:rPr>
                <w:rFonts w:hint="default" w:ascii="Times New Roman" w:hAnsi="Times New Roman" w:cs="Times New Roman"/>
                <w:color w:val="auto"/>
                <w:sz w:val="24"/>
                <w:highlight w:val="none"/>
              </w:rPr>
              <w:t>①</w:t>
            </w:r>
            <w:r>
              <w:rPr>
                <w:rFonts w:ascii="Times New Roman" w:hAnsi="Times New Roman"/>
                <w:color w:val="auto"/>
                <w:sz w:val="24"/>
                <w:highlight w:val="none"/>
              </w:rPr>
              <w:t>县城公园免费开放率100%；</w:t>
            </w:r>
          </w:p>
          <w:p>
            <w:pPr>
              <w:spacing w:line="300" w:lineRule="exact"/>
              <w:rPr>
                <w:rFonts w:ascii="Times New Roman" w:hAnsi="Times New Roman"/>
                <w:color w:val="auto"/>
                <w:sz w:val="24"/>
                <w:highlight w:val="none"/>
              </w:rPr>
            </w:pPr>
            <w:r>
              <w:rPr>
                <w:rFonts w:hint="default" w:ascii="Times New Roman" w:hAnsi="Times New Roman" w:cs="Times New Roman"/>
                <w:color w:val="auto"/>
                <w:sz w:val="24"/>
                <w:highlight w:val="none"/>
              </w:rPr>
              <w:t>②</w:t>
            </w:r>
            <w:r>
              <w:rPr>
                <w:rFonts w:ascii="Times New Roman" w:hAnsi="Times New Roman"/>
                <w:color w:val="auto"/>
                <w:sz w:val="24"/>
                <w:highlight w:val="none"/>
              </w:rPr>
              <w:t>公园设计符合《公园设计规范》等相关标准规范要求，公园功能完善，设施完好，安全运行；</w:t>
            </w:r>
          </w:p>
          <w:p>
            <w:pPr>
              <w:spacing w:line="300" w:lineRule="exact"/>
              <w:rPr>
                <w:rFonts w:ascii="Times New Roman" w:hAnsi="Times New Roman"/>
                <w:color w:val="auto"/>
                <w:kern w:val="0"/>
                <w:sz w:val="24"/>
                <w:highlight w:val="none"/>
              </w:rPr>
            </w:pPr>
            <w:r>
              <w:rPr>
                <w:rFonts w:hint="default" w:ascii="Times New Roman" w:hAnsi="Times New Roman" w:cs="Times New Roman"/>
                <w:color w:val="auto"/>
                <w:sz w:val="24"/>
                <w:highlight w:val="none"/>
              </w:rPr>
              <w:t>③</w:t>
            </w:r>
            <w:r>
              <w:rPr>
                <w:rFonts w:ascii="Times New Roman" w:hAnsi="Times New Roman"/>
                <w:color w:val="auto"/>
                <w:sz w:val="24"/>
                <w:highlight w:val="none"/>
              </w:rPr>
              <w:t>公园配套服务设施经营管理符合《城市公园配套服务项目经营管理暂行办法》等要求，保障公园的公益属性。</w:t>
            </w:r>
          </w:p>
        </w:tc>
        <w:tc>
          <w:tcPr>
            <w:tcW w:w="1477" w:type="dxa"/>
            <w:vAlign w:val="center"/>
          </w:tcPr>
          <w:p>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w:t>
            </w:r>
          </w:p>
        </w:tc>
        <w:tc>
          <w:tcPr>
            <w:tcW w:w="870" w:type="dxa"/>
            <w:vAlign w:val="center"/>
          </w:tcPr>
          <w:p>
            <w:pPr>
              <w:jc w:val="center"/>
              <w:rPr>
                <w:rFonts w:ascii="Times New Roman" w:hAnsi="Times New Roman"/>
                <w:color w:val="auto"/>
                <w:kern w:val="0"/>
                <w:sz w:val="24"/>
                <w:highlight w:val="none"/>
              </w:rPr>
            </w:pPr>
            <w:r>
              <w:rPr>
                <w:rFonts w:hint="eastAsia" w:ascii="Times New Roman" w:hAnsi="Times New Roman"/>
                <w:color w:val="auto"/>
                <w:kern w:val="0"/>
                <w:sz w:val="24"/>
                <w:highlight w:val="none"/>
                <w:lang w:bidi="ar"/>
              </w:rPr>
              <w:t>提升项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22</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lang w:eastAsia="zh-CN"/>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lang w:eastAsia="zh-CN"/>
              </w:rPr>
              <w:t>6</w:t>
            </w:r>
            <w:r>
              <w:rPr>
                <w:rFonts w:ascii="Times New Roman" w:hAnsi="Times New Roman"/>
                <w:bCs/>
                <w:color w:val="auto"/>
                <w:kern w:val="0"/>
                <w:sz w:val="24"/>
                <w:highlight w:val="none"/>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6</w:t>
            </w:r>
          </w:p>
        </w:tc>
        <w:tc>
          <w:tcPr>
            <w:tcW w:w="1306" w:type="dxa"/>
            <w:vAlign w:val="center"/>
          </w:tcPr>
          <w:p>
            <w:pPr>
              <w:spacing w:line="300" w:lineRule="exact"/>
              <w:rPr>
                <w:rFonts w:ascii="Times New Roman" w:hAnsi="Times New Roman"/>
                <w:bCs/>
                <w:color w:val="auto"/>
                <w:kern w:val="0"/>
                <w:sz w:val="24"/>
                <w:highlight w:val="none"/>
              </w:rPr>
            </w:pPr>
            <w:r>
              <w:rPr>
                <w:rFonts w:ascii="Times New Roman" w:hAnsi="Times New Roman"/>
                <w:bCs/>
                <w:color w:val="auto"/>
                <w:kern w:val="0"/>
                <w:sz w:val="24"/>
                <w:highlight w:val="none"/>
              </w:rPr>
              <w:t>公园绿地应急避险功能完善建设</w:t>
            </w:r>
          </w:p>
        </w:tc>
        <w:tc>
          <w:tcPr>
            <w:tcW w:w="2720" w:type="dxa"/>
            <w:vAlign w:val="center"/>
          </w:tcPr>
          <w:p>
            <w:pPr>
              <w:spacing w:line="300" w:lineRule="exact"/>
              <w:rPr>
                <w:rFonts w:ascii="Times New Roman" w:hAnsi="Times New Roman"/>
                <w:bCs/>
                <w:color w:val="auto"/>
                <w:kern w:val="0"/>
                <w:sz w:val="24"/>
                <w:highlight w:val="none"/>
              </w:rPr>
            </w:pPr>
            <w:r>
              <w:rPr>
                <w:rFonts w:hint="default" w:ascii="Times New Roman" w:hAnsi="Times New Roman" w:cs="Times New Roman"/>
                <w:bCs/>
                <w:color w:val="auto"/>
                <w:kern w:val="0"/>
                <w:sz w:val="24"/>
                <w:highlight w:val="none"/>
              </w:rPr>
              <w:t>①</w:t>
            </w:r>
            <w:r>
              <w:rPr>
                <w:rFonts w:ascii="Times New Roman" w:hAnsi="Times New Roman"/>
                <w:bCs/>
                <w:color w:val="auto"/>
                <w:kern w:val="0"/>
                <w:sz w:val="24"/>
                <w:highlight w:val="none"/>
              </w:rPr>
              <w:t>在全面摸底评估的基础上，编制《县城绿地系统防灾避险规划》</w:t>
            </w:r>
            <w:r>
              <w:rPr>
                <w:rFonts w:ascii="Times New Roman" w:hAnsi="Times New Roman"/>
                <w:color w:val="auto"/>
                <w:sz w:val="24"/>
                <w:highlight w:val="none"/>
              </w:rPr>
              <w:t>或在《县城绿地系统规划》中有专章</w:t>
            </w:r>
            <w:r>
              <w:rPr>
                <w:rFonts w:ascii="Times New Roman" w:hAnsi="Times New Roman"/>
                <w:bCs/>
                <w:color w:val="auto"/>
                <w:kern w:val="0"/>
                <w:sz w:val="24"/>
                <w:highlight w:val="none"/>
              </w:rPr>
              <w:t>；</w:t>
            </w:r>
          </w:p>
          <w:p>
            <w:pPr>
              <w:spacing w:line="300" w:lineRule="exact"/>
              <w:rPr>
                <w:rFonts w:ascii="Times New Roman" w:hAnsi="Times New Roman"/>
                <w:color w:val="auto"/>
                <w:sz w:val="24"/>
                <w:highlight w:val="none"/>
              </w:rPr>
            </w:pPr>
            <w:r>
              <w:rPr>
                <w:rFonts w:hint="default" w:ascii="Times New Roman" w:hAnsi="Times New Roman" w:cs="Times New Roman"/>
                <w:bCs/>
                <w:color w:val="auto"/>
                <w:kern w:val="0"/>
                <w:sz w:val="24"/>
                <w:highlight w:val="none"/>
              </w:rPr>
              <w:t>②</w:t>
            </w:r>
            <w:r>
              <w:rPr>
                <w:rFonts w:ascii="Times New Roman" w:hAnsi="Times New Roman"/>
                <w:bCs/>
                <w:color w:val="auto"/>
                <w:kern w:val="0"/>
                <w:sz w:val="24"/>
                <w:highlight w:val="none"/>
              </w:rPr>
              <w:t>承担防灾避险功能的公园绿地中水、电、通讯、标识等设施符合相关标准规范要求。</w:t>
            </w:r>
          </w:p>
        </w:tc>
        <w:tc>
          <w:tcPr>
            <w:tcW w:w="1477" w:type="dxa"/>
            <w:vAlign w:val="center"/>
          </w:tcPr>
          <w:p>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县应急管理局</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23</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lang w:eastAsia="zh-CN"/>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lang w:eastAsia="zh-CN"/>
              </w:rPr>
              <w:t>6</w:t>
            </w:r>
            <w:r>
              <w:rPr>
                <w:rFonts w:ascii="Times New Roman" w:hAnsi="Times New Roman"/>
                <w:bCs/>
                <w:color w:val="auto"/>
                <w:kern w:val="0"/>
                <w:sz w:val="24"/>
                <w:highlight w:val="none"/>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7</w:t>
            </w:r>
          </w:p>
        </w:tc>
        <w:tc>
          <w:tcPr>
            <w:tcW w:w="1306" w:type="dxa"/>
            <w:vAlign w:val="center"/>
          </w:tcPr>
          <w:p>
            <w:pPr>
              <w:spacing w:line="300" w:lineRule="exact"/>
              <w:rPr>
                <w:rFonts w:ascii="Times New Roman" w:hAnsi="Times New Roman"/>
                <w:bCs/>
                <w:color w:val="auto"/>
                <w:kern w:val="0"/>
                <w:sz w:val="24"/>
                <w:highlight w:val="none"/>
              </w:rPr>
            </w:pPr>
            <w:r>
              <w:rPr>
                <w:rFonts w:ascii="Times New Roman" w:hAnsi="Times New Roman"/>
                <w:bCs/>
                <w:color w:val="auto"/>
                <w:kern w:val="0"/>
                <w:sz w:val="24"/>
                <w:highlight w:val="none"/>
              </w:rPr>
              <w:t>公众对园林绿化的满意率</w:t>
            </w:r>
          </w:p>
        </w:tc>
        <w:tc>
          <w:tcPr>
            <w:tcW w:w="2720" w:type="dxa"/>
            <w:vAlign w:val="center"/>
          </w:tcPr>
          <w:p>
            <w:pPr>
              <w:spacing w:line="300" w:lineRule="exact"/>
              <w:rPr>
                <w:rFonts w:ascii="Times New Roman" w:hAnsi="Times New Roman"/>
                <w:bCs/>
                <w:color w:val="auto"/>
                <w:kern w:val="0"/>
                <w:sz w:val="24"/>
                <w:highlight w:val="none"/>
              </w:rPr>
            </w:pPr>
            <w:r>
              <w:rPr>
                <w:rFonts w:ascii="Times New Roman" w:hAnsi="Times New Roman"/>
                <w:bCs/>
                <w:color w:val="auto"/>
                <w:kern w:val="0"/>
                <w:sz w:val="24"/>
                <w:highlight w:val="none"/>
              </w:rPr>
              <w:t>委托第三方专业调查机构调查公众对县城园林绿化的满意率</w:t>
            </w:r>
          </w:p>
        </w:tc>
        <w:tc>
          <w:tcPr>
            <w:tcW w:w="1477" w:type="dxa"/>
            <w:vAlign w:val="center"/>
          </w:tcPr>
          <w:p>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县住建局、县统计局、县林业局、县公用事业事务中心</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8</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2021年</w:t>
            </w:r>
            <w:r>
              <w:rPr>
                <w:rFonts w:hint="eastAsia" w:ascii="Times New Roman" w:hAnsi="Times New Roman"/>
                <w:bCs/>
                <w:color w:val="auto"/>
                <w:kern w:val="0"/>
                <w:sz w:val="24"/>
                <w:highlight w:val="none"/>
                <w:lang w:eastAsia="zh-CN"/>
              </w:rPr>
              <w:t>6</w:t>
            </w:r>
            <w:r>
              <w:rPr>
                <w:rFonts w:ascii="Times New Roman" w:hAnsi="Times New Roman"/>
                <w:bCs/>
                <w:color w:val="auto"/>
                <w:kern w:val="0"/>
                <w:sz w:val="24"/>
                <w:highlight w:val="none"/>
              </w:rPr>
              <w:t>月</w:t>
            </w:r>
          </w:p>
        </w:tc>
      </w:tr>
    </w:tbl>
    <w:p>
      <w:pPr>
        <w:rPr>
          <w:rFonts w:ascii="Times New Roman" w:hAnsi="Times New Roman"/>
          <w:color w:val="auto"/>
          <w:sz w:val="28"/>
          <w:szCs w:val="28"/>
          <w:highlight w:val="none"/>
        </w:rPr>
      </w:pPr>
    </w:p>
    <w:p>
      <w:pPr>
        <w:pStyle w:val="5"/>
        <w:rPr>
          <w:rFonts w:ascii="Times New Roman" w:hAnsi="Times New Roman" w:eastAsia="宋体"/>
          <w:bCs/>
          <w:color w:val="auto"/>
          <w:highlight w:val="none"/>
        </w:rPr>
      </w:pPr>
      <w:bookmarkStart w:id="148" w:name="_Toc18513"/>
      <w:bookmarkStart w:id="149" w:name="_Toc10175"/>
      <w:bookmarkStart w:id="150" w:name="_Toc26465"/>
      <w:bookmarkStart w:id="151" w:name="_Toc22572"/>
      <w:bookmarkStart w:id="152" w:name="_Toc30077"/>
      <w:bookmarkStart w:id="153" w:name="_Toc30442"/>
      <w:r>
        <w:rPr>
          <w:rFonts w:ascii="Times New Roman" w:hAnsi="Times New Roman" w:eastAsia="宋体"/>
          <w:bCs/>
          <w:color w:val="auto"/>
          <w:highlight w:val="none"/>
        </w:rPr>
        <w:t>4.2 行动二：提质增绿，市民共享绿色县城空间</w:t>
      </w:r>
      <w:bookmarkEnd w:id="148"/>
      <w:bookmarkEnd w:id="149"/>
      <w:bookmarkEnd w:id="150"/>
      <w:bookmarkEnd w:id="151"/>
      <w:bookmarkEnd w:id="152"/>
      <w:bookmarkEnd w:id="153"/>
    </w:p>
    <w:p>
      <w:pPr>
        <w:pStyle w:val="6"/>
        <w:rPr>
          <w:rFonts w:ascii="Times New Roman" w:hAnsi="Times New Roman"/>
          <w:color w:val="auto"/>
          <w:highlight w:val="none"/>
        </w:rPr>
      </w:pPr>
      <w:bookmarkStart w:id="154" w:name="_Toc60776348"/>
      <w:bookmarkStart w:id="155" w:name="_Toc32174"/>
      <w:r>
        <w:rPr>
          <w:rFonts w:ascii="Times New Roman" w:hAnsi="Times New Roman"/>
          <w:color w:val="auto"/>
          <w:highlight w:val="none"/>
        </w:rPr>
        <w:t>4.2.1</w:t>
      </w:r>
      <w:r>
        <w:rPr>
          <w:rFonts w:hint="eastAsia" w:ascii="Times New Roman" w:hAnsi="Times New Roman"/>
          <w:color w:val="auto"/>
          <w:highlight w:val="none"/>
        </w:rPr>
        <w:t xml:space="preserve"> </w:t>
      </w:r>
      <w:r>
        <w:rPr>
          <w:rFonts w:ascii="Times New Roman" w:hAnsi="Times New Roman"/>
          <w:color w:val="auto"/>
          <w:highlight w:val="none"/>
        </w:rPr>
        <w:t>绿地建设，增加县城绿色空间</w:t>
      </w:r>
      <w:bookmarkEnd w:id="154"/>
      <w:bookmarkEnd w:id="155"/>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（1）</w:t>
      </w:r>
      <w:r>
        <w:rPr>
          <w:rFonts w:hint="eastAsia" w:ascii="Times New Roman" w:hAnsi="Times New Roman"/>
          <w:b/>
          <w:bCs/>
          <w:color w:val="auto"/>
          <w:sz w:val="28"/>
          <w:szCs w:val="28"/>
          <w:highlight w:val="none"/>
        </w:rPr>
        <w:t>公园绿地建设规划</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通过对海丰县建成区内现状公园绿地调研发现，海丰县现存公园8个，总面积仅36.75公顷，其中超过5公顷的综合性公园1个青年公园，专类公园1个烈士陵园公园。根据县公安局提供的</w:t>
      </w:r>
      <w:r>
        <w:rPr>
          <w:rFonts w:hint="eastAsia" w:ascii="Times New Roman" w:hAnsi="Times New Roman"/>
          <w:color w:val="auto"/>
          <w:sz w:val="28"/>
          <w:szCs w:val="28"/>
          <w:highlight w:val="none"/>
          <w:lang w:val="en-US" w:eastAsia="zh-CN"/>
        </w:rPr>
        <w:t>县城建成区</w:t>
      </w:r>
      <w:r>
        <w:rPr>
          <w:rFonts w:ascii="Times New Roman" w:hAnsi="Times New Roman"/>
          <w:color w:val="auto"/>
          <w:sz w:val="28"/>
          <w:szCs w:val="28"/>
          <w:highlight w:val="none"/>
        </w:rPr>
        <w:t>附城镇、海城镇、城东镇总人口数量为28.73万人，计算得出人均公园绿地面积仅1.28平方米/人，城市公园服务半径覆盖率仅50.4%。</w:t>
      </w:r>
    </w:p>
    <w:p>
      <w:pPr>
        <w:pStyle w:val="2"/>
        <w:spacing w:after="0"/>
        <w:ind w:firstLine="562"/>
        <w:jc w:val="center"/>
        <w:rPr>
          <w:rFonts w:ascii="Times New Roman" w:hAnsi="Times New Roman" w:eastAsia="宋体"/>
          <w:b/>
          <w:color w:val="auto"/>
          <w:highlight w:val="none"/>
        </w:rPr>
      </w:pPr>
      <w:r>
        <w:rPr>
          <w:rFonts w:ascii="Times New Roman" w:hAnsi="Times New Roman" w:eastAsia="宋体"/>
          <w:b/>
          <w:color w:val="auto"/>
          <w:highlight w:val="none"/>
        </w:rPr>
        <w:t>表4-</w:t>
      </w:r>
      <w:r>
        <w:rPr>
          <w:rFonts w:hint="eastAsia" w:ascii="Times New Roman" w:hAnsi="Times New Roman" w:eastAsia="宋体"/>
          <w:b/>
          <w:color w:val="auto"/>
          <w:highlight w:val="none"/>
        </w:rPr>
        <w:t xml:space="preserve">2-1 </w:t>
      </w:r>
      <w:r>
        <w:rPr>
          <w:rFonts w:ascii="Times New Roman" w:hAnsi="Times New Roman" w:eastAsia="宋体"/>
          <w:b/>
          <w:color w:val="auto"/>
          <w:highlight w:val="none"/>
        </w:rPr>
        <w:t xml:space="preserve"> 海丰县现状公园绿地明细表</w:t>
      </w:r>
    </w:p>
    <w:tbl>
      <w:tblPr>
        <w:tblStyle w:val="20"/>
        <w:tblW w:w="8334" w:type="dxa"/>
        <w:tblInd w:w="0" w:type="dxa"/>
        <w:tblLayout w:type="fixed"/>
        <w:tblCellMar>
          <w:top w:w="0" w:type="dxa"/>
          <w:left w:w="0" w:type="dxa"/>
          <w:bottom w:w="0" w:type="dxa"/>
          <w:right w:w="0" w:type="dxa"/>
        </w:tblCellMar>
      </w:tblPr>
      <w:tblGrid>
        <w:gridCol w:w="1170"/>
        <w:gridCol w:w="3480"/>
        <w:gridCol w:w="1695"/>
        <w:gridCol w:w="1989"/>
      </w:tblGrid>
      <w:tr>
        <w:tblPrEx>
          <w:tblCellMar>
            <w:top w:w="0" w:type="dxa"/>
            <w:left w:w="0" w:type="dxa"/>
            <w:bottom w:w="0" w:type="dxa"/>
            <w:right w:w="0" w:type="dxa"/>
          </w:tblCellMar>
        </w:tblPrEx>
        <w:trPr>
          <w:trHeight w:val="559" w:hRule="atLeast"/>
        </w:trPr>
        <w:tc>
          <w:tcPr>
            <w:tcW w:w="117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b/>
                <w:color w:val="auto"/>
                <w:kern w:val="0"/>
                <w:sz w:val="22"/>
                <w:szCs w:val="22"/>
                <w:highlight w:val="none"/>
                <w:lang w:bidi="ar"/>
              </w:rPr>
            </w:pPr>
            <w:r>
              <w:rPr>
                <w:rFonts w:ascii="Times New Roman" w:hAnsi="Times New Roman"/>
                <w:b/>
                <w:color w:val="auto"/>
                <w:kern w:val="0"/>
                <w:sz w:val="22"/>
                <w:szCs w:val="22"/>
                <w:highlight w:val="none"/>
                <w:lang w:bidi="ar"/>
              </w:rPr>
              <w:t>序号</w:t>
            </w:r>
          </w:p>
        </w:tc>
        <w:tc>
          <w:tcPr>
            <w:tcW w:w="34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b/>
                <w:color w:val="auto"/>
                <w:sz w:val="22"/>
                <w:szCs w:val="22"/>
                <w:highlight w:val="none"/>
              </w:rPr>
            </w:pPr>
            <w:r>
              <w:rPr>
                <w:rFonts w:ascii="Times New Roman" w:hAnsi="Times New Roman"/>
                <w:b/>
                <w:color w:val="auto"/>
                <w:kern w:val="0"/>
                <w:sz w:val="22"/>
                <w:szCs w:val="22"/>
                <w:highlight w:val="none"/>
                <w:lang w:bidi="ar"/>
              </w:rPr>
              <w:t>地点</w:t>
            </w:r>
          </w:p>
        </w:tc>
        <w:tc>
          <w:tcPr>
            <w:tcW w:w="16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b/>
                <w:color w:val="auto"/>
                <w:sz w:val="22"/>
                <w:szCs w:val="22"/>
                <w:highlight w:val="none"/>
              </w:rPr>
            </w:pPr>
            <w:r>
              <w:rPr>
                <w:rFonts w:ascii="Times New Roman" w:hAnsi="Times New Roman"/>
                <w:b/>
                <w:color w:val="auto"/>
                <w:kern w:val="0"/>
                <w:sz w:val="22"/>
                <w:szCs w:val="22"/>
                <w:highlight w:val="none"/>
                <w:lang w:bidi="ar"/>
              </w:rPr>
              <w:t>类型</w:t>
            </w:r>
          </w:p>
        </w:tc>
        <w:tc>
          <w:tcPr>
            <w:tcW w:w="198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b/>
                <w:color w:val="auto"/>
                <w:sz w:val="22"/>
                <w:szCs w:val="22"/>
                <w:highlight w:val="none"/>
              </w:rPr>
            </w:pPr>
            <w:r>
              <w:rPr>
                <w:rFonts w:ascii="Times New Roman" w:hAnsi="Times New Roman"/>
                <w:b/>
                <w:color w:val="auto"/>
                <w:kern w:val="0"/>
                <w:sz w:val="22"/>
                <w:szCs w:val="22"/>
                <w:highlight w:val="none"/>
                <w:lang w:bidi="ar"/>
              </w:rPr>
              <w:t>绿地面积（公顷)</w:t>
            </w:r>
          </w:p>
        </w:tc>
      </w:tr>
      <w:tr>
        <w:tblPrEx>
          <w:tblCellMar>
            <w:top w:w="0" w:type="dxa"/>
            <w:left w:w="0" w:type="dxa"/>
            <w:bottom w:w="0" w:type="dxa"/>
            <w:right w:w="0" w:type="dxa"/>
          </w:tblCellMar>
        </w:tblPrEx>
        <w:trPr>
          <w:trHeight w:val="439" w:hRule="atLeast"/>
        </w:trPr>
        <w:tc>
          <w:tcPr>
            <w:tcW w:w="117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kern w:val="0"/>
                <w:sz w:val="22"/>
                <w:szCs w:val="22"/>
                <w:highlight w:val="none"/>
                <w:lang w:bidi="ar"/>
              </w:rPr>
            </w:pPr>
            <w:r>
              <w:rPr>
                <w:rFonts w:ascii="Times New Roman" w:hAnsi="Times New Roman"/>
                <w:color w:val="auto"/>
                <w:kern w:val="0"/>
                <w:sz w:val="22"/>
                <w:szCs w:val="22"/>
                <w:highlight w:val="none"/>
                <w:lang w:bidi="ar"/>
              </w:rPr>
              <w:t>1</w:t>
            </w:r>
          </w:p>
        </w:tc>
        <w:tc>
          <w:tcPr>
            <w:tcW w:w="34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烈士陵园公园</w:t>
            </w:r>
          </w:p>
        </w:tc>
        <w:tc>
          <w:tcPr>
            <w:tcW w:w="16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ascii="Times New Roman" w:hAnsi="Times New Roman"/>
                <w:color w:val="auto"/>
                <w:sz w:val="22"/>
                <w:szCs w:val="22"/>
                <w:highlight w:val="none"/>
              </w:rPr>
            </w:pPr>
            <w:r>
              <w:rPr>
                <w:rFonts w:hint="eastAsia" w:ascii="宋体" w:hAnsi="宋体" w:eastAsia="宋体" w:cs="宋体"/>
                <w:i w:val="0"/>
                <w:color w:val="auto"/>
                <w:kern w:val="0"/>
                <w:sz w:val="20"/>
                <w:szCs w:val="20"/>
                <w:u w:val="none"/>
                <w:lang w:val="en-US" w:eastAsia="zh-CN" w:bidi="ar"/>
              </w:rPr>
              <w:t>其他专类公园（纪念性公园）</w:t>
            </w:r>
          </w:p>
        </w:tc>
        <w:tc>
          <w:tcPr>
            <w:tcW w:w="198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 xml:space="preserve">8.74 </w:t>
            </w:r>
          </w:p>
        </w:tc>
      </w:tr>
      <w:tr>
        <w:tblPrEx>
          <w:tblCellMar>
            <w:top w:w="0" w:type="dxa"/>
            <w:left w:w="0" w:type="dxa"/>
            <w:bottom w:w="0" w:type="dxa"/>
            <w:right w:w="0" w:type="dxa"/>
          </w:tblCellMar>
        </w:tblPrEx>
        <w:trPr>
          <w:trHeight w:val="439" w:hRule="atLeast"/>
        </w:trPr>
        <w:tc>
          <w:tcPr>
            <w:tcW w:w="117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kern w:val="0"/>
                <w:sz w:val="22"/>
                <w:szCs w:val="22"/>
                <w:highlight w:val="none"/>
                <w:lang w:bidi="ar"/>
              </w:rPr>
            </w:pPr>
            <w:r>
              <w:rPr>
                <w:rFonts w:ascii="Times New Roman" w:hAnsi="Times New Roman"/>
                <w:color w:val="auto"/>
                <w:kern w:val="0"/>
                <w:sz w:val="22"/>
                <w:szCs w:val="22"/>
                <w:highlight w:val="none"/>
                <w:lang w:bidi="ar"/>
              </w:rPr>
              <w:t>2</w:t>
            </w:r>
          </w:p>
        </w:tc>
        <w:tc>
          <w:tcPr>
            <w:tcW w:w="34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文天祥公园</w:t>
            </w:r>
          </w:p>
        </w:tc>
        <w:tc>
          <w:tcPr>
            <w:tcW w:w="16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ascii="Times New Roman" w:hAnsi="Times New Roman"/>
                <w:color w:val="auto"/>
                <w:sz w:val="22"/>
                <w:szCs w:val="22"/>
                <w:highlight w:val="none"/>
              </w:rPr>
            </w:pPr>
            <w:r>
              <w:rPr>
                <w:rFonts w:hint="eastAsia" w:ascii="宋体" w:hAnsi="宋体" w:eastAsia="宋体" w:cs="宋体"/>
                <w:i w:val="0"/>
                <w:color w:val="auto"/>
                <w:kern w:val="0"/>
                <w:sz w:val="20"/>
                <w:szCs w:val="20"/>
                <w:u w:val="none"/>
                <w:lang w:val="en-US" w:eastAsia="zh-CN" w:bidi="ar"/>
              </w:rPr>
              <w:t>其他专类公园（纪念性公园）</w:t>
            </w:r>
          </w:p>
        </w:tc>
        <w:tc>
          <w:tcPr>
            <w:tcW w:w="198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 xml:space="preserve">4.32 </w:t>
            </w:r>
          </w:p>
        </w:tc>
      </w:tr>
      <w:tr>
        <w:tblPrEx>
          <w:tblCellMar>
            <w:top w:w="0" w:type="dxa"/>
            <w:left w:w="0" w:type="dxa"/>
            <w:bottom w:w="0" w:type="dxa"/>
            <w:right w:w="0" w:type="dxa"/>
          </w:tblCellMar>
        </w:tblPrEx>
        <w:trPr>
          <w:trHeight w:val="439" w:hRule="atLeast"/>
        </w:trPr>
        <w:tc>
          <w:tcPr>
            <w:tcW w:w="117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kern w:val="0"/>
                <w:sz w:val="22"/>
                <w:szCs w:val="22"/>
                <w:highlight w:val="none"/>
                <w:lang w:bidi="ar"/>
              </w:rPr>
            </w:pPr>
            <w:r>
              <w:rPr>
                <w:rFonts w:ascii="Times New Roman" w:hAnsi="Times New Roman"/>
                <w:color w:val="auto"/>
                <w:kern w:val="0"/>
                <w:sz w:val="22"/>
                <w:szCs w:val="22"/>
                <w:highlight w:val="none"/>
                <w:lang w:bidi="ar"/>
              </w:rPr>
              <w:t>3</w:t>
            </w:r>
          </w:p>
        </w:tc>
        <w:tc>
          <w:tcPr>
            <w:tcW w:w="34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青年公园</w:t>
            </w:r>
          </w:p>
        </w:tc>
        <w:tc>
          <w:tcPr>
            <w:tcW w:w="16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ascii="Times New Roman" w:hAnsi="Times New Roman"/>
                <w:color w:val="auto"/>
                <w:sz w:val="22"/>
                <w:szCs w:val="22"/>
                <w:highlight w:val="none"/>
              </w:rPr>
            </w:pPr>
            <w:r>
              <w:rPr>
                <w:rFonts w:hint="eastAsia" w:ascii="宋体" w:hAnsi="宋体" w:eastAsia="宋体" w:cs="宋体"/>
                <w:i w:val="0"/>
                <w:color w:val="auto"/>
                <w:kern w:val="0"/>
                <w:sz w:val="20"/>
                <w:szCs w:val="20"/>
                <w:u w:val="none"/>
                <w:lang w:val="en-US" w:eastAsia="zh-CN" w:bidi="ar"/>
              </w:rPr>
              <w:t>综合公园</w:t>
            </w:r>
          </w:p>
        </w:tc>
        <w:tc>
          <w:tcPr>
            <w:tcW w:w="198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 xml:space="preserve">11.88 </w:t>
            </w:r>
          </w:p>
        </w:tc>
      </w:tr>
      <w:tr>
        <w:tblPrEx>
          <w:tblCellMar>
            <w:top w:w="0" w:type="dxa"/>
            <w:left w:w="0" w:type="dxa"/>
            <w:bottom w:w="0" w:type="dxa"/>
            <w:right w:w="0" w:type="dxa"/>
          </w:tblCellMar>
        </w:tblPrEx>
        <w:trPr>
          <w:trHeight w:val="439" w:hRule="atLeast"/>
        </w:trPr>
        <w:tc>
          <w:tcPr>
            <w:tcW w:w="117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kern w:val="0"/>
                <w:sz w:val="22"/>
                <w:szCs w:val="22"/>
                <w:highlight w:val="none"/>
                <w:lang w:bidi="ar"/>
              </w:rPr>
            </w:pPr>
            <w:r>
              <w:rPr>
                <w:rFonts w:ascii="Times New Roman" w:hAnsi="Times New Roman"/>
                <w:color w:val="auto"/>
                <w:kern w:val="0"/>
                <w:sz w:val="22"/>
                <w:szCs w:val="22"/>
                <w:highlight w:val="none"/>
                <w:lang w:bidi="ar"/>
              </w:rPr>
              <w:t>4</w:t>
            </w:r>
          </w:p>
        </w:tc>
        <w:tc>
          <w:tcPr>
            <w:tcW w:w="34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红宫红场旧址纪念馆公园</w:t>
            </w:r>
          </w:p>
        </w:tc>
        <w:tc>
          <w:tcPr>
            <w:tcW w:w="16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ascii="Times New Roman" w:hAnsi="Times New Roman"/>
                <w:color w:val="auto"/>
                <w:sz w:val="22"/>
                <w:szCs w:val="22"/>
                <w:highlight w:val="none"/>
              </w:rPr>
            </w:pPr>
            <w:r>
              <w:rPr>
                <w:rFonts w:hint="eastAsia" w:ascii="宋体" w:hAnsi="宋体" w:eastAsia="宋体" w:cs="宋体"/>
                <w:i w:val="0"/>
                <w:color w:val="auto"/>
                <w:kern w:val="0"/>
                <w:sz w:val="20"/>
                <w:szCs w:val="20"/>
                <w:u w:val="none"/>
                <w:lang w:val="en-US" w:eastAsia="zh-CN" w:bidi="ar"/>
              </w:rPr>
              <w:t>其他专类公园（纪念性公园）</w:t>
            </w:r>
          </w:p>
        </w:tc>
        <w:tc>
          <w:tcPr>
            <w:tcW w:w="198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 xml:space="preserve">2.56 </w:t>
            </w:r>
          </w:p>
        </w:tc>
      </w:tr>
      <w:tr>
        <w:tblPrEx>
          <w:tblCellMar>
            <w:top w:w="0" w:type="dxa"/>
            <w:left w:w="0" w:type="dxa"/>
            <w:bottom w:w="0" w:type="dxa"/>
            <w:right w:w="0" w:type="dxa"/>
          </w:tblCellMar>
        </w:tblPrEx>
        <w:trPr>
          <w:trHeight w:val="439" w:hRule="atLeast"/>
        </w:trPr>
        <w:tc>
          <w:tcPr>
            <w:tcW w:w="117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kern w:val="0"/>
                <w:sz w:val="22"/>
                <w:szCs w:val="22"/>
                <w:highlight w:val="none"/>
                <w:lang w:bidi="ar"/>
              </w:rPr>
            </w:pPr>
            <w:r>
              <w:rPr>
                <w:rFonts w:ascii="Times New Roman" w:hAnsi="Times New Roman"/>
                <w:color w:val="auto"/>
                <w:kern w:val="0"/>
                <w:sz w:val="22"/>
                <w:szCs w:val="22"/>
                <w:highlight w:val="none"/>
                <w:lang w:bidi="ar"/>
              </w:rPr>
              <w:t>5</w:t>
            </w:r>
          </w:p>
        </w:tc>
        <w:tc>
          <w:tcPr>
            <w:tcW w:w="34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南门湖小游园</w:t>
            </w:r>
          </w:p>
        </w:tc>
        <w:tc>
          <w:tcPr>
            <w:tcW w:w="16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ascii="Times New Roman" w:hAnsi="Times New Roman"/>
                <w:color w:val="auto"/>
                <w:sz w:val="22"/>
                <w:szCs w:val="22"/>
                <w:highlight w:val="none"/>
              </w:rPr>
            </w:pPr>
            <w:r>
              <w:rPr>
                <w:rFonts w:hint="eastAsia" w:ascii="宋体" w:hAnsi="宋体" w:eastAsia="宋体" w:cs="宋体"/>
                <w:i w:val="0"/>
                <w:color w:val="auto"/>
                <w:kern w:val="0"/>
                <w:sz w:val="20"/>
                <w:szCs w:val="20"/>
                <w:u w:val="none"/>
                <w:lang w:val="en-US" w:eastAsia="zh-CN" w:bidi="ar"/>
              </w:rPr>
              <w:t>社区公园</w:t>
            </w:r>
          </w:p>
        </w:tc>
        <w:tc>
          <w:tcPr>
            <w:tcW w:w="198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 xml:space="preserve">2.85 </w:t>
            </w:r>
          </w:p>
        </w:tc>
      </w:tr>
      <w:tr>
        <w:tblPrEx>
          <w:tblCellMar>
            <w:top w:w="0" w:type="dxa"/>
            <w:left w:w="0" w:type="dxa"/>
            <w:bottom w:w="0" w:type="dxa"/>
            <w:right w:w="0" w:type="dxa"/>
          </w:tblCellMar>
        </w:tblPrEx>
        <w:trPr>
          <w:trHeight w:val="439" w:hRule="atLeast"/>
        </w:trPr>
        <w:tc>
          <w:tcPr>
            <w:tcW w:w="117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kern w:val="0"/>
                <w:sz w:val="22"/>
                <w:szCs w:val="22"/>
                <w:highlight w:val="none"/>
                <w:lang w:bidi="ar"/>
              </w:rPr>
            </w:pPr>
            <w:r>
              <w:rPr>
                <w:rFonts w:ascii="Times New Roman" w:hAnsi="Times New Roman"/>
                <w:color w:val="auto"/>
                <w:kern w:val="0"/>
                <w:sz w:val="22"/>
                <w:szCs w:val="22"/>
                <w:highlight w:val="none"/>
                <w:lang w:bidi="ar"/>
              </w:rPr>
              <w:t>6</w:t>
            </w:r>
          </w:p>
        </w:tc>
        <w:tc>
          <w:tcPr>
            <w:tcW w:w="34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龙山公园</w:t>
            </w:r>
          </w:p>
        </w:tc>
        <w:tc>
          <w:tcPr>
            <w:tcW w:w="16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ascii="Times New Roman" w:hAnsi="Times New Roman"/>
                <w:color w:val="auto"/>
                <w:sz w:val="22"/>
                <w:szCs w:val="22"/>
                <w:highlight w:val="none"/>
              </w:rPr>
            </w:pPr>
            <w:r>
              <w:rPr>
                <w:rFonts w:hint="eastAsia" w:ascii="宋体" w:hAnsi="宋体" w:eastAsia="宋体" w:cs="宋体"/>
                <w:i w:val="0"/>
                <w:color w:val="auto"/>
                <w:kern w:val="0"/>
                <w:sz w:val="20"/>
                <w:szCs w:val="20"/>
                <w:u w:val="none"/>
                <w:lang w:val="en-US" w:eastAsia="zh-CN" w:bidi="ar"/>
              </w:rPr>
              <w:t>社区公园</w:t>
            </w:r>
          </w:p>
        </w:tc>
        <w:tc>
          <w:tcPr>
            <w:tcW w:w="198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 xml:space="preserve">2.97 </w:t>
            </w:r>
          </w:p>
        </w:tc>
      </w:tr>
      <w:tr>
        <w:tblPrEx>
          <w:tblCellMar>
            <w:top w:w="0" w:type="dxa"/>
            <w:left w:w="0" w:type="dxa"/>
            <w:bottom w:w="0" w:type="dxa"/>
            <w:right w:w="0" w:type="dxa"/>
          </w:tblCellMar>
        </w:tblPrEx>
        <w:trPr>
          <w:trHeight w:val="439" w:hRule="atLeast"/>
        </w:trPr>
        <w:tc>
          <w:tcPr>
            <w:tcW w:w="117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kern w:val="0"/>
                <w:sz w:val="22"/>
                <w:szCs w:val="22"/>
                <w:highlight w:val="none"/>
                <w:lang w:bidi="ar"/>
              </w:rPr>
            </w:pPr>
            <w:r>
              <w:rPr>
                <w:rFonts w:ascii="Times New Roman" w:hAnsi="Times New Roman"/>
                <w:color w:val="auto"/>
                <w:kern w:val="0"/>
                <w:sz w:val="22"/>
                <w:szCs w:val="22"/>
                <w:highlight w:val="none"/>
                <w:lang w:bidi="ar"/>
              </w:rPr>
              <w:t>7</w:t>
            </w:r>
          </w:p>
        </w:tc>
        <w:tc>
          <w:tcPr>
            <w:tcW w:w="34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龙津西二路小游园</w:t>
            </w:r>
          </w:p>
        </w:tc>
        <w:tc>
          <w:tcPr>
            <w:tcW w:w="16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ascii="Times New Roman" w:hAnsi="Times New Roman"/>
                <w:color w:val="auto"/>
                <w:sz w:val="22"/>
                <w:szCs w:val="22"/>
                <w:highlight w:val="none"/>
              </w:rPr>
            </w:pPr>
            <w:r>
              <w:rPr>
                <w:rFonts w:hint="eastAsia" w:ascii="宋体" w:hAnsi="宋体" w:eastAsia="宋体" w:cs="宋体"/>
                <w:i w:val="0"/>
                <w:color w:val="auto"/>
                <w:kern w:val="0"/>
                <w:sz w:val="22"/>
                <w:szCs w:val="22"/>
                <w:u w:val="none"/>
                <w:lang w:val="en-US" w:eastAsia="zh-CN" w:bidi="ar"/>
              </w:rPr>
              <w:t>游园</w:t>
            </w:r>
          </w:p>
        </w:tc>
        <w:tc>
          <w:tcPr>
            <w:tcW w:w="198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 xml:space="preserve">0.28 </w:t>
            </w:r>
          </w:p>
        </w:tc>
      </w:tr>
      <w:tr>
        <w:tblPrEx>
          <w:tblCellMar>
            <w:top w:w="0" w:type="dxa"/>
            <w:left w:w="0" w:type="dxa"/>
            <w:bottom w:w="0" w:type="dxa"/>
            <w:right w:w="0" w:type="dxa"/>
          </w:tblCellMar>
        </w:tblPrEx>
        <w:trPr>
          <w:trHeight w:val="439" w:hRule="atLeast"/>
        </w:trPr>
        <w:tc>
          <w:tcPr>
            <w:tcW w:w="117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kern w:val="0"/>
                <w:sz w:val="22"/>
                <w:szCs w:val="22"/>
                <w:highlight w:val="none"/>
                <w:lang w:bidi="ar"/>
              </w:rPr>
            </w:pPr>
            <w:r>
              <w:rPr>
                <w:rFonts w:ascii="Times New Roman" w:hAnsi="Times New Roman"/>
                <w:color w:val="auto"/>
                <w:kern w:val="0"/>
                <w:sz w:val="22"/>
                <w:szCs w:val="22"/>
                <w:highlight w:val="none"/>
                <w:lang w:bidi="ar"/>
              </w:rPr>
              <w:t>8</w:t>
            </w:r>
          </w:p>
        </w:tc>
        <w:tc>
          <w:tcPr>
            <w:tcW w:w="348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金山公园</w:t>
            </w:r>
          </w:p>
        </w:tc>
        <w:tc>
          <w:tcPr>
            <w:tcW w:w="16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ascii="Times New Roman" w:hAnsi="Times New Roman"/>
                <w:color w:val="auto"/>
                <w:sz w:val="22"/>
                <w:szCs w:val="22"/>
                <w:highlight w:val="none"/>
              </w:rPr>
            </w:pPr>
            <w:r>
              <w:rPr>
                <w:rFonts w:hint="eastAsia" w:ascii="宋体" w:hAnsi="宋体" w:eastAsia="宋体" w:cs="宋体"/>
                <w:i w:val="0"/>
                <w:color w:val="auto"/>
                <w:kern w:val="0"/>
                <w:sz w:val="20"/>
                <w:szCs w:val="20"/>
                <w:u w:val="none"/>
                <w:lang w:val="en-US" w:eastAsia="zh-CN" w:bidi="ar"/>
              </w:rPr>
              <w:t>社区公园</w:t>
            </w:r>
          </w:p>
        </w:tc>
        <w:tc>
          <w:tcPr>
            <w:tcW w:w="198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 xml:space="preserve">3.14 </w:t>
            </w:r>
          </w:p>
        </w:tc>
      </w:tr>
      <w:tr>
        <w:tblPrEx>
          <w:tblCellMar>
            <w:top w:w="0" w:type="dxa"/>
            <w:left w:w="0" w:type="dxa"/>
            <w:bottom w:w="0" w:type="dxa"/>
            <w:right w:w="0" w:type="dxa"/>
          </w:tblCellMar>
        </w:tblPrEx>
        <w:trPr>
          <w:trHeight w:val="439" w:hRule="atLeast"/>
        </w:trPr>
        <w:tc>
          <w:tcPr>
            <w:tcW w:w="6345"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Times New Roman" w:hAnsi="Times New Roman"/>
                <w:b/>
                <w:color w:val="auto"/>
                <w:sz w:val="22"/>
                <w:szCs w:val="22"/>
                <w:highlight w:val="none"/>
              </w:rPr>
            </w:pPr>
            <w:r>
              <w:rPr>
                <w:rFonts w:ascii="Times New Roman" w:hAnsi="Times New Roman"/>
                <w:b/>
                <w:color w:val="auto"/>
                <w:kern w:val="0"/>
                <w:sz w:val="22"/>
                <w:szCs w:val="22"/>
                <w:highlight w:val="none"/>
                <w:lang w:bidi="ar"/>
              </w:rPr>
              <w:t>合计</w:t>
            </w:r>
          </w:p>
        </w:tc>
        <w:tc>
          <w:tcPr>
            <w:tcW w:w="1989"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b/>
                <w:color w:val="auto"/>
                <w:sz w:val="22"/>
                <w:szCs w:val="22"/>
                <w:highlight w:val="none"/>
              </w:rPr>
            </w:pPr>
            <w:r>
              <w:rPr>
                <w:rFonts w:ascii="Times New Roman" w:hAnsi="Times New Roman"/>
                <w:b/>
                <w:color w:val="auto"/>
                <w:kern w:val="0"/>
                <w:sz w:val="22"/>
                <w:szCs w:val="22"/>
                <w:highlight w:val="none"/>
                <w:lang w:bidi="ar"/>
              </w:rPr>
              <w:t xml:space="preserve">36.75 </w:t>
            </w:r>
          </w:p>
        </w:tc>
      </w:tr>
    </w:tbl>
    <w:p>
      <w:pPr>
        <w:ind w:firstLine="560" w:firstLineChars="200"/>
        <w:rPr>
          <w:rFonts w:ascii="Times New Roman" w:hAnsi="Times New Roman"/>
          <w:color w:val="auto"/>
          <w:sz w:val="28"/>
          <w:szCs w:val="28"/>
          <w:highlight w:val="none"/>
        </w:rPr>
      </w:pPr>
    </w:p>
    <w:p>
      <w:pPr>
        <w:pStyle w:val="2"/>
        <w:ind w:left="0" w:leftChars="0" w:firstLine="562" w:firstLineChars="0"/>
        <w:jc w:val="left"/>
        <w:rPr>
          <w:rFonts w:ascii="Times New Roman" w:hAnsi="Times New Roman" w:eastAsia="宋体"/>
          <w:b/>
          <w:color w:val="auto"/>
          <w:szCs w:val="28"/>
          <w:highlight w:val="none"/>
        </w:rPr>
      </w:pPr>
      <w:r>
        <w:rPr>
          <w:rFonts w:ascii="Times New Roman" w:hAnsi="Times New Roman" w:eastAsia="宋体"/>
          <w:color w:val="auto"/>
          <w:sz w:val="28"/>
          <w:szCs w:val="28"/>
          <w:highlight w:val="none"/>
        </w:rPr>
        <w:t>为满足广东省省级园林县城对于人均公园面积和公园服务半径覆盖率的要求，在现状公园绿地的情况下，综合考虑建成区绿地分布的总体情况，进行公园的新建、改造。</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铜钱山广场和龙舌埔广场现状绿地率分别达到82.75%和100%，满足《城市绿地分类标准》（CJJT 85-2017）中绿地占地比例高于或等于65%的要求，经微改造后可形成城市公园。而海丰县市民广场绿地率仅38.28%，在进行改造时建议通过草坪、灌木等建设适当增加绿地面积，增加面积约为1.63公顷。</w:t>
      </w:r>
    </w:p>
    <w:p>
      <w:pPr>
        <w:pStyle w:val="2"/>
        <w:ind w:left="0" w:leftChars="0" w:firstLine="560" w:firstLineChars="0"/>
        <w:rPr>
          <w:rFonts w:ascii="Times New Roman" w:hAnsi="Times New Roman" w:eastAsia="宋体"/>
          <w:color w:val="auto"/>
          <w:szCs w:val="28"/>
          <w:highlight w:val="none"/>
        </w:rPr>
      </w:pPr>
      <w:r>
        <w:rPr>
          <w:rFonts w:ascii="Times New Roman" w:hAnsi="Times New Roman" w:eastAsia="宋体"/>
          <w:color w:val="auto"/>
          <w:szCs w:val="28"/>
          <w:highlight w:val="none"/>
        </w:rPr>
        <w:t>根据《海丰县城市总体规划》、《海丰县城规划区控制性详细规划》、《海丰县城绿地系统规划》以及现状地块的绿化情况</w:t>
      </w:r>
      <w:r>
        <w:rPr>
          <w:rFonts w:hint="eastAsia" w:ascii="Times New Roman" w:hAnsi="Times New Roman" w:eastAsia="宋体"/>
          <w:color w:val="auto"/>
          <w:szCs w:val="28"/>
          <w:highlight w:val="none"/>
          <w:lang w:val="en-US" w:eastAsia="zh-CN"/>
        </w:rPr>
        <w:t>进行改造</w:t>
      </w:r>
      <w:r>
        <w:rPr>
          <w:rFonts w:ascii="Times New Roman" w:hAnsi="Times New Roman" w:eastAsia="宋体"/>
          <w:color w:val="auto"/>
          <w:szCs w:val="28"/>
          <w:highlight w:val="none"/>
        </w:rPr>
        <w:t>，选择</w:t>
      </w:r>
      <w:r>
        <w:rPr>
          <w:rFonts w:hint="eastAsia" w:ascii="Times New Roman" w:hAnsi="Times New Roman" w:eastAsia="宋体"/>
          <w:color w:val="auto"/>
          <w:szCs w:val="28"/>
          <w:highlight w:val="none"/>
          <w:lang w:val="en-US" w:eastAsia="zh-CN"/>
        </w:rPr>
        <w:t>改造为</w:t>
      </w:r>
      <w:r>
        <w:rPr>
          <w:rFonts w:ascii="Times New Roman" w:hAnsi="Times New Roman" w:eastAsia="宋体"/>
          <w:color w:val="auto"/>
          <w:szCs w:val="28"/>
          <w:highlight w:val="none"/>
        </w:rPr>
        <w:t>公园的地块现状绿化情况相对较好，后期投入相对较低。规划</w:t>
      </w:r>
      <w:r>
        <w:rPr>
          <w:rFonts w:hint="eastAsia" w:ascii="Times New Roman" w:hAnsi="Times New Roman" w:eastAsia="宋体"/>
          <w:color w:val="auto"/>
          <w:szCs w:val="28"/>
          <w:highlight w:val="none"/>
          <w:lang w:val="en-US" w:eastAsia="zh-CN"/>
        </w:rPr>
        <w:t>由现状区域、附属绿地改造成为</w:t>
      </w:r>
      <w:r>
        <w:rPr>
          <w:rFonts w:ascii="Times New Roman" w:hAnsi="Times New Roman" w:eastAsia="宋体"/>
          <w:color w:val="auto"/>
          <w:szCs w:val="28"/>
          <w:highlight w:val="none"/>
        </w:rPr>
        <w:t>公园</w:t>
      </w:r>
      <w:r>
        <w:rPr>
          <w:rFonts w:hint="eastAsia" w:ascii="Times New Roman" w:hAnsi="Times New Roman" w:eastAsia="宋体"/>
          <w:color w:val="auto"/>
          <w:szCs w:val="28"/>
          <w:highlight w:val="none"/>
          <w:lang w:val="en-US" w:eastAsia="zh-CN"/>
        </w:rPr>
        <w:t>的绿地共9</w:t>
      </w:r>
      <w:r>
        <w:rPr>
          <w:rFonts w:hint="eastAsia" w:ascii="Times New Roman" w:hAnsi="Times New Roman" w:eastAsia="宋体"/>
          <w:color w:val="auto"/>
          <w:szCs w:val="28"/>
          <w:highlight w:val="none"/>
        </w:rPr>
        <w:t>个，改造完成后可形成游园1个，为东祥小游园；社区公园6个，分别是龙津公园、城东公园、人民公园、彭厝围公园、广富公园、云岭后山公园；综合公园公园1个，为云岭公园；专类滨水公园1个龙津河公园，总面积30.07公顷。大云岭公园面积193.25公顷，目前一期工程已经基本完工，后续需要进行持续公共服务设施建设。</w:t>
      </w:r>
    </w:p>
    <w:p>
      <w:pPr>
        <w:pStyle w:val="2"/>
        <w:spacing w:after="0"/>
        <w:ind w:firstLine="562"/>
        <w:jc w:val="center"/>
        <w:rPr>
          <w:rFonts w:ascii="Times New Roman" w:hAnsi="Times New Roman" w:eastAsia="宋体"/>
          <w:b/>
          <w:color w:val="auto"/>
          <w:szCs w:val="28"/>
          <w:highlight w:val="none"/>
        </w:rPr>
      </w:pPr>
      <w:r>
        <w:rPr>
          <w:rFonts w:ascii="Times New Roman" w:hAnsi="Times New Roman" w:eastAsia="宋体"/>
          <w:b/>
          <w:color w:val="auto"/>
          <w:szCs w:val="28"/>
          <w:highlight w:val="none"/>
        </w:rPr>
        <w:t>表4-</w:t>
      </w:r>
      <w:r>
        <w:rPr>
          <w:rFonts w:hint="eastAsia" w:ascii="Times New Roman" w:hAnsi="Times New Roman" w:eastAsia="宋体"/>
          <w:b/>
          <w:color w:val="auto"/>
          <w:szCs w:val="28"/>
          <w:highlight w:val="none"/>
        </w:rPr>
        <w:t xml:space="preserve">2-2 </w:t>
      </w:r>
      <w:r>
        <w:rPr>
          <w:rFonts w:ascii="Times New Roman" w:hAnsi="Times New Roman" w:eastAsia="宋体"/>
          <w:b/>
          <w:color w:val="auto"/>
          <w:szCs w:val="28"/>
          <w:highlight w:val="none"/>
        </w:rPr>
        <w:t xml:space="preserve"> 海丰县公园绿地改造明细表</w:t>
      </w:r>
    </w:p>
    <w:tbl>
      <w:tblPr>
        <w:tblStyle w:val="20"/>
        <w:tblW w:w="9980" w:type="dxa"/>
        <w:jc w:val="center"/>
        <w:tblLayout w:type="fixed"/>
        <w:tblCellMar>
          <w:top w:w="0" w:type="dxa"/>
          <w:left w:w="0" w:type="dxa"/>
          <w:bottom w:w="0" w:type="dxa"/>
          <w:right w:w="0" w:type="dxa"/>
        </w:tblCellMar>
      </w:tblPr>
      <w:tblGrid>
        <w:gridCol w:w="645"/>
        <w:gridCol w:w="3555"/>
        <w:gridCol w:w="1290"/>
        <w:gridCol w:w="2040"/>
        <w:gridCol w:w="2450"/>
      </w:tblGrid>
      <w:tr>
        <w:tblPrEx>
          <w:tblCellMar>
            <w:top w:w="0" w:type="dxa"/>
            <w:left w:w="0" w:type="dxa"/>
            <w:bottom w:w="0" w:type="dxa"/>
            <w:right w:w="0" w:type="dxa"/>
          </w:tblCellMar>
        </w:tblPrEx>
        <w:trPr>
          <w:trHeight w:val="559" w:hRule="atLeast"/>
          <w:jc w:val="center"/>
        </w:trPr>
        <w:tc>
          <w:tcPr>
            <w:tcW w:w="6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b/>
                <w:color w:val="auto"/>
                <w:sz w:val="22"/>
                <w:szCs w:val="22"/>
                <w:highlight w:val="none"/>
              </w:rPr>
            </w:pPr>
            <w:r>
              <w:rPr>
                <w:rFonts w:ascii="Times New Roman" w:hAnsi="Times New Roman"/>
                <w:b/>
                <w:color w:val="auto"/>
                <w:kern w:val="0"/>
                <w:sz w:val="22"/>
                <w:szCs w:val="22"/>
                <w:highlight w:val="none"/>
                <w:lang w:bidi="ar"/>
              </w:rPr>
              <w:t>序号</w:t>
            </w:r>
          </w:p>
        </w:tc>
        <w:tc>
          <w:tcPr>
            <w:tcW w:w="355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b/>
                <w:color w:val="auto"/>
                <w:sz w:val="22"/>
                <w:szCs w:val="22"/>
                <w:highlight w:val="none"/>
              </w:rPr>
            </w:pPr>
            <w:r>
              <w:rPr>
                <w:rFonts w:ascii="Times New Roman" w:hAnsi="Times New Roman"/>
                <w:b/>
                <w:color w:val="auto"/>
                <w:kern w:val="0"/>
                <w:sz w:val="22"/>
                <w:szCs w:val="22"/>
                <w:highlight w:val="none"/>
                <w:lang w:bidi="ar"/>
              </w:rPr>
              <w:t>地点</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b/>
                <w:color w:val="auto"/>
                <w:sz w:val="22"/>
                <w:szCs w:val="22"/>
                <w:highlight w:val="none"/>
              </w:rPr>
            </w:pPr>
            <w:r>
              <w:rPr>
                <w:rFonts w:ascii="Times New Roman" w:hAnsi="Times New Roman"/>
                <w:b/>
                <w:color w:val="auto"/>
                <w:kern w:val="0"/>
                <w:sz w:val="22"/>
                <w:szCs w:val="22"/>
                <w:highlight w:val="none"/>
                <w:lang w:bidi="ar"/>
              </w:rPr>
              <w:t>类型</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b/>
                <w:color w:val="auto"/>
                <w:sz w:val="22"/>
                <w:szCs w:val="22"/>
                <w:highlight w:val="none"/>
              </w:rPr>
            </w:pPr>
            <w:r>
              <w:rPr>
                <w:rFonts w:ascii="Times New Roman" w:hAnsi="Times New Roman"/>
                <w:b/>
                <w:color w:val="auto"/>
                <w:kern w:val="0"/>
                <w:sz w:val="22"/>
                <w:szCs w:val="22"/>
                <w:highlight w:val="none"/>
                <w:lang w:bidi="ar"/>
              </w:rPr>
              <w:t>绿地面积（公顷)</w:t>
            </w:r>
          </w:p>
        </w:tc>
        <w:tc>
          <w:tcPr>
            <w:tcW w:w="24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Times New Roman" w:hAnsi="Times New Roman"/>
                <w:b/>
                <w:color w:val="auto"/>
                <w:sz w:val="22"/>
                <w:szCs w:val="22"/>
                <w:highlight w:val="none"/>
              </w:rPr>
            </w:pPr>
            <w:r>
              <w:rPr>
                <w:rFonts w:ascii="Times New Roman" w:hAnsi="Times New Roman"/>
                <w:b/>
                <w:color w:val="auto"/>
                <w:kern w:val="0"/>
                <w:sz w:val="22"/>
                <w:szCs w:val="22"/>
                <w:highlight w:val="none"/>
                <w:lang w:bidi="ar"/>
              </w:rPr>
              <w:t>备注</w:t>
            </w:r>
          </w:p>
        </w:tc>
      </w:tr>
      <w:tr>
        <w:tblPrEx>
          <w:tblCellMar>
            <w:top w:w="0" w:type="dxa"/>
            <w:left w:w="0" w:type="dxa"/>
            <w:bottom w:w="0" w:type="dxa"/>
            <w:right w:w="0" w:type="dxa"/>
          </w:tblCellMar>
        </w:tblPrEx>
        <w:trPr>
          <w:trHeight w:val="439" w:hRule="atLeast"/>
          <w:jc w:val="center"/>
        </w:trPr>
        <w:tc>
          <w:tcPr>
            <w:tcW w:w="6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1</w:t>
            </w:r>
          </w:p>
        </w:tc>
        <w:tc>
          <w:tcPr>
            <w:tcW w:w="355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龙舌埔公园</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ascii="Times New Roman" w:hAnsi="Times New Roman"/>
                <w:color w:val="auto"/>
                <w:sz w:val="22"/>
                <w:szCs w:val="22"/>
                <w:highlight w:val="none"/>
              </w:rPr>
            </w:pPr>
            <w:r>
              <w:rPr>
                <w:rFonts w:hint="eastAsia" w:ascii="宋体" w:hAnsi="宋体" w:eastAsia="宋体" w:cs="宋体"/>
                <w:i w:val="0"/>
                <w:color w:val="auto"/>
                <w:kern w:val="0"/>
                <w:sz w:val="22"/>
                <w:szCs w:val="22"/>
                <w:u w:val="none"/>
                <w:lang w:val="en-US" w:eastAsia="zh-CN" w:bidi="ar"/>
              </w:rPr>
              <w:t>游园</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 xml:space="preserve">0.83 </w:t>
            </w:r>
          </w:p>
        </w:tc>
        <w:tc>
          <w:tcPr>
            <w:tcW w:w="24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hint="eastAsia" w:ascii="Times New Roman" w:hAnsi="Times New Roman"/>
                <w:color w:val="auto"/>
                <w:kern w:val="0"/>
                <w:sz w:val="22"/>
                <w:szCs w:val="22"/>
                <w:highlight w:val="none"/>
                <w:lang w:val="en-US" w:eastAsia="zh-CN" w:bidi="ar"/>
              </w:rPr>
              <w:t>现状广场</w:t>
            </w:r>
            <w:r>
              <w:rPr>
                <w:rFonts w:ascii="Times New Roman" w:hAnsi="Times New Roman"/>
                <w:color w:val="auto"/>
                <w:kern w:val="0"/>
                <w:sz w:val="22"/>
                <w:szCs w:val="22"/>
                <w:highlight w:val="none"/>
                <w:lang w:bidi="ar"/>
              </w:rPr>
              <w:t>改造</w:t>
            </w:r>
            <w:r>
              <w:rPr>
                <w:rFonts w:hint="eastAsia" w:ascii="Times New Roman" w:hAnsi="Times New Roman"/>
                <w:color w:val="auto"/>
                <w:kern w:val="0"/>
                <w:sz w:val="22"/>
                <w:szCs w:val="22"/>
                <w:highlight w:val="none"/>
                <w:lang w:val="en-US" w:eastAsia="zh-CN" w:bidi="ar"/>
              </w:rPr>
              <w:t>为公园</w:t>
            </w:r>
            <w:r>
              <w:rPr>
                <w:rFonts w:ascii="Times New Roman" w:hAnsi="Times New Roman"/>
                <w:color w:val="auto"/>
                <w:kern w:val="0"/>
                <w:sz w:val="22"/>
                <w:szCs w:val="22"/>
                <w:highlight w:val="none"/>
                <w:lang w:bidi="ar"/>
              </w:rPr>
              <w:t xml:space="preserve">        </w:t>
            </w:r>
          </w:p>
        </w:tc>
      </w:tr>
      <w:tr>
        <w:tblPrEx>
          <w:tblCellMar>
            <w:top w:w="0" w:type="dxa"/>
            <w:left w:w="0" w:type="dxa"/>
            <w:bottom w:w="0" w:type="dxa"/>
            <w:right w:w="0" w:type="dxa"/>
          </w:tblCellMar>
        </w:tblPrEx>
        <w:trPr>
          <w:trHeight w:val="439" w:hRule="atLeast"/>
          <w:jc w:val="center"/>
        </w:trPr>
        <w:tc>
          <w:tcPr>
            <w:tcW w:w="6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2</w:t>
            </w:r>
          </w:p>
        </w:tc>
        <w:tc>
          <w:tcPr>
            <w:tcW w:w="355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铜钱山公园</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ascii="Times New Roman" w:hAnsi="Times New Roman"/>
                <w:color w:val="auto"/>
                <w:sz w:val="22"/>
                <w:szCs w:val="22"/>
                <w:highlight w:val="none"/>
              </w:rPr>
            </w:pPr>
            <w:r>
              <w:rPr>
                <w:rFonts w:hint="eastAsia" w:ascii="宋体" w:hAnsi="宋体" w:eastAsia="宋体" w:cs="宋体"/>
                <w:i w:val="0"/>
                <w:color w:val="auto"/>
                <w:kern w:val="0"/>
                <w:sz w:val="22"/>
                <w:szCs w:val="22"/>
                <w:u w:val="none"/>
                <w:lang w:val="en-US" w:eastAsia="zh-CN" w:bidi="ar"/>
              </w:rPr>
              <w:t>游园</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 xml:space="preserve">0.96 </w:t>
            </w:r>
          </w:p>
        </w:tc>
        <w:tc>
          <w:tcPr>
            <w:tcW w:w="24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hint="eastAsia" w:ascii="Times New Roman" w:hAnsi="Times New Roman"/>
                <w:color w:val="auto"/>
                <w:kern w:val="0"/>
                <w:sz w:val="22"/>
                <w:szCs w:val="22"/>
                <w:highlight w:val="none"/>
                <w:lang w:val="en-US" w:eastAsia="zh-CN" w:bidi="ar"/>
              </w:rPr>
              <w:t>现状广场</w:t>
            </w:r>
            <w:r>
              <w:rPr>
                <w:rFonts w:ascii="Times New Roman" w:hAnsi="Times New Roman"/>
                <w:color w:val="auto"/>
                <w:kern w:val="0"/>
                <w:sz w:val="22"/>
                <w:szCs w:val="22"/>
                <w:highlight w:val="none"/>
                <w:lang w:bidi="ar"/>
              </w:rPr>
              <w:t>改造</w:t>
            </w:r>
            <w:r>
              <w:rPr>
                <w:rFonts w:hint="eastAsia" w:ascii="Times New Roman" w:hAnsi="Times New Roman"/>
                <w:color w:val="auto"/>
                <w:kern w:val="0"/>
                <w:sz w:val="22"/>
                <w:szCs w:val="22"/>
                <w:highlight w:val="none"/>
                <w:lang w:val="en-US" w:eastAsia="zh-CN" w:bidi="ar"/>
              </w:rPr>
              <w:t>为公园</w:t>
            </w:r>
            <w:r>
              <w:rPr>
                <w:rFonts w:ascii="Times New Roman" w:hAnsi="Times New Roman"/>
                <w:color w:val="auto"/>
                <w:kern w:val="0"/>
                <w:sz w:val="22"/>
                <w:szCs w:val="22"/>
                <w:highlight w:val="none"/>
                <w:lang w:bidi="ar"/>
              </w:rPr>
              <w:t xml:space="preserve"> </w:t>
            </w:r>
          </w:p>
        </w:tc>
      </w:tr>
      <w:tr>
        <w:tblPrEx>
          <w:tblCellMar>
            <w:top w:w="0" w:type="dxa"/>
            <w:left w:w="0" w:type="dxa"/>
            <w:bottom w:w="0" w:type="dxa"/>
            <w:right w:w="0" w:type="dxa"/>
          </w:tblCellMar>
        </w:tblPrEx>
        <w:trPr>
          <w:trHeight w:val="439" w:hRule="atLeast"/>
          <w:jc w:val="center"/>
        </w:trPr>
        <w:tc>
          <w:tcPr>
            <w:tcW w:w="6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3</w:t>
            </w:r>
          </w:p>
        </w:tc>
        <w:tc>
          <w:tcPr>
            <w:tcW w:w="355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海丰县市民公园</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ascii="Times New Roman" w:hAnsi="Times New Roman"/>
                <w:color w:val="auto"/>
                <w:sz w:val="22"/>
                <w:szCs w:val="22"/>
                <w:highlight w:val="none"/>
              </w:rPr>
            </w:pPr>
            <w:r>
              <w:rPr>
                <w:rFonts w:hint="eastAsia" w:ascii="宋体" w:hAnsi="宋体" w:eastAsia="宋体" w:cs="宋体"/>
                <w:i w:val="0"/>
                <w:color w:val="auto"/>
                <w:kern w:val="0"/>
                <w:sz w:val="22"/>
                <w:szCs w:val="22"/>
                <w:u w:val="none"/>
                <w:lang w:val="en-US" w:eastAsia="zh-CN" w:bidi="ar"/>
              </w:rPr>
              <w:t>社区公园</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 xml:space="preserve">5.84 </w:t>
            </w:r>
          </w:p>
        </w:tc>
        <w:tc>
          <w:tcPr>
            <w:tcW w:w="24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hint="eastAsia" w:ascii="Times New Roman" w:hAnsi="Times New Roman"/>
                <w:color w:val="auto"/>
                <w:kern w:val="0"/>
                <w:sz w:val="22"/>
                <w:szCs w:val="22"/>
                <w:highlight w:val="none"/>
                <w:lang w:val="en-US" w:eastAsia="zh-CN" w:bidi="ar"/>
              </w:rPr>
              <w:t>现状广场</w:t>
            </w:r>
            <w:r>
              <w:rPr>
                <w:rFonts w:ascii="Times New Roman" w:hAnsi="Times New Roman"/>
                <w:color w:val="auto"/>
                <w:kern w:val="0"/>
                <w:sz w:val="22"/>
                <w:szCs w:val="22"/>
                <w:highlight w:val="none"/>
                <w:lang w:bidi="ar"/>
              </w:rPr>
              <w:t>改造</w:t>
            </w:r>
            <w:r>
              <w:rPr>
                <w:rFonts w:hint="eastAsia" w:ascii="Times New Roman" w:hAnsi="Times New Roman"/>
                <w:color w:val="auto"/>
                <w:kern w:val="0"/>
                <w:sz w:val="22"/>
                <w:szCs w:val="22"/>
                <w:highlight w:val="none"/>
                <w:lang w:val="en-US" w:eastAsia="zh-CN" w:bidi="ar"/>
              </w:rPr>
              <w:t>为公园</w:t>
            </w:r>
          </w:p>
        </w:tc>
      </w:tr>
      <w:tr>
        <w:tblPrEx>
          <w:tblCellMar>
            <w:top w:w="0" w:type="dxa"/>
            <w:left w:w="0" w:type="dxa"/>
            <w:bottom w:w="0" w:type="dxa"/>
            <w:right w:w="0" w:type="dxa"/>
          </w:tblCellMar>
        </w:tblPrEx>
        <w:trPr>
          <w:trHeight w:val="439" w:hRule="atLeast"/>
          <w:jc w:val="center"/>
        </w:trPr>
        <w:tc>
          <w:tcPr>
            <w:tcW w:w="5490"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ind w:firstLine="2429" w:firstLineChars="1100"/>
              <w:jc w:val="center"/>
              <w:textAlignment w:val="center"/>
              <w:rPr>
                <w:rFonts w:ascii="Times New Roman" w:hAnsi="Times New Roman"/>
                <w:color w:val="auto"/>
                <w:sz w:val="22"/>
                <w:szCs w:val="22"/>
                <w:highlight w:val="none"/>
              </w:rPr>
            </w:pPr>
            <w:r>
              <w:rPr>
                <w:rFonts w:ascii="Times New Roman" w:hAnsi="Times New Roman"/>
                <w:b/>
                <w:color w:val="auto"/>
                <w:kern w:val="0"/>
                <w:sz w:val="22"/>
                <w:szCs w:val="22"/>
                <w:highlight w:val="none"/>
                <w:lang w:bidi="ar"/>
              </w:rPr>
              <w:t>合计</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b/>
                <w:color w:val="auto"/>
                <w:kern w:val="0"/>
                <w:sz w:val="22"/>
                <w:szCs w:val="22"/>
                <w:highlight w:val="none"/>
                <w:lang w:bidi="ar"/>
              </w:rPr>
              <w:t xml:space="preserve">7.62 </w:t>
            </w:r>
          </w:p>
        </w:tc>
        <w:tc>
          <w:tcPr>
            <w:tcW w:w="24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Times New Roman" w:hAnsi="Times New Roman"/>
                <w:color w:val="auto"/>
                <w:sz w:val="22"/>
                <w:szCs w:val="22"/>
                <w:highlight w:val="none"/>
              </w:rPr>
            </w:pPr>
          </w:p>
        </w:tc>
      </w:tr>
      <w:tr>
        <w:tblPrEx>
          <w:tblCellMar>
            <w:top w:w="0" w:type="dxa"/>
            <w:left w:w="0" w:type="dxa"/>
            <w:bottom w:w="0" w:type="dxa"/>
            <w:right w:w="0" w:type="dxa"/>
          </w:tblCellMar>
        </w:tblPrEx>
        <w:trPr>
          <w:trHeight w:val="439" w:hRule="atLeast"/>
          <w:jc w:val="center"/>
        </w:trPr>
        <w:tc>
          <w:tcPr>
            <w:tcW w:w="6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1</w:t>
            </w:r>
          </w:p>
        </w:tc>
        <w:tc>
          <w:tcPr>
            <w:tcW w:w="355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东祥小游园</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ascii="Times New Roman" w:hAnsi="Times New Roman"/>
                <w:color w:val="auto"/>
                <w:sz w:val="22"/>
                <w:szCs w:val="22"/>
                <w:highlight w:val="none"/>
              </w:rPr>
            </w:pPr>
            <w:r>
              <w:rPr>
                <w:rFonts w:hint="eastAsia" w:ascii="宋体" w:hAnsi="宋体" w:eastAsia="宋体" w:cs="宋体"/>
                <w:i w:val="0"/>
                <w:color w:val="auto"/>
                <w:kern w:val="0"/>
                <w:sz w:val="24"/>
                <w:szCs w:val="24"/>
                <w:u w:val="none"/>
                <w:lang w:val="en-US" w:eastAsia="zh-CN" w:bidi="ar"/>
              </w:rPr>
              <w:t>游园</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 xml:space="preserve">0.28 </w:t>
            </w:r>
          </w:p>
        </w:tc>
        <w:tc>
          <w:tcPr>
            <w:tcW w:w="24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hint="eastAsia" w:ascii="Times New Roman" w:hAnsi="Times New Roman"/>
                <w:color w:val="auto"/>
                <w:kern w:val="0"/>
                <w:sz w:val="22"/>
                <w:szCs w:val="22"/>
                <w:highlight w:val="none"/>
                <w:lang w:val="en-US" w:eastAsia="zh-CN" w:bidi="ar"/>
              </w:rPr>
              <w:t>现状附属绿地</w:t>
            </w:r>
            <w:r>
              <w:rPr>
                <w:rFonts w:ascii="Times New Roman" w:hAnsi="Times New Roman"/>
                <w:color w:val="auto"/>
                <w:kern w:val="0"/>
                <w:sz w:val="22"/>
                <w:szCs w:val="22"/>
                <w:highlight w:val="none"/>
                <w:lang w:bidi="ar"/>
              </w:rPr>
              <w:t>改造</w:t>
            </w:r>
            <w:r>
              <w:rPr>
                <w:rFonts w:hint="eastAsia" w:ascii="Times New Roman" w:hAnsi="Times New Roman"/>
                <w:color w:val="auto"/>
                <w:kern w:val="0"/>
                <w:sz w:val="22"/>
                <w:szCs w:val="22"/>
                <w:highlight w:val="none"/>
                <w:lang w:val="en-US" w:eastAsia="zh-CN" w:bidi="ar"/>
              </w:rPr>
              <w:t>为公园</w:t>
            </w:r>
          </w:p>
        </w:tc>
      </w:tr>
      <w:tr>
        <w:tblPrEx>
          <w:tblCellMar>
            <w:top w:w="0" w:type="dxa"/>
            <w:left w:w="0" w:type="dxa"/>
            <w:bottom w:w="0" w:type="dxa"/>
            <w:right w:w="0" w:type="dxa"/>
          </w:tblCellMar>
        </w:tblPrEx>
        <w:trPr>
          <w:trHeight w:val="439" w:hRule="atLeast"/>
          <w:jc w:val="center"/>
        </w:trPr>
        <w:tc>
          <w:tcPr>
            <w:tcW w:w="6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2</w:t>
            </w:r>
          </w:p>
        </w:tc>
        <w:tc>
          <w:tcPr>
            <w:tcW w:w="355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龙津公园</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ascii="Times New Roman" w:hAnsi="Times New Roman"/>
                <w:color w:val="auto"/>
                <w:sz w:val="22"/>
                <w:szCs w:val="22"/>
                <w:highlight w:val="none"/>
              </w:rPr>
            </w:pPr>
            <w:r>
              <w:rPr>
                <w:rFonts w:hint="eastAsia" w:ascii="宋体" w:hAnsi="宋体" w:eastAsia="宋体" w:cs="宋体"/>
                <w:i w:val="0"/>
                <w:color w:val="auto"/>
                <w:kern w:val="0"/>
                <w:sz w:val="24"/>
                <w:szCs w:val="24"/>
                <w:u w:val="none"/>
                <w:lang w:val="en-US" w:eastAsia="zh-CN" w:bidi="ar"/>
              </w:rPr>
              <w:t>社区公园</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4"/>
                <w:highlight w:val="none"/>
                <w:lang w:bidi="ar"/>
              </w:rPr>
              <w:t xml:space="preserve">1.95 </w:t>
            </w:r>
          </w:p>
        </w:tc>
        <w:tc>
          <w:tcPr>
            <w:tcW w:w="24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hint="eastAsia" w:ascii="Times New Roman" w:hAnsi="Times New Roman"/>
                <w:color w:val="auto"/>
                <w:kern w:val="0"/>
                <w:sz w:val="22"/>
                <w:szCs w:val="22"/>
                <w:highlight w:val="none"/>
                <w:lang w:val="en-US" w:eastAsia="zh-CN" w:bidi="ar"/>
              </w:rPr>
              <w:t>现状区域绿地</w:t>
            </w:r>
            <w:r>
              <w:rPr>
                <w:rFonts w:ascii="Times New Roman" w:hAnsi="Times New Roman"/>
                <w:color w:val="auto"/>
                <w:kern w:val="0"/>
                <w:sz w:val="22"/>
                <w:szCs w:val="22"/>
                <w:highlight w:val="none"/>
                <w:lang w:bidi="ar"/>
              </w:rPr>
              <w:t>改造</w:t>
            </w:r>
            <w:r>
              <w:rPr>
                <w:rFonts w:hint="eastAsia" w:ascii="Times New Roman" w:hAnsi="Times New Roman"/>
                <w:color w:val="auto"/>
                <w:kern w:val="0"/>
                <w:sz w:val="22"/>
                <w:szCs w:val="22"/>
                <w:highlight w:val="none"/>
                <w:lang w:val="en-US" w:eastAsia="zh-CN" w:bidi="ar"/>
              </w:rPr>
              <w:t>为公园</w:t>
            </w:r>
          </w:p>
        </w:tc>
      </w:tr>
      <w:tr>
        <w:tblPrEx>
          <w:tblCellMar>
            <w:top w:w="0" w:type="dxa"/>
            <w:left w:w="0" w:type="dxa"/>
            <w:bottom w:w="0" w:type="dxa"/>
            <w:right w:w="0" w:type="dxa"/>
          </w:tblCellMar>
        </w:tblPrEx>
        <w:trPr>
          <w:trHeight w:val="439" w:hRule="atLeast"/>
          <w:jc w:val="center"/>
        </w:trPr>
        <w:tc>
          <w:tcPr>
            <w:tcW w:w="6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3</w:t>
            </w:r>
          </w:p>
        </w:tc>
        <w:tc>
          <w:tcPr>
            <w:tcW w:w="355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yellow"/>
              </w:rPr>
            </w:pPr>
            <w:r>
              <w:rPr>
                <w:rFonts w:hint="eastAsia"/>
                <w:color w:val="auto"/>
              </w:rPr>
              <w:t>城东公园</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olor w:val="auto"/>
                <w:sz w:val="22"/>
                <w:szCs w:val="22"/>
                <w:highlight w:val="yellow"/>
                <w:lang w:val="en-US" w:eastAsia="zh-CN"/>
              </w:rPr>
            </w:pPr>
            <w:r>
              <w:rPr>
                <w:rFonts w:hint="eastAsia" w:ascii="宋体" w:hAnsi="宋体" w:eastAsia="宋体" w:cs="宋体"/>
                <w:i w:val="0"/>
                <w:color w:val="auto"/>
                <w:kern w:val="0"/>
                <w:sz w:val="24"/>
                <w:szCs w:val="24"/>
                <w:u w:val="none"/>
                <w:lang w:val="en-US" w:eastAsia="zh-CN" w:bidi="ar"/>
              </w:rPr>
              <w:t>社区公园</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hint="default" w:ascii="Times New Roman" w:hAnsi="Times New Roman" w:eastAsia="宋体"/>
                <w:color w:val="auto"/>
                <w:sz w:val="22"/>
                <w:szCs w:val="22"/>
                <w:highlight w:val="none"/>
                <w:lang w:val="en-US" w:eastAsia="zh-CN"/>
              </w:rPr>
            </w:pPr>
            <w:r>
              <w:rPr>
                <w:rFonts w:hint="eastAsia" w:ascii="Times New Roman" w:hAnsi="Times New Roman"/>
                <w:color w:val="auto"/>
                <w:kern w:val="0"/>
                <w:sz w:val="22"/>
                <w:szCs w:val="22"/>
                <w:highlight w:val="none"/>
                <w:lang w:val="en-US" w:eastAsia="zh-CN" w:bidi="ar"/>
              </w:rPr>
              <w:t>3.00</w:t>
            </w:r>
          </w:p>
        </w:tc>
        <w:tc>
          <w:tcPr>
            <w:tcW w:w="24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hint="eastAsia" w:ascii="Times New Roman" w:hAnsi="Times New Roman"/>
                <w:color w:val="auto"/>
                <w:kern w:val="0"/>
                <w:sz w:val="22"/>
                <w:szCs w:val="22"/>
                <w:highlight w:val="none"/>
                <w:lang w:val="en-US" w:eastAsia="zh-CN" w:bidi="ar"/>
              </w:rPr>
              <w:t>现状附属绿地</w:t>
            </w:r>
            <w:r>
              <w:rPr>
                <w:rFonts w:ascii="Times New Roman" w:hAnsi="Times New Roman"/>
                <w:color w:val="auto"/>
                <w:kern w:val="0"/>
                <w:sz w:val="22"/>
                <w:szCs w:val="22"/>
                <w:highlight w:val="none"/>
                <w:lang w:bidi="ar"/>
              </w:rPr>
              <w:t>改造</w:t>
            </w:r>
            <w:r>
              <w:rPr>
                <w:rFonts w:hint="eastAsia" w:ascii="Times New Roman" w:hAnsi="Times New Roman"/>
                <w:color w:val="auto"/>
                <w:kern w:val="0"/>
                <w:sz w:val="22"/>
                <w:szCs w:val="22"/>
                <w:highlight w:val="none"/>
                <w:lang w:val="en-US" w:eastAsia="zh-CN" w:bidi="ar"/>
              </w:rPr>
              <w:t>为公园</w:t>
            </w:r>
          </w:p>
        </w:tc>
      </w:tr>
      <w:tr>
        <w:tblPrEx>
          <w:tblCellMar>
            <w:top w:w="0" w:type="dxa"/>
            <w:left w:w="0" w:type="dxa"/>
            <w:bottom w:w="0" w:type="dxa"/>
            <w:right w:w="0" w:type="dxa"/>
          </w:tblCellMar>
        </w:tblPrEx>
        <w:trPr>
          <w:trHeight w:val="439" w:hRule="atLeast"/>
          <w:jc w:val="center"/>
        </w:trPr>
        <w:tc>
          <w:tcPr>
            <w:tcW w:w="6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4</w:t>
            </w:r>
          </w:p>
        </w:tc>
        <w:tc>
          <w:tcPr>
            <w:tcW w:w="355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人民公园</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ascii="Times New Roman" w:hAnsi="Times New Roman"/>
                <w:color w:val="auto"/>
                <w:sz w:val="22"/>
                <w:szCs w:val="22"/>
                <w:highlight w:val="none"/>
              </w:rPr>
            </w:pPr>
            <w:r>
              <w:rPr>
                <w:rFonts w:hint="eastAsia" w:ascii="宋体" w:hAnsi="宋体" w:eastAsia="宋体" w:cs="宋体"/>
                <w:i w:val="0"/>
                <w:color w:val="auto"/>
                <w:kern w:val="0"/>
                <w:sz w:val="24"/>
                <w:szCs w:val="24"/>
                <w:u w:val="none"/>
                <w:lang w:val="en-US" w:eastAsia="zh-CN" w:bidi="ar"/>
              </w:rPr>
              <w:t>社区公园</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 xml:space="preserve">3.48 </w:t>
            </w:r>
          </w:p>
        </w:tc>
        <w:tc>
          <w:tcPr>
            <w:tcW w:w="24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hint="eastAsia" w:ascii="Times New Roman" w:hAnsi="Times New Roman"/>
                <w:color w:val="auto"/>
                <w:kern w:val="0"/>
                <w:sz w:val="22"/>
                <w:szCs w:val="22"/>
                <w:highlight w:val="none"/>
                <w:lang w:val="en-US" w:eastAsia="zh-CN" w:bidi="ar"/>
              </w:rPr>
              <w:t>现状区域绿地</w:t>
            </w:r>
            <w:r>
              <w:rPr>
                <w:rFonts w:ascii="Times New Roman" w:hAnsi="Times New Roman"/>
                <w:color w:val="auto"/>
                <w:kern w:val="0"/>
                <w:sz w:val="22"/>
                <w:szCs w:val="22"/>
                <w:highlight w:val="none"/>
                <w:lang w:bidi="ar"/>
              </w:rPr>
              <w:t>改造</w:t>
            </w:r>
            <w:r>
              <w:rPr>
                <w:rFonts w:hint="eastAsia" w:ascii="Times New Roman" w:hAnsi="Times New Roman"/>
                <w:color w:val="auto"/>
                <w:kern w:val="0"/>
                <w:sz w:val="22"/>
                <w:szCs w:val="22"/>
                <w:highlight w:val="none"/>
                <w:lang w:val="en-US" w:eastAsia="zh-CN" w:bidi="ar"/>
              </w:rPr>
              <w:t>为公园</w:t>
            </w:r>
          </w:p>
        </w:tc>
      </w:tr>
      <w:tr>
        <w:tblPrEx>
          <w:tblCellMar>
            <w:top w:w="0" w:type="dxa"/>
            <w:left w:w="0" w:type="dxa"/>
            <w:bottom w:w="0" w:type="dxa"/>
            <w:right w:w="0" w:type="dxa"/>
          </w:tblCellMar>
        </w:tblPrEx>
        <w:trPr>
          <w:trHeight w:val="439" w:hRule="atLeast"/>
          <w:jc w:val="center"/>
        </w:trPr>
        <w:tc>
          <w:tcPr>
            <w:tcW w:w="6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Times New Roman" w:hAnsi="Times New Roman"/>
                <w:color w:val="auto"/>
                <w:sz w:val="22"/>
                <w:szCs w:val="22"/>
                <w:highlight w:val="none"/>
              </w:rPr>
            </w:pPr>
            <w:r>
              <w:rPr>
                <w:rFonts w:ascii="Times New Roman" w:hAnsi="Times New Roman"/>
                <w:color w:val="auto"/>
                <w:sz w:val="22"/>
                <w:szCs w:val="22"/>
                <w:highlight w:val="none"/>
              </w:rPr>
              <w:t>5</w:t>
            </w:r>
          </w:p>
        </w:tc>
        <w:tc>
          <w:tcPr>
            <w:tcW w:w="355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b/>
                <w:color w:val="auto"/>
                <w:sz w:val="22"/>
                <w:szCs w:val="22"/>
                <w:highlight w:val="none"/>
              </w:rPr>
            </w:pPr>
            <w:r>
              <w:rPr>
                <w:rFonts w:ascii="Times New Roman" w:hAnsi="Times New Roman"/>
                <w:color w:val="auto"/>
                <w:kern w:val="0"/>
                <w:sz w:val="22"/>
                <w:szCs w:val="22"/>
                <w:highlight w:val="none"/>
                <w:lang w:bidi="ar"/>
              </w:rPr>
              <w:t>彭厝围公园</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ascii="Times New Roman" w:hAnsi="Times New Roman"/>
                <w:b/>
                <w:color w:val="auto"/>
                <w:sz w:val="22"/>
                <w:szCs w:val="22"/>
                <w:highlight w:val="none"/>
              </w:rPr>
            </w:pPr>
            <w:r>
              <w:rPr>
                <w:rFonts w:hint="eastAsia" w:ascii="宋体" w:hAnsi="宋体" w:eastAsia="宋体" w:cs="宋体"/>
                <w:i w:val="0"/>
                <w:color w:val="auto"/>
                <w:kern w:val="0"/>
                <w:sz w:val="24"/>
                <w:szCs w:val="24"/>
                <w:u w:val="none"/>
                <w:lang w:val="en-US" w:eastAsia="zh-CN" w:bidi="ar"/>
              </w:rPr>
              <w:t>社区公园</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b/>
                <w:color w:val="auto"/>
                <w:sz w:val="22"/>
                <w:szCs w:val="22"/>
                <w:highlight w:val="none"/>
              </w:rPr>
            </w:pPr>
            <w:r>
              <w:rPr>
                <w:rFonts w:ascii="Times New Roman" w:hAnsi="Times New Roman"/>
                <w:color w:val="auto"/>
                <w:kern w:val="0"/>
                <w:sz w:val="24"/>
                <w:highlight w:val="none"/>
                <w:lang w:bidi="ar"/>
              </w:rPr>
              <w:t xml:space="preserve">2.76 </w:t>
            </w:r>
          </w:p>
        </w:tc>
        <w:tc>
          <w:tcPr>
            <w:tcW w:w="24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hint="eastAsia" w:ascii="Times New Roman" w:hAnsi="Times New Roman"/>
                <w:color w:val="auto"/>
                <w:kern w:val="0"/>
                <w:sz w:val="22"/>
                <w:szCs w:val="22"/>
                <w:highlight w:val="none"/>
                <w:lang w:val="en-US" w:eastAsia="zh-CN" w:bidi="ar"/>
              </w:rPr>
              <w:t>现状附属绿地</w:t>
            </w:r>
            <w:r>
              <w:rPr>
                <w:rFonts w:ascii="Times New Roman" w:hAnsi="Times New Roman"/>
                <w:color w:val="auto"/>
                <w:kern w:val="0"/>
                <w:sz w:val="22"/>
                <w:szCs w:val="22"/>
                <w:highlight w:val="none"/>
                <w:lang w:bidi="ar"/>
              </w:rPr>
              <w:t>改造</w:t>
            </w:r>
            <w:r>
              <w:rPr>
                <w:rFonts w:hint="eastAsia" w:ascii="Times New Roman" w:hAnsi="Times New Roman"/>
                <w:color w:val="auto"/>
                <w:kern w:val="0"/>
                <w:sz w:val="22"/>
                <w:szCs w:val="22"/>
                <w:highlight w:val="none"/>
                <w:lang w:val="en-US" w:eastAsia="zh-CN" w:bidi="ar"/>
              </w:rPr>
              <w:t>为公园</w:t>
            </w:r>
          </w:p>
        </w:tc>
      </w:tr>
      <w:tr>
        <w:tblPrEx>
          <w:tblCellMar>
            <w:top w:w="0" w:type="dxa"/>
            <w:left w:w="0" w:type="dxa"/>
            <w:bottom w:w="0" w:type="dxa"/>
            <w:right w:w="0" w:type="dxa"/>
          </w:tblCellMar>
        </w:tblPrEx>
        <w:trPr>
          <w:trHeight w:val="439" w:hRule="atLeast"/>
          <w:jc w:val="center"/>
        </w:trPr>
        <w:tc>
          <w:tcPr>
            <w:tcW w:w="6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Times New Roman" w:hAnsi="Times New Roman"/>
                <w:color w:val="auto"/>
                <w:sz w:val="22"/>
                <w:szCs w:val="22"/>
                <w:highlight w:val="none"/>
              </w:rPr>
            </w:pPr>
            <w:r>
              <w:rPr>
                <w:rFonts w:ascii="Times New Roman" w:hAnsi="Times New Roman"/>
                <w:color w:val="auto"/>
                <w:sz w:val="22"/>
                <w:szCs w:val="22"/>
                <w:highlight w:val="none"/>
              </w:rPr>
              <w:t>6</w:t>
            </w:r>
          </w:p>
        </w:tc>
        <w:tc>
          <w:tcPr>
            <w:tcW w:w="355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广富公园</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ascii="Times New Roman" w:hAnsi="Times New Roman"/>
                <w:color w:val="auto"/>
                <w:sz w:val="22"/>
                <w:szCs w:val="22"/>
                <w:highlight w:val="none"/>
              </w:rPr>
            </w:pPr>
            <w:r>
              <w:rPr>
                <w:rFonts w:hint="eastAsia" w:ascii="宋体" w:hAnsi="宋体" w:eastAsia="宋体" w:cs="宋体"/>
                <w:i w:val="0"/>
                <w:color w:val="auto"/>
                <w:kern w:val="0"/>
                <w:sz w:val="24"/>
                <w:szCs w:val="24"/>
                <w:u w:val="none"/>
                <w:lang w:val="en-US" w:eastAsia="zh-CN" w:bidi="ar"/>
              </w:rPr>
              <w:t>社区公园</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 xml:space="preserve">3.01 </w:t>
            </w:r>
          </w:p>
        </w:tc>
        <w:tc>
          <w:tcPr>
            <w:tcW w:w="24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hint="eastAsia" w:ascii="Times New Roman" w:hAnsi="Times New Roman"/>
                <w:color w:val="auto"/>
                <w:kern w:val="0"/>
                <w:sz w:val="22"/>
                <w:szCs w:val="22"/>
                <w:highlight w:val="none"/>
                <w:lang w:val="en-US" w:eastAsia="zh-CN" w:bidi="ar"/>
              </w:rPr>
              <w:t>现状附属绿地</w:t>
            </w:r>
            <w:r>
              <w:rPr>
                <w:rFonts w:ascii="Times New Roman" w:hAnsi="Times New Roman"/>
                <w:color w:val="auto"/>
                <w:kern w:val="0"/>
                <w:sz w:val="22"/>
                <w:szCs w:val="22"/>
                <w:highlight w:val="none"/>
                <w:lang w:bidi="ar"/>
              </w:rPr>
              <w:t>改造</w:t>
            </w:r>
            <w:r>
              <w:rPr>
                <w:rFonts w:hint="eastAsia" w:ascii="Times New Roman" w:hAnsi="Times New Roman"/>
                <w:color w:val="auto"/>
                <w:kern w:val="0"/>
                <w:sz w:val="22"/>
                <w:szCs w:val="22"/>
                <w:highlight w:val="none"/>
                <w:lang w:val="en-US" w:eastAsia="zh-CN" w:bidi="ar"/>
              </w:rPr>
              <w:t>为公园</w:t>
            </w:r>
          </w:p>
        </w:tc>
      </w:tr>
      <w:tr>
        <w:tblPrEx>
          <w:tblCellMar>
            <w:top w:w="0" w:type="dxa"/>
            <w:left w:w="0" w:type="dxa"/>
            <w:bottom w:w="0" w:type="dxa"/>
            <w:right w:w="0" w:type="dxa"/>
          </w:tblCellMar>
        </w:tblPrEx>
        <w:trPr>
          <w:trHeight w:val="439" w:hRule="atLeast"/>
          <w:jc w:val="center"/>
        </w:trPr>
        <w:tc>
          <w:tcPr>
            <w:tcW w:w="6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7</w:t>
            </w:r>
          </w:p>
        </w:tc>
        <w:tc>
          <w:tcPr>
            <w:tcW w:w="355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云岭后山公园</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ascii="Times New Roman" w:hAnsi="Times New Roman"/>
                <w:color w:val="auto"/>
                <w:sz w:val="22"/>
                <w:szCs w:val="22"/>
                <w:highlight w:val="none"/>
              </w:rPr>
            </w:pPr>
            <w:r>
              <w:rPr>
                <w:rFonts w:hint="eastAsia" w:ascii="宋体" w:hAnsi="宋体" w:eastAsia="宋体" w:cs="宋体"/>
                <w:i w:val="0"/>
                <w:color w:val="auto"/>
                <w:kern w:val="0"/>
                <w:sz w:val="24"/>
                <w:szCs w:val="24"/>
                <w:u w:val="none"/>
                <w:lang w:val="en-US" w:eastAsia="zh-CN" w:bidi="ar"/>
              </w:rPr>
              <w:t>社区公园</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4"/>
                <w:highlight w:val="none"/>
                <w:lang w:bidi="ar"/>
              </w:rPr>
              <w:t xml:space="preserve">2.47 </w:t>
            </w:r>
          </w:p>
        </w:tc>
        <w:tc>
          <w:tcPr>
            <w:tcW w:w="24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hint="eastAsia" w:ascii="Times New Roman" w:hAnsi="Times New Roman"/>
                <w:color w:val="auto"/>
                <w:kern w:val="0"/>
                <w:sz w:val="22"/>
                <w:szCs w:val="22"/>
                <w:highlight w:val="none"/>
                <w:lang w:val="en-US" w:eastAsia="zh-CN" w:bidi="ar"/>
              </w:rPr>
              <w:t>现状附属绿地</w:t>
            </w:r>
            <w:r>
              <w:rPr>
                <w:rFonts w:ascii="Times New Roman" w:hAnsi="Times New Roman"/>
                <w:color w:val="auto"/>
                <w:kern w:val="0"/>
                <w:sz w:val="22"/>
                <w:szCs w:val="22"/>
                <w:highlight w:val="none"/>
                <w:lang w:bidi="ar"/>
              </w:rPr>
              <w:t>改造</w:t>
            </w:r>
            <w:r>
              <w:rPr>
                <w:rFonts w:hint="eastAsia" w:ascii="Times New Roman" w:hAnsi="Times New Roman"/>
                <w:color w:val="auto"/>
                <w:kern w:val="0"/>
                <w:sz w:val="22"/>
                <w:szCs w:val="22"/>
                <w:highlight w:val="none"/>
                <w:lang w:val="en-US" w:eastAsia="zh-CN" w:bidi="ar"/>
              </w:rPr>
              <w:t>为公园</w:t>
            </w:r>
          </w:p>
        </w:tc>
      </w:tr>
      <w:tr>
        <w:tblPrEx>
          <w:tblCellMar>
            <w:top w:w="0" w:type="dxa"/>
            <w:left w:w="0" w:type="dxa"/>
            <w:bottom w:w="0" w:type="dxa"/>
            <w:right w:w="0" w:type="dxa"/>
          </w:tblCellMar>
        </w:tblPrEx>
        <w:trPr>
          <w:trHeight w:val="439" w:hRule="atLeast"/>
          <w:jc w:val="center"/>
        </w:trPr>
        <w:tc>
          <w:tcPr>
            <w:tcW w:w="6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8</w:t>
            </w:r>
          </w:p>
        </w:tc>
        <w:tc>
          <w:tcPr>
            <w:tcW w:w="355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云岭公园</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ascii="Times New Roman" w:hAnsi="Times New Roman"/>
                <w:color w:val="auto"/>
                <w:sz w:val="22"/>
                <w:szCs w:val="22"/>
                <w:highlight w:val="none"/>
              </w:rPr>
            </w:pPr>
            <w:r>
              <w:rPr>
                <w:rFonts w:hint="eastAsia" w:ascii="宋体" w:hAnsi="宋体" w:eastAsia="宋体" w:cs="宋体"/>
                <w:i w:val="0"/>
                <w:color w:val="auto"/>
                <w:kern w:val="0"/>
                <w:sz w:val="22"/>
                <w:szCs w:val="22"/>
                <w:u w:val="none"/>
                <w:lang w:val="en-US" w:eastAsia="zh-CN" w:bidi="ar"/>
              </w:rPr>
              <w:t>综合公园</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 xml:space="preserve">10.61 </w:t>
            </w:r>
          </w:p>
        </w:tc>
        <w:tc>
          <w:tcPr>
            <w:tcW w:w="24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hint="eastAsia" w:ascii="Times New Roman" w:hAnsi="Times New Roman"/>
                <w:color w:val="auto"/>
                <w:kern w:val="0"/>
                <w:sz w:val="22"/>
                <w:szCs w:val="22"/>
                <w:highlight w:val="none"/>
                <w:lang w:val="en-US" w:eastAsia="zh-CN" w:bidi="ar"/>
              </w:rPr>
              <w:t>现状区域绿地</w:t>
            </w:r>
            <w:r>
              <w:rPr>
                <w:rFonts w:ascii="Times New Roman" w:hAnsi="Times New Roman"/>
                <w:color w:val="auto"/>
                <w:kern w:val="0"/>
                <w:sz w:val="22"/>
                <w:szCs w:val="22"/>
                <w:highlight w:val="none"/>
                <w:lang w:bidi="ar"/>
              </w:rPr>
              <w:t>改造</w:t>
            </w:r>
            <w:r>
              <w:rPr>
                <w:rFonts w:hint="eastAsia" w:ascii="Times New Roman" w:hAnsi="Times New Roman"/>
                <w:color w:val="auto"/>
                <w:kern w:val="0"/>
                <w:sz w:val="22"/>
                <w:szCs w:val="22"/>
                <w:highlight w:val="none"/>
                <w:lang w:val="en-US" w:eastAsia="zh-CN" w:bidi="ar"/>
              </w:rPr>
              <w:t>为公园</w:t>
            </w:r>
          </w:p>
        </w:tc>
      </w:tr>
      <w:tr>
        <w:tblPrEx>
          <w:tblCellMar>
            <w:top w:w="0" w:type="dxa"/>
            <w:left w:w="0" w:type="dxa"/>
            <w:bottom w:w="0" w:type="dxa"/>
            <w:right w:w="0" w:type="dxa"/>
          </w:tblCellMar>
        </w:tblPrEx>
        <w:trPr>
          <w:trHeight w:val="439" w:hRule="atLeast"/>
          <w:jc w:val="center"/>
        </w:trPr>
        <w:tc>
          <w:tcPr>
            <w:tcW w:w="6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Times New Roman" w:hAnsi="Times New Roman"/>
                <w:color w:val="auto"/>
                <w:sz w:val="22"/>
                <w:szCs w:val="22"/>
                <w:highlight w:val="none"/>
              </w:rPr>
            </w:pPr>
            <w:r>
              <w:rPr>
                <w:rFonts w:ascii="Times New Roman" w:hAnsi="Times New Roman"/>
                <w:color w:val="auto"/>
                <w:sz w:val="22"/>
                <w:szCs w:val="22"/>
                <w:highlight w:val="none"/>
              </w:rPr>
              <w:t>9</w:t>
            </w:r>
          </w:p>
        </w:tc>
        <w:tc>
          <w:tcPr>
            <w:tcW w:w="355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b/>
                <w:color w:val="auto"/>
                <w:sz w:val="22"/>
                <w:szCs w:val="22"/>
                <w:highlight w:val="none"/>
              </w:rPr>
            </w:pPr>
            <w:r>
              <w:rPr>
                <w:rFonts w:ascii="Times New Roman" w:hAnsi="Times New Roman"/>
                <w:color w:val="auto"/>
                <w:kern w:val="0"/>
                <w:sz w:val="22"/>
                <w:szCs w:val="22"/>
                <w:highlight w:val="none"/>
                <w:lang w:bidi="ar"/>
              </w:rPr>
              <w:t>大云岭公园</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ascii="Times New Roman" w:hAnsi="Times New Roman"/>
                <w:b/>
                <w:color w:val="auto"/>
                <w:sz w:val="22"/>
                <w:szCs w:val="22"/>
                <w:highlight w:val="none"/>
              </w:rPr>
            </w:pPr>
            <w:r>
              <w:rPr>
                <w:rFonts w:hint="eastAsia" w:ascii="宋体" w:hAnsi="宋体" w:eastAsia="宋体" w:cs="宋体"/>
                <w:i w:val="0"/>
                <w:color w:val="auto"/>
                <w:kern w:val="0"/>
                <w:sz w:val="24"/>
                <w:szCs w:val="24"/>
                <w:u w:val="none"/>
                <w:lang w:val="en-US" w:eastAsia="zh-CN" w:bidi="ar"/>
              </w:rPr>
              <w:t>（其他专类公园）风景名胜公园</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b/>
                <w:color w:val="auto"/>
                <w:sz w:val="22"/>
                <w:szCs w:val="22"/>
                <w:highlight w:val="none"/>
              </w:rPr>
            </w:pPr>
            <w:r>
              <w:rPr>
                <w:rFonts w:ascii="Times New Roman" w:hAnsi="Times New Roman"/>
                <w:color w:val="auto"/>
                <w:kern w:val="0"/>
                <w:sz w:val="24"/>
                <w:highlight w:val="none"/>
                <w:lang w:bidi="ar"/>
              </w:rPr>
              <w:t xml:space="preserve">193.25 </w:t>
            </w:r>
          </w:p>
        </w:tc>
        <w:tc>
          <w:tcPr>
            <w:tcW w:w="24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hint="eastAsia" w:ascii="Times New Roman" w:hAnsi="Times New Roman"/>
                <w:color w:val="auto"/>
                <w:kern w:val="0"/>
                <w:sz w:val="22"/>
                <w:szCs w:val="22"/>
                <w:highlight w:val="none"/>
                <w:lang w:val="en-US" w:eastAsia="zh-CN" w:bidi="ar"/>
              </w:rPr>
              <w:t>现状公园一期建成</w:t>
            </w:r>
          </w:p>
        </w:tc>
      </w:tr>
      <w:tr>
        <w:tblPrEx>
          <w:tblCellMar>
            <w:top w:w="0" w:type="dxa"/>
            <w:left w:w="0" w:type="dxa"/>
            <w:bottom w:w="0" w:type="dxa"/>
            <w:right w:w="0" w:type="dxa"/>
          </w:tblCellMar>
        </w:tblPrEx>
        <w:trPr>
          <w:trHeight w:val="439" w:hRule="atLeast"/>
          <w:jc w:val="center"/>
        </w:trPr>
        <w:tc>
          <w:tcPr>
            <w:tcW w:w="64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10</w:t>
            </w:r>
          </w:p>
        </w:tc>
        <w:tc>
          <w:tcPr>
            <w:tcW w:w="355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龙津河公园</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ascii="Times New Roman" w:hAnsi="Times New Roman"/>
                <w:color w:val="auto"/>
                <w:sz w:val="22"/>
                <w:szCs w:val="22"/>
                <w:highlight w:val="none"/>
              </w:rPr>
            </w:pPr>
            <w:r>
              <w:rPr>
                <w:rFonts w:hint="eastAsia" w:ascii="宋体" w:hAnsi="宋体" w:eastAsia="宋体" w:cs="宋体"/>
                <w:b w:val="0"/>
                <w:bCs/>
                <w:i w:val="0"/>
                <w:color w:val="auto"/>
                <w:kern w:val="0"/>
                <w:sz w:val="24"/>
                <w:szCs w:val="24"/>
                <w:u w:val="none"/>
                <w:lang w:val="en-US" w:eastAsia="zh-CN" w:bidi="ar"/>
              </w:rPr>
              <w:t>其他专类公园（滨水公园）</w:t>
            </w:r>
          </w:p>
        </w:tc>
        <w:tc>
          <w:tcPr>
            <w:tcW w:w="204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kern w:val="0"/>
                <w:sz w:val="22"/>
                <w:szCs w:val="22"/>
                <w:highlight w:val="none"/>
                <w:lang w:bidi="ar"/>
              </w:rPr>
              <w:t xml:space="preserve">0.85 </w:t>
            </w:r>
          </w:p>
        </w:tc>
        <w:tc>
          <w:tcPr>
            <w:tcW w:w="24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 w:val="22"/>
                <w:szCs w:val="22"/>
                <w:highlight w:val="none"/>
              </w:rPr>
            </w:pPr>
            <w:r>
              <w:rPr>
                <w:rFonts w:hint="eastAsia" w:ascii="Times New Roman" w:hAnsi="Times New Roman"/>
                <w:color w:val="auto"/>
                <w:kern w:val="0"/>
                <w:sz w:val="22"/>
                <w:szCs w:val="22"/>
                <w:highlight w:val="none"/>
                <w:lang w:val="en-US" w:eastAsia="zh-CN" w:bidi="ar"/>
              </w:rPr>
              <w:t>现状防护绿地</w:t>
            </w:r>
            <w:r>
              <w:rPr>
                <w:rFonts w:ascii="Times New Roman" w:hAnsi="Times New Roman"/>
                <w:color w:val="auto"/>
                <w:kern w:val="0"/>
                <w:sz w:val="22"/>
                <w:szCs w:val="22"/>
                <w:highlight w:val="none"/>
                <w:lang w:bidi="ar"/>
              </w:rPr>
              <w:t>改造</w:t>
            </w:r>
            <w:r>
              <w:rPr>
                <w:rFonts w:hint="eastAsia" w:ascii="Times New Roman" w:hAnsi="Times New Roman"/>
                <w:color w:val="auto"/>
                <w:kern w:val="0"/>
                <w:sz w:val="22"/>
                <w:szCs w:val="22"/>
                <w:highlight w:val="none"/>
                <w:lang w:val="en-US" w:eastAsia="zh-CN" w:bidi="ar"/>
              </w:rPr>
              <w:t>为公园</w:t>
            </w:r>
          </w:p>
        </w:tc>
      </w:tr>
      <w:tr>
        <w:tblPrEx>
          <w:tblCellMar>
            <w:top w:w="0" w:type="dxa"/>
            <w:left w:w="0" w:type="dxa"/>
            <w:bottom w:w="0" w:type="dxa"/>
            <w:right w:w="0" w:type="dxa"/>
          </w:tblCellMar>
        </w:tblPrEx>
        <w:trPr>
          <w:trHeight w:val="439" w:hRule="atLeast"/>
          <w:jc w:val="center"/>
        </w:trPr>
        <w:tc>
          <w:tcPr>
            <w:tcW w:w="5490"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ind w:firstLine="2209" w:firstLineChars="1000"/>
              <w:textAlignment w:val="center"/>
              <w:rPr>
                <w:rFonts w:ascii="Times New Roman" w:hAnsi="Times New Roman"/>
                <w:color w:val="auto"/>
                <w:sz w:val="22"/>
                <w:szCs w:val="22"/>
                <w:highlight w:val="none"/>
              </w:rPr>
            </w:pPr>
            <w:r>
              <w:rPr>
                <w:rFonts w:ascii="Times New Roman" w:hAnsi="Times New Roman"/>
                <w:b/>
                <w:color w:val="auto"/>
                <w:kern w:val="0"/>
                <w:sz w:val="22"/>
                <w:szCs w:val="22"/>
                <w:highlight w:val="none"/>
                <w:lang w:bidi="ar"/>
              </w:rPr>
              <w:t>总计（公顷）</w:t>
            </w:r>
          </w:p>
        </w:tc>
        <w:tc>
          <w:tcPr>
            <w:tcW w:w="4490"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Times New Roman" w:hAnsi="Times New Roman"/>
                <w:color w:val="auto"/>
                <w:sz w:val="22"/>
                <w:szCs w:val="22"/>
                <w:highlight w:val="none"/>
              </w:rPr>
            </w:pPr>
            <w:r>
              <w:rPr>
                <w:rFonts w:ascii="Times New Roman" w:hAnsi="Times New Roman"/>
                <w:b/>
                <w:color w:val="auto"/>
                <w:kern w:val="0"/>
                <w:sz w:val="22"/>
                <w:szCs w:val="22"/>
                <w:highlight w:val="none"/>
                <w:lang w:bidi="ar"/>
              </w:rPr>
              <w:t xml:space="preserve">223.32 </w:t>
            </w:r>
          </w:p>
        </w:tc>
      </w:tr>
    </w:tbl>
    <w:p>
      <w:pPr>
        <w:pStyle w:val="2"/>
        <w:ind w:left="0" w:leftChars="0" w:firstLine="0" w:firstLineChars="0"/>
        <w:jc w:val="center"/>
        <w:rPr>
          <w:rFonts w:ascii="Times New Roman" w:hAnsi="Times New Roman" w:eastAsia="宋体"/>
          <w:color w:val="auto"/>
          <w:szCs w:val="28"/>
          <w:highlight w:val="none"/>
        </w:rPr>
      </w:pPr>
    </w:p>
    <w:p>
      <w:pPr>
        <w:pStyle w:val="2"/>
        <w:ind w:left="0" w:leftChars="0" w:firstLine="0" w:firstLineChars="0"/>
        <w:rPr>
          <w:rFonts w:hint="eastAsia" w:ascii="Times New Roman" w:hAnsi="Times New Roman" w:eastAsia="宋体"/>
          <w:color w:val="auto"/>
          <w:szCs w:val="28"/>
          <w:highlight w:val="none"/>
          <w:lang w:eastAsia="zh-CN"/>
        </w:rPr>
      </w:pPr>
      <w:r>
        <w:rPr>
          <w:rFonts w:ascii="Times New Roman" w:hAnsi="Times New Roman" w:eastAsia="宋体"/>
          <w:color w:val="auto"/>
          <w:highlight w:val="none"/>
        </w:rPr>
        <w:drawing>
          <wp:inline distT="0" distB="0" distL="114300" distR="114300">
            <wp:extent cx="5267960" cy="3879850"/>
            <wp:effectExtent l="0" t="0" r="8890" b="6350"/>
            <wp:docPr id="7" name="图片 7" descr="2421da1e2a674405bd13b3127bddd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2421da1e2a674405bd13b3127bddda0"/>
                    <pic:cNvPicPr>
                      <a:picLocks noChangeAspect="1"/>
                    </pic:cNvPicPr>
                  </pic:nvPicPr>
                  <pic:blipFill>
                    <a:blip r:embed="rId11"/>
                    <a:stretch>
                      <a:fillRect/>
                    </a:stretch>
                  </pic:blipFill>
                  <pic:spPr>
                    <a:xfrm>
                      <a:off x="0" y="0"/>
                      <a:ext cx="5267960" cy="3879850"/>
                    </a:xfrm>
                    <a:prstGeom prst="rect">
                      <a:avLst/>
                    </a:prstGeom>
                  </pic:spPr>
                </pic:pic>
              </a:graphicData>
            </a:graphic>
          </wp:inline>
        </w:drawing>
      </w:r>
    </w:p>
    <w:p>
      <w:pPr>
        <w:pStyle w:val="2"/>
        <w:ind w:firstLine="0" w:firstLineChars="0"/>
        <w:jc w:val="center"/>
        <w:rPr>
          <w:rFonts w:hint="eastAsia" w:ascii="Times New Roman" w:hAnsi="Times New Roman" w:eastAsia="宋体"/>
          <w:b/>
          <w:bCs/>
          <w:color w:val="auto"/>
          <w:szCs w:val="28"/>
          <w:highlight w:val="none"/>
        </w:rPr>
      </w:pPr>
      <w:r>
        <w:rPr>
          <w:rFonts w:hint="eastAsia" w:ascii="Times New Roman" w:hAnsi="Times New Roman" w:eastAsia="宋体"/>
          <w:b/>
          <w:bCs/>
          <w:color w:val="auto"/>
          <w:szCs w:val="28"/>
          <w:highlight w:val="none"/>
        </w:rPr>
        <w:t>图4-2-</w:t>
      </w:r>
      <w:r>
        <w:rPr>
          <w:rFonts w:hint="eastAsia" w:ascii="Times New Roman" w:hAnsi="Times New Roman" w:eastAsia="宋体"/>
          <w:b/>
          <w:bCs/>
          <w:color w:val="auto"/>
          <w:szCs w:val="28"/>
          <w:highlight w:val="none"/>
          <w:lang w:val="en-US" w:eastAsia="zh-CN"/>
        </w:rPr>
        <w:t>1</w:t>
      </w:r>
      <w:r>
        <w:rPr>
          <w:rFonts w:ascii="Times New Roman" w:hAnsi="Times New Roman" w:eastAsia="宋体"/>
          <w:b/>
          <w:bCs/>
          <w:color w:val="auto"/>
          <w:szCs w:val="28"/>
          <w:highlight w:val="none"/>
        </w:rPr>
        <w:t xml:space="preserve">  </w:t>
      </w:r>
      <w:r>
        <w:rPr>
          <w:rFonts w:hint="eastAsia" w:ascii="Times New Roman" w:hAnsi="Times New Roman" w:eastAsia="宋体"/>
          <w:b/>
          <w:bCs/>
          <w:color w:val="auto"/>
          <w:szCs w:val="28"/>
          <w:highlight w:val="none"/>
        </w:rPr>
        <w:t>公园建设规划总图</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建成后，建成区</w:t>
      </w:r>
      <w:r>
        <w:rPr>
          <w:rFonts w:hint="eastAsia" w:ascii="Times New Roman" w:hAnsi="Times New Roman"/>
          <w:color w:val="auto"/>
          <w:sz w:val="28"/>
          <w:szCs w:val="28"/>
          <w:highlight w:val="none"/>
        </w:rPr>
        <w:t>公园服务半径覆盖居住用地面积</w:t>
      </w:r>
      <w:r>
        <w:rPr>
          <w:rFonts w:ascii="Times New Roman" w:hAnsi="Times New Roman"/>
          <w:color w:val="auto"/>
          <w:sz w:val="28"/>
          <w:szCs w:val="28"/>
          <w:highlight w:val="none"/>
        </w:rPr>
        <w:t>（948.64公顷）</w:t>
      </w:r>
      <w:r>
        <w:rPr>
          <w:rFonts w:hint="eastAsia" w:ascii="Times New Roman" w:hAnsi="Times New Roman"/>
          <w:color w:val="auto"/>
          <w:sz w:val="28"/>
          <w:szCs w:val="28"/>
          <w:highlight w:val="none"/>
        </w:rPr>
        <w:t>可达</w:t>
      </w:r>
      <w:r>
        <w:rPr>
          <w:rFonts w:hint="eastAsia" w:ascii="Times New Roman" w:hAnsi="Times New Roman"/>
          <w:color w:val="auto"/>
          <w:sz w:val="28"/>
          <w:szCs w:val="28"/>
          <w:highlight w:val="none"/>
          <w:lang w:val="en-US" w:eastAsia="zh-CN"/>
        </w:rPr>
        <w:t>770.70</w:t>
      </w:r>
      <w:r>
        <w:rPr>
          <w:rFonts w:hint="eastAsia" w:ascii="Times New Roman" w:hAnsi="Times New Roman"/>
          <w:color w:val="auto"/>
          <w:sz w:val="28"/>
          <w:szCs w:val="28"/>
          <w:highlight w:val="none"/>
        </w:rPr>
        <w:t>公顷，</w:t>
      </w:r>
      <w:r>
        <w:rPr>
          <w:rFonts w:ascii="Times New Roman" w:hAnsi="Times New Roman"/>
          <w:color w:val="auto"/>
          <w:sz w:val="28"/>
          <w:szCs w:val="28"/>
          <w:highlight w:val="none"/>
        </w:rPr>
        <w:t>县城公园服务半径</w:t>
      </w:r>
      <w:r>
        <w:rPr>
          <w:rFonts w:hint="eastAsia" w:ascii="Times New Roman" w:hAnsi="Times New Roman"/>
          <w:color w:val="auto"/>
          <w:sz w:val="28"/>
          <w:szCs w:val="28"/>
          <w:highlight w:val="none"/>
          <w:lang w:val="en-US" w:eastAsia="zh-CN"/>
        </w:rPr>
        <w:t>覆盖率</w:t>
      </w:r>
      <w:r>
        <w:rPr>
          <w:rFonts w:ascii="Times New Roman" w:hAnsi="Times New Roman"/>
          <w:color w:val="auto"/>
          <w:sz w:val="28"/>
          <w:szCs w:val="28"/>
          <w:highlight w:val="none"/>
        </w:rPr>
        <w:t>可达8</w:t>
      </w:r>
      <w:r>
        <w:rPr>
          <w:rFonts w:hint="eastAsia" w:ascii="Times New Roman" w:hAnsi="Times New Roman"/>
          <w:color w:val="auto"/>
          <w:sz w:val="28"/>
          <w:szCs w:val="28"/>
          <w:highlight w:val="none"/>
          <w:lang w:val="en-US" w:eastAsia="zh-CN"/>
        </w:rPr>
        <w:t>1.43</w:t>
      </w:r>
      <w:r>
        <w:rPr>
          <w:rFonts w:ascii="Times New Roman" w:hAnsi="Times New Roman"/>
          <w:color w:val="auto"/>
          <w:sz w:val="28"/>
          <w:szCs w:val="28"/>
          <w:highlight w:val="none"/>
        </w:rPr>
        <w:t>%。</w:t>
      </w:r>
    </w:p>
    <w:p>
      <w:pPr>
        <w:pStyle w:val="2"/>
        <w:ind w:left="0" w:leftChars="0" w:firstLine="0" w:firstLineChars="0"/>
        <w:jc w:val="center"/>
        <w:rPr>
          <w:rFonts w:ascii="Times New Roman" w:hAnsi="Times New Roman" w:eastAsia="宋体"/>
          <w:color w:val="auto"/>
          <w:szCs w:val="28"/>
          <w:highlight w:val="none"/>
        </w:rPr>
      </w:pPr>
      <w:r>
        <w:rPr>
          <w:color w:val="auto"/>
        </w:rPr>
        <w:drawing>
          <wp:inline distT="0" distB="0" distL="114300" distR="114300">
            <wp:extent cx="5264785" cy="4010025"/>
            <wp:effectExtent l="0" t="0" r="12065" b="9525"/>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12"/>
                    <a:stretch>
                      <a:fillRect/>
                    </a:stretch>
                  </pic:blipFill>
                  <pic:spPr>
                    <a:xfrm>
                      <a:off x="0" y="0"/>
                      <a:ext cx="5264785" cy="4010025"/>
                    </a:xfrm>
                    <a:prstGeom prst="rect">
                      <a:avLst/>
                    </a:prstGeom>
                    <a:noFill/>
                    <a:ln>
                      <a:noFill/>
                    </a:ln>
                  </pic:spPr>
                </pic:pic>
              </a:graphicData>
            </a:graphic>
          </wp:inline>
        </w:drawing>
      </w:r>
    </w:p>
    <w:p>
      <w:pPr>
        <w:pStyle w:val="2"/>
        <w:ind w:left="0" w:leftChars="0" w:firstLine="562" w:firstLineChars="0"/>
        <w:jc w:val="center"/>
        <w:rPr>
          <w:rFonts w:ascii="Times New Roman" w:hAnsi="Times New Roman" w:eastAsia="宋体"/>
          <w:b/>
          <w:color w:val="auto"/>
          <w:szCs w:val="28"/>
          <w:highlight w:val="none"/>
        </w:rPr>
      </w:pPr>
      <w:r>
        <w:rPr>
          <w:rFonts w:ascii="Times New Roman" w:hAnsi="Times New Roman" w:eastAsia="宋体"/>
          <w:b/>
          <w:color w:val="auto"/>
          <w:szCs w:val="28"/>
          <w:highlight w:val="none"/>
        </w:rPr>
        <w:t>图4-</w:t>
      </w:r>
      <w:r>
        <w:rPr>
          <w:rFonts w:hint="eastAsia" w:ascii="Times New Roman" w:hAnsi="Times New Roman" w:eastAsia="宋体"/>
          <w:b/>
          <w:color w:val="auto"/>
          <w:szCs w:val="28"/>
          <w:highlight w:val="none"/>
        </w:rPr>
        <w:t>2-</w:t>
      </w:r>
      <w:r>
        <w:rPr>
          <w:rFonts w:hint="eastAsia" w:ascii="Times New Roman" w:hAnsi="Times New Roman" w:eastAsia="宋体"/>
          <w:b/>
          <w:color w:val="auto"/>
          <w:szCs w:val="28"/>
          <w:highlight w:val="none"/>
          <w:lang w:val="en-US" w:eastAsia="zh-CN"/>
        </w:rPr>
        <w:t>2</w:t>
      </w:r>
      <w:r>
        <w:rPr>
          <w:rFonts w:ascii="Times New Roman" w:hAnsi="Times New Roman" w:eastAsia="宋体"/>
          <w:b/>
          <w:color w:val="auto"/>
          <w:szCs w:val="28"/>
          <w:highlight w:val="none"/>
        </w:rPr>
        <w:t xml:space="preserve">  海丰县城市公园服务半径图</w:t>
      </w:r>
    </w:p>
    <w:p>
      <w:pPr>
        <w:pStyle w:val="2"/>
        <w:ind w:firstLine="0" w:firstLineChars="0"/>
        <w:jc w:val="center"/>
        <w:rPr>
          <w:rFonts w:hint="eastAsia" w:ascii="Times New Roman" w:hAnsi="Times New Roman" w:eastAsia="宋体"/>
          <w:b/>
          <w:bCs/>
          <w:color w:val="auto"/>
          <w:szCs w:val="28"/>
          <w:highlight w:val="none"/>
        </w:rPr>
      </w:pPr>
    </w:p>
    <w:p>
      <w:pPr>
        <w:ind w:firstLine="562" w:firstLineChars="200"/>
        <w:rPr>
          <w:rFonts w:ascii="Times New Roman" w:hAnsi="Times New Roman"/>
          <w:b/>
          <w:bCs/>
          <w:color w:val="auto"/>
          <w:sz w:val="28"/>
          <w:szCs w:val="28"/>
          <w:highlight w:val="none"/>
        </w:rPr>
      </w:pPr>
      <w:r>
        <w:rPr>
          <w:rFonts w:hint="eastAsia" w:ascii="Times New Roman" w:hAnsi="Times New Roman"/>
          <w:b/>
          <w:bCs/>
          <w:color w:val="auto"/>
          <w:sz w:val="28"/>
          <w:szCs w:val="28"/>
          <w:highlight w:val="none"/>
        </w:rPr>
        <w:t>（</w:t>
      </w:r>
      <w:r>
        <w:rPr>
          <w:rFonts w:ascii="Times New Roman" w:hAnsi="Times New Roman"/>
          <w:b/>
          <w:bCs/>
          <w:color w:val="auto"/>
          <w:sz w:val="28"/>
          <w:szCs w:val="28"/>
          <w:highlight w:val="none"/>
        </w:rPr>
        <w:t>2）防护绿地</w:t>
      </w:r>
      <w:r>
        <w:rPr>
          <w:rFonts w:hint="eastAsia" w:ascii="Times New Roman" w:hAnsi="Times New Roman"/>
          <w:b/>
          <w:bCs/>
          <w:color w:val="auto"/>
          <w:sz w:val="28"/>
          <w:szCs w:val="28"/>
          <w:highlight w:val="none"/>
        </w:rPr>
        <w:t>建设规划</w:t>
      </w:r>
    </w:p>
    <w:p>
      <w:pPr>
        <w:ind w:firstLine="560" w:firstLineChars="200"/>
        <w:rPr>
          <w:rFonts w:ascii="Times New Roman" w:hAnsi="Times New Roman"/>
          <w:color w:val="auto"/>
          <w:szCs w:val="28"/>
          <w:highlight w:val="none"/>
        </w:rPr>
      </w:pPr>
      <w:r>
        <w:rPr>
          <w:rFonts w:ascii="Times New Roman" w:hAnsi="Times New Roman"/>
          <w:color w:val="auto"/>
          <w:sz w:val="28"/>
          <w:szCs w:val="28"/>
          <w:highlight w:val="none"/>
        </w:rPr>
        <w:t>海丰县原建成区范围内的防护绿地面积共8.6公顷，分别为龙津河防护绿地、小液河防护绿地、金园二路防护绿地、二环西路与二环南路交界、二环南桥底、三环西路防护绿地，根据《海丰城市总体规划》、《海丰县城规划区控制性详细规划》后期规划</w:t>
      </w:r>
      <w:r>
        <w:rPr>
          <w:rFonts w:hint="eastAsia" w:ascii="Times New Roman" w:hAnsi="Times New Roman"/>
          <w:color w:val="auto"/>
          <w:sz w:val="28"/>
          <w:szCs w:val="28"/>
          <w:highlight w:val="none"/>
        </w:rPr>
        <w:t>为</w:t>
      </w:r>
      <w:r>
        <w:rPr>
          <w:rFonts w:ascii="Times New Roman" w:hAnsi="Times New Roman"/>
          <w:color w:val="auto"/>
          <w:sz w:val="28"/>
          <w:szCs w:val="28"/>
          <w:highlight w:val="none"/>
        </w:rPr>
        <w:t>二类居住用地、公园等用地。规划后保留</w:t>
      </w:r>
      <w:r>
        <w:rPr>
          <w:rFonts w:hint="eastAsia" w:ascii="Times New Roman" w:hAnsi="Times New Roman"/>
          <w:color w:val="auto"/>
          <w:sz w:val="28"/>
          <w:szCs w:val="28"/>
          <w:highlight w:val="none"/>
        </w:rPr>
        <w:t>防护绿地面积</w:t>
      </w:r>
      <w:r>
        <w:rPr>
          <w:rFonts w:ascii="Times New Roman" w:hAnsi="Times New Roman"/>
          <w:color w:val="auto"/>
          <w:sz w:val="28"/>
          <w:szCs w:val="28"/>
          <w:highlight w:val="none"/>
        </w:rPr>
        <w:t>324.65</w:t>
      </w:r>
      <w:r>
        <w:rPr>
          <w:rFonts w:hint="eastAsia" w:ascii="Times New Roman" w:hAnsi="Times New Roman"/>
          <w:color w:val="auto"/>
          <w:sz w:val="28"/>
          <w:szCs w:val="28"/>
          <w:highlight w:val="none"/>
        </w:rPr>
        <w:t>公顷，位于大云岭南部以及青年水库水坝防护绿地，</w:t>
      </w:r>
      <w:r>
        <w:rPr>
          <w:rFonts w:ascii="Times New Roman" w:hAnsi="Times New Roman"/>
          <w:color w:val="auto"/>
          <w:sz w:val="28"/>
          <w:szCs w:val="28"/>
          <w:highlight w:val="none"/>
        </w:rPr>
        <w:t>注意防护绿地的限制性保护管理，</w:t>
      </w:r>
      <w:r>
        <w:rPr>
          <w:rFonts w:hint="eastAsia" w:ascii="Times New Roman" w:hAnsi="Times New Roman"/>
          <w:color w:val="auto"/>
          <w:sz w:val="28"/>
          <w:szCs w:val="28"/>
          <w:highlight w:val="none"/>
        </w:rPr>
        <w:t>作为水源地防护绿地，涵养水源，保护城市饮用水。</w:t>
      </w:r>
    </w:p>
    <w:p>
      <w:pPr>
        <w:pStyle w:val="2"/>
        <w:ind w:left="0" w:leftChars="0" w:firstLine="560" w:firstLineChars="0"/>
        <w:rPr>
          <w:rFonts w:ascii="Times New Roman" w:hAnsi="Times New Roman" w:eastAsia="宋体"/>
          <w:color w:val="auto"/>
          <w:szCs w:val="28"/>
          <w:highlight w:val="none"/>
        </w:rPr>
      </w:pPr>
      <w:r>
        <w:rPr>
          <w:rFonts w:ascii="Times New Roman" w:hAnsi="Times New Roman" w:eastAsia="宋体"/>
          <w:color w:val="auto"/>
          <w:highlight w:val="none"/>
        </w:rPr>
        <w:drawing>
          <wp:inline distT="0" distB="0" distL="114300" distR="114300">
            <wp:extent cx="5271135" cy="3886200"/>
            <wp:effectExtent l="0" t="0" r="5715" b="0"/>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pic:cNvPicPr>
                      <a:picLocks noChangeAspect="1"/>
                    </pic:cNvPicPr>
                  </pic:nvPicPr>
                  <pic:blipFill>
                    <a:blip r:embed="rId13"/>
                    <a:stretch>
                      <a:fillRect/>
                    </a:stretch>
                  </pic:blipFill>
                  <pic:spPr>
                    <a:xfrm>
                      <a:off x="0" y="0"/>
                      <a:ext cx="5271135" cy="3886200"/>
                    </a:xfrm>
                    <a:prstGeom prst="rect">
                      <a:avLst/>
                    </a:prstGeom>
                    <a:noFill/>
                    <a:ln>
                      <a:noFill/>
                    </a:ln>
                  </pic:spPr>
                </pic:pic>
              </a:graphicData>
            </a:graphic>
          </wp:inline>
        </w:drawing>
      </w:r>
    </w:p>
    <w:p>
      <w:pPr>
        <w:pStyle w:val="2"/>
        <w:ind w:firstLine="562"/>
        <w:jc w:val="center"/>
        <w:rPr>
          <w:rFonts w:ascii="Times New Roman" w:hAnsi="Times New Roman" w:eastAsia="宋体"/>
          <w:b/>
          <w:color w:val="auto"/>
          <w:szCs w:val="28"/>
          <w:highlight w:val="none"/>
        </w:rPr>
      </w:pPr>
      <w:r>
        <w:rPr>
          <w:rFonts w:hint="eastAsia" w:ascii="Times New Roman" w:hAnsi="Times New Roman" w:eastAsia="宋体"/>
          <w:b/>
          <w:color w:val="auto"/>
          <w:szCs w:val="28"/>
          <w:highlight w:val="none"/>
        </w:rPr>
        <w:t>图4-2-3</w:t>
      </w:r>
      <w:r>
        <w:rPr>
          <w:rFonts w:ascii="Times New Roman" w:hAnsi="Times New Roman" w:eastAsia="宋体"/>
          <w:b/>
          <w:color w:val="auto"/>
          <w:szCs w:val="28"/>
          <w:highlight w:val="none"/>
        </w:rPr>
        <w:t xml:space="preserve"> </w:t>
      </w:r>
      <w:r>
        <w:rPr>
          <w:rFonts w:hint="eastAsia" w:ascii="Times New Roman" w:hAnsi="Times New Roman" w:eastAsia="宋体"/>
          <w:b/>
          <w:color w:val="auto"/>
          <w:szCs w:val="28"/>
          <w:highlight w:val="none"/>
        </w:rPr>
        <w:t>海丰县防护绿地图</w:t>
      </w:r>
    </w:p>
    <w:p>
      <w:pPr>
        <w:numPr>
          <w:ilvl w:val="0"/>
          <w:numId w:val="4"/>
        </w:numPr>
        <w:ind w:firstLine="562" w:firstLineChars="200"/>
        <w:rPr>
          <w:rFonts w:ascii="Times New Roman" w:hAnsi="Times New Roman"/>
          <w:b/>
          <w:bCs/>
          <w:color w:val="auto"/>
          <w:sz w:val="28"/>
          <w:szCs w:val="28"/>
          <w:highlight w:val="none"/>
        </w:rPr>
      </w:pPr>
      <w:r>
        <w:rPr>
          <w:rFonts w:hint="eastAsia" w:ascii="Times New Roman" w:hAnsi="Times New Roman"/>
          <w:b/>
          <w:bCs/>
          <w:color w:val="auto"/>
          <w:sz w:val="28"/>
          <w:szCs w:val="28"/>
          <w:highlight w:val="none"/>
        </w:rPr>
        <w:t>道路绿地、河道绿地建设规划</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根据广东省省级园林县城创建指标要求，城市道路完好率需达100%，城市道路绿化普及率需达95%，道路绿化达标率需达80%。</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海丰县</w:t>
      </w:r>
      <w:r>
        <w:rPr>
          <w:rFonts w:hint="eastAsia" w:ascii="Times New Roman" w:hAnsi="Times New Roman"/>
          <w:color w:val="auto"/>
          <w:sz w:val="28"/>
          <w:szCs w:val="28"/>
          <w:highlight w:val="none"/>
          <w:lang w:val="en-US" w:eastAsia="zh-CN"/>
        </w:rPr>
        <w:t>城</w:t>
      </w:r>
      <w:r>
        <w:rPr>
          <w:rFonts w:ascii="Times New Roman" w:hAnsi="Times New Roman"/>
          <w:color w:val="auto"/>
          <w:sz w:val="28"/>
          <w:szCs w:val="28"/>
          <w:highlight w:val="none"/>
        </w:rPr>
        <w:t>道路红线宽度大于12</w:t>
      </w:r>
      <w:r>
        <w:rPr>
          <w:rFonts w:hint="eastAsia" w:ascii="Times New Roman" w:hAnsi="Times New Roman"/>
          <w:color w:val="auto"/>
          <w:sz w:val="28"/>
          <w:szCs w:val="28"/>
          <w:highlight w:val="none"/>
        </w:rPr>
        <w:t>米</w:t>
      </w:r>
      <w:r>
        <w:rPr>
          <w:rFonts w:ascii="Times New Roman" w:hAnsi="Times New Roman"/>
          <w:color w:val="auto"/>
          <w:sz w:val="28"/>
          <w:szCs w:val="28"/>
          <w:highlight w:val="none"/>
        </w:rPr>
        <w:t>的道路总长度为113223米，进行了行道树绿化的道路长度为78209米，道路绿化普及率69.08%，</w:t>
      </w:r>
      <w:r>
        <w:rPr>
          <w:rFonts w:hint="eastAsia" w:ascii="Times New Roman" w:hAnsi="Times New Roman"/>
          <w:color w:val="auto"/>
          <w:sz w:val="28"/>
          <w:szCs w:val="28"/>
          <w:highlight w:val="none"/>
        </w:rPr>
        <w:t>绿化覆盖率达标的城市道路长度</w:t>
      </w:r>
      <w:r>
        <w:rPr>
          <w:rFonts w:ascii="Times New Roman" w:hAnsi="Times New Roman"/>
          <w:color w:val="auto"/>
          <w:sz w:val="28"/>
          <w:szCs w:val="28"/>
          <w:highlight w:val="none"/>
        </w:rPr>
        <w:t>66402</w:t>
      </w:r>
      <w:r>
        <w:rPr>
          <w:rFonts w:hint="eastAsia" w:ascii="Times New Roman" w:hAnsi="Times New Roman"/>
          <w:color w:val="auto"/>
          <w:sz w:val="28"/>
          <w:szCs w:val="28"/>
          <w:highlight w:val="none"/>
        </w:rPr>
        <w:t>米，道路绿化达标率</w:t>
      </w:r>
      <w:r>
        <w:rPr>
          <w:rFonts w:ascii="Times New Roman" w:hAnsi="Times New Roman"/>
          <w:color w:val="auto"/>
          <w:sz w:val="28"/>
          <w:szCs w:val="28"/>
          <w:highlight w:val="none"/>
        </w:rPr>
        <w:t>58.65%</w:t>
      </w:r>
      <w:r>
        <w:rPr>
          <w:rFonts w:hint="eastAsia" w:ascii="Times New Roman" w:hAnsi="Times New Roman"/>
          <w:color w:val="auto"/>
          <w:sz w:val="28"/>
          <w:szCs w:val="28"/>
          <w:highlight w:val="none"/>
        </w:rPr>
        <w:t>，离指标要求差距较大。</w:t>
      </w:r>
    </w:p>
    <w:p>
      <w:pPr>
        <w:ind w:firstLine="560" w:firstLineChars="200"/>
        <w:rPr>
          <w:rFonts w:ascii="Times New Roman" w:hAnsi="Times New Roman"/>
          <w:color w:val="auto"/>
          <w:szCs w:val="28"/>
          <w:highlight w:val="none"/>
        </w:rPr>
      </w:pPr>
      <w:r>
        <w:rPr>
          <w:rFonts w:ascii="Times New Roman" w:hAnsi="Times New Roman"/>
          <w:color w:val="auto"/>
          <w:sz w:val="28"/>
          <w:szCs w:val="28"/>
          <w:highlight w:val="none"/>
        </w:rPr>
        <w:t>海丰县</w:t>
      </w:r>
      <w:r>
        <w:rPr>
          <w:rFonts w:hint="eastAsia" w:ascii="Times New Roman" w:hAnsi="Times New Roman"/>
          <w:color w:val="auto"/>
          <w:sz w:val="28"/>
          <w:szCs w:val="28"/>
          <w:highlight w:val="none"/>
          <w:lang w:val="en-US" w:eastAsia="zh-CN"/>
        </w:rPr>
        <w:t>城</w:t>
      </w:r>
      <w:r>
        <w:rPr>
          <w:rFonts w:ascii="Times New Roman" w:hAnsi="Times New Roman"/>
          <w:color w:val="auto"/>
          <w:sz w:val="28"/>
          <w:szCs w:val="28"/>
          <w:highlight w:val="none"/>
        </w:rPr>
        <w:t>道路大多宽阔</w:t>
      </w:r>
      <w:r>
        <w:rPr>
          <w:rFonts w:hint="eastAsia" w:ascii="Times New Roman" w:hAnsi="Times New Roman"/>
          <w:color w:val="auto"/>
          <w:sz w:val="28"/>
          <w:szCs w:val="28"/>
          <w:highlight w:val="none"/>
        </w:rPr>
        <w:t>，</w:t>
      </w:r>
      <w:r>
        <w:rPr>
          <w:rFonts w:ascii="Times New Roman" w:hAnsi="Times New Roman"/>
          <w:color w:val="auto"/>
          <w:sz w:val="28"/>
          <w:szCs w:val="28"/>
          <w:highlight w:val="none"/>
        </w:rPr>
        <w:t>如二环路、三环西路等，道路红线宽度可达60</w:t>
      </w:r>
      <w:r>
        <w:rPr>
          <w:rFonts w:hint="eastAsia" w:ascii="Times New Roman" w:hAnsi="Times New Roman"/>
          <w:color w:val="auto"/>
          <w:sz w:val="28"/>
          <w:szCs w:val="28"/>
          <w:highlight w:val="none"/>
        </w:rPr>
        <w:t>米</w:t>
      </w:r>
      <w:r>
        <w:rPr>
          <w:rFonts w:ascii="Times New Roman" w:hAnsi="Times New Roman"/>
          <w:color w:val="auto"/>
          <w:sz w:val="28"/>
          <w:szCs w:val="28"/>
          <w:highlight w:val="none"/>
        </w:rPr>
        <w:t>，但是道路绿化建设上两侧绿带宽度小，缺少道路中间分隔带，甚至存在没有道路绿化的现象出现。这种情况不仅影响城市景观面貌，</w:t>
      </w:r>
      <w:r>
        <w:rPr>
          <w:rFonts w:hint="eastAsia" w:ascii="Times New Roman" w:hAnsi="Times New Roman"/>
          <w:color w:val="auto"/>
          <w:sz w:val="28"/>
          <w:szCs w:val="28"/>
          <w:highlight w:val="none"/>
        </w:rPr>
        <w:t>也</w:t>
      </w:r>
      <w:r>
        <w:rPr>
          <w:rFonts w:ascii="Times New Roman" w:hAnsi="Times New Roman"/>
          <w:color w:val="auto"/>
          <w:sz w:val="28"/>
          <w:szCs w:val="28"/>
          <w:highlight w:val="none"/>
        </w:rPr>
        <w:t>影响交通安全。</w:t>
      </w:r>
      <w:r>
        <w:rPr>
          <w:rFonts w:hint="eastAsia" w:ascii="Times New Roman" w:hAnsi="Times New Roman"/>
          <w:color w:val="auto"/>
          <w:sz w:val="28"/>
          <w:szCs w:val="28"/>
          <w:highlight w:val="none"/>
        </w:rPr>
        <w:t>为了完善道路绿化建设，补足短板，对</w:t>
      </w:r>
      <w:r>
        <w:rPr>
          <w:rFonts w:ascii="Times New Roman" w:hAnsi="Times New Roman"/>
          <w:color w:val="auto"/>
          <w:sz w:val="28"/>
          <w:szCs w:val="28"/>
          <w:highlight w:val="none"/>
        </w:rPr>
        <w:t>县城</w:t>
      </w:r>
      <w:r>
        <w:rPr>
          <w:rFonts w:hint="eastAsia" w:ascii="Times New Roman" w:hAnsi="Times New Roman"/>
          <w:color w:val="auto"/>
          <w:sz w:val="28"/>
          <w:szCs w:val="28"/>
          <w:highlight w:val="none"/>
        </w:rPr>
        <w:t>部分主要干道进行提升改造，</w:t>
      </w:r>
      <w:r>
        <w:rPr>
          <w:rFonts w:ascii="Times New Roman" w:hAnsi="Times New Roman"/>
          <w:color w:val="auto"/>
          <w:sz w:val="28"/>
          <w:szCs w:val="28"/>
          <w:highlight w:val="none"/>
        </w:rPr>
        <w:t>改造方式为</w:t>
      </w:r>
      <w:r>
        <w:rPr>
          <w:rFonts w:hint="eastAsia" w:ascii="Times New Roman" w:hAnsi="Times New Roman"/>
          <w:color w:val="auto"/>
          <w:sz w:val="28"/>
          <w:szCs w:val="28"/>
          <w:highlight w:val="none"/>
        </w:rPr>
        <w:t>扩建道路两侧绿化带、增加道路中央绿化带</w:t>
      </w:r>
      <w:r>
        <w:rPr>
          <w:rFonts w:hint="default" w:ascii="Times New Roman" w:hAnsi="Times New Roman" w:cs="Times New Roman"/>
          <w:color w:val="auto"/>
          <w:sz w:val="28"/>
          <w:szCs w:val="28"/>
          <w:highlight w:val="none"/>
        </w:rPr>
        <w:t>。</w:t>
      </w:r>
      <w:r>
        <w:rPr>
          <w:rFonts w:ascii="Times New Roman" w:hAnsi="Times New Roman"/>
          <w:color w:val="auto"/>
          <w:sz w:val="28"/>
          <w:szCs w:val="28"/>
          <w:highlight w:val="none"/>
        </w:rPr>
        <w:t>经计算总体道路提升改造道路面积约151731.4</w:t>
      </w:r>
      <w:r>
        <w:rPr>
          <w:rFonts w:hint="eastAsia" w:ascii="Times New Roman" w:hAnsi="Times New Roman"/>
          <w:color w:val="auto"/>
          <w:sz w:val="28"/>
          <w:szCs w:val="28"/>
          <w:highlight w:val="none"/>
        </w:rPr>
        <w:t>平方米</w:t>
      </w:r>
      <w:r>
        <w:rPr>
          <w:rFonts w:hint="default" w:ascii="Times New Roman" w:hAnsi="Times New Roman" w:cs="Times New Roman"/>
          <w:color w:val="auto"/>
          <w:sz w:val="28"/>
          <w:szCs w:val="28"/>
          <w:highlight w:val="none"/>
        </w:rPr>
        <w:t>，</w:t>
      </w:r>
      <w:r>
        <w:rPr>
          <w:rFonts w:hint="eastAsia" w:ascii="Times New Roman" w:hAnsi="Times New Roman"/>
          <w:color w:val="auto"/>
          <w:sz w:val="28"/>
          <w:szCs w:val="28"/>
          <w:highlight w:val="none"/>
        </w:rPr>
        <w:t>提升后道路绿化达标率可达</w:t>
      </w:r>
      <w:r>
        <w:rPr>
          <w:rFonts w:ascii="Times New Roman" w:hAnsi="Times New Roman"/>
          <w:color w:val="auto"/>
          <w:sz w:val="28"/>
          <w:szCs w:val="28"/>
          <w:highlight w:val="none"/>
        </w:rPr>
        <w:t>80.12%</w:t>
      </w:r>
      <w:r>
        <w:rPr>
          <w:rFonts w:hint="eastAsia" w:ascii="Times New Roman" w:hAnsi="Times New Roman"/>
          <w:color w:val="auto"/>
          <w:sz w:val="28"/>
          <w:szCs w:val="28"/>
          <w:highlight w:val="none"/>
        </w:rPr>
        <w:t>，道路绿化普及率可达</w:t>
      </w:r>
      <w:r>
        <w:rPr>
          <w:rFonts w:ascii="Times New Roman" w:hAnsi="Times New Roman"/>
          <w:color w:val="auto"/>
          <w:sz w:val="28"/>
          <w:szCs w:val="28"/>
          <w:highlight w:val="none"/>
        </w:rPr>
        <w:t>78.52%</w:t>
      </w:r>
      <w:r>
        <w:rPr>
          <w:rFonts w:hint="eastAsia" w:ascii="Times New Roman" w:hAnsi="Times New Roman"/>
          <w:color w:val="auto"/>
          <w:sz w:val="28"/>
          <w:szCs w:val="28"/>
          <w:highlight w:val="none"/>
        </w:rPr>
        <w:t>。</w:t>
      </w:r>
    </w:p>
    <w:p>
      <w:pPr>
        <w:pStyle w:val="2"/>
        <w:ind w:firstLine="562"/>
        <w:jc w:val="center"/>
        <w:rPr>
          <w:rFonts w:ascii="Times New Roman" w:hAnsi="Times New Roman" w:eastAsia="宋体"/>
          <w:b/>
          <w:bCs/>
          <w:color w:val="auto"/>
          <w:szCs w:val="28"/>
          <w:highlight w:val="none"/>
        </w:rPr>
      </w:pPr>
      <w:r>
        <w:rPr>
          <w:rFonts w:hint="eastAsia" w:ascii="Times New Roman" w:hAnsi="Times New Roman" w:eastAsia="宋体"/>
          <w:b/>
          <w:bCs/>
          <w:color w:val="auto"/>
          <w:szCs w:val="28"/>
          <w:highlight w:val="none"/>
        </w:rPr>
        <w:t>表4-2-3</w:t>
      </w:r>
      <w:r>
        <w:rPr>
          <w:rFonts w:ascii="Times New Roman" w:hAnsi="Times New Roman" w:eastAsia="宋体"/>
          <w:b/>
          <w:bCs/>
          <w:color w:val="auto"/>
          <w:szCs w:val="28"/>
          <w:highlight w:val="none"/>
        </w:rPr>
        <w:t xml:space="preserve">  </w:t>
      </w:r>
      <w:r>
        <w:rPr>
          <w:rFonts w:hint="eastAsia" w:ascii="Times New Roman" w:hAnsi="Times New Roman" w:eastAsia="宋体"/>
          <w:b/>
          <w:bCs/>
          <w:color w:val="auto"/>
          <w:szCs w:val="28"/>
          <w:highlight w:val="none"/>
        </w:rPr>
        <w:t>海丰县道路绿地改造提升明细表</w:t>
      </w:r>
    </w:p>
    <w:tbl>
      <w:tblPr>
        <w:tblStyle w:val="20"/>
        <w:tblW w:w="10355" w:type="dxa"/>
        <w:jc w:val="center"/>
        <w:tblLayout w:type="fixed"/>
        <w:tblCellMar>
          <w:top w:w="0" w:type="dxa"/>
          <w:left w:w="0" w:type="dxa"/>
          <w:bottom w:w="0" w:type="dxa"/>
          <w:right w:w="0" w:type="dxa"/>
        </w:tblCellMar>
      </w:tblPr>
      <w:tblGrid>
        <w:gridCol w:w="467"/>
        <w:gridCol w:w="1337"/>
        <w:gridCol w:w="1290"/>
        <w:gridCol w:w="1075"/>
        <w:gridCol w:w="800"/>
        <w:gridCol w:w="748"/>
        <w:gridCol w:w="773"/>
        <w:gridCol w:w="800"/>
        <w:gridCol w:w="684"/>
        <w:gridCol w:w="676"/>
        <w:gridCol w:w="715"/>
        <w:gridCol w:w="990"/>
      </w:tblGrid>
      <w:tr>
        <w:tblPrEx>
          <w:tblCellMar>
            <w:top w:w="0" w:type="dxa"/>
            <w:left w:w="0" w:type="dxa"/>
            <w:bottom w:w="0" w:type="dxa"/>
            <w:right w:w="0" w:type="dxa"/>
          </w:tblCellMar>
        </w:tblPrEx>
        <w:trPr>
          <w:trHeight w:val="937" w:hRule="atLeast"/>
          <w:jc w:val="center"/>
        </w:trPr>
        <w:tc>
          <w:tcPr>
            <w:tcW w:w="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Times New Roman" w:hAnsi="Times New Roman"/>
                <w:b/>
                <w:color w:val="auto"/>
                <w:szCs w:val="21"/>
                <w:highlight w:val="none"/>
              </w:rPr>
            </w:pPr>
            <w:r>
              <w:rPr>
                <w:rFonts w:ascii="Times New Roman" w:hAnsi="Times New Roman"/>
                <w:b/>
                <w:color w:val="auto"/>
                <w:kern w:val="0"/>
                <w:szCs w:val="21"/>
                <w:highlight w:val="none"/>
                <w:lang w:bidi="ar"/>
              </w:rPr>
              <w:t>序号</w:t>
            </w:r>
          </w:p>
        </w:tc>
        <w:tc>
          <w:tcPr>
            <w:tcW w:w="133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Times New Roman" w:hAnsi="Times New Roman"/>
                <w:b/>
                <w:color w:val="auto"/>
                <w:szCs w:val="21"/>
                <w:highlight w:val="none"/>
              </w:rPr>
            </w:pPr>
            <w:r>
              <w:rPr>
                <w:rFonts w:ascii="Times New Roman" w:hAnsi="Times New Roman"/>
                <w:b/>
                <w:color w:val="auto"/>
                <w:kern w:val="0"/>
                <w:szCs w:val="21"/>
                <w:highlight w:val="none"/>
                <w:lang w:bidi="ar"/>
              </w:rPr>
              <w:t>道路名称</w:t>
            </w:r>
          </w:p>
        </w:tc>
        <w:tc>
          <w:tcPr>
            <w:tcW w:w="12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Times New Roman" w:hAnsi="Times New Roman"/>
                <w:b/>
                <w:color w:val="auto"/>
                <w:szCs w:val="21"/>
                <w:highlight w:val="none"/>
              </w:rPr>
            </w:pPr>
            <w:r>
              <w:rPr>
                <w:rFonts w:ascii="Times New Roman" w:hAnsi="Times New Roman"/>
                <w:b/>
                <w:color w:val="auto"/>
                <w:kern w:val="0"/>
                <w:szCs w:val="21"/>
                <w:highlight w:val="none"/>
                <w:lang w:bidi="ar"/>
              </w:rPr>
              <w:t>起点</w:t>
            </w:r>
          </w:p>
        </w:tc>
        <w:tc>
          <w:tcPr>
            <w:tcW w:w="107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Times New Roman" w:hAnsi="Times New Roman"/>
                <w:b/>
                <w:color w:val="auto"/>
                <w:szCs w:val="21"/>
                <w:highlight w:val="none"/>
              </w:rPr>
            </w:pPr>
            <w:r>
              <w:rPr>
                <w:rFonts w:ascii="Times New Roman" w:hAnsi="Times New Roman"/>
                <w:b/>
                <w:color w:val="auto"/>
                <w:kern w:val="0"/>
                <w:szCs w:val="21"/>
                <w:highlight w:val="none"/>
                <w:lang w:bidi="ar"/>
              </w:rPr>
              <w:t>终点</w:t>
            </w:r>
          </w:p>
        </w:tc>
        <w:tc>
          <w:tcPr>
            <w:tcW w:w="8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Times New Roman" w:hAnsi="Times New Roman"/>
                <w:b/>
                <w:color w:val="auto"/>
                <w:szCs w:val="21"/>
                <w:highlight w:val="none"/>
              </w:rPr>
            </w:pPr>
            <w:r>
              <w:rPr>
                <w:rFonts w:ascii="Times New Roman" w:hAnsi="Times New Roman"/>
                <w:b/>
                <w:color w:val="auto"/>
                <w:kern w:val="0"/>
                <w:szCs w:val="21"/>
                <w:highlight w:val="none"/>
                <w:lang w:bidi="ar"/>
              </w:rPr>
              <w:t>道路长度（m）</w:t>
            </w:r>
          </w:p>
        </w:tc>
        <w:tc>
          <w:tcPr>
            <w:tcW w:w="74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Times New Roman" w:hAnsi="Times New Roman"/>
                <w:b/>
                <w:color w:val="auto"/>
                <w:szCs w:val="21"/>
                <w:highlight w:val="none"/>
              </w:rPr>
            </w:pPr>
            <w:r>
              <w:rPr>
                <w:rFonts w:ascii="Times New Roman" w:hAnsi="Times New Roman"/>
                <w:b/>
                <w:color w:val="auto"/>
                <w:kern w:val="0"/>
                <w:szCs w:val="21"/>
                <w:highlight w:val="none"/>
                <w:lang w:bidi="ar"/>
              </w:rPr>
              <w:t>总宽度（m）</w:t>
            </w:r>
          </w:p>
        </w:tc>
        <w:tc>
          <w:tcPr>
            <w:tcW w:w="77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Times New Roman" w:hAnsi="Times New Roman"/>
                <w:b/>
                <w:color w:val="auto"/>
                <w:szCs w:val="21"/>
                <w:highlight w:val="none"/>
              </w:rPr>
            </w:pPr>
            <w:r>
              <w:rPr>
                <w:rFonts w:ascii="Times New Roman" w:hAnsi="Times New Roman"/>
                <w:b/>
                <w:color w:val="auto"/>
                <w:kern w:val="0"/>
                <w:szCs w:val="21"/>
                <w:highlight w:val="none"/>
                <w:lang w:bidi="ar"/>
              </w:rPr>
              <w:t>绿带总宽度（m）</w:t>
            </w:r>
          </w:p>
        </w:tc>
        <w:tc>
          <w:tcPr>
            <w:tcW w:w="8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Times New Roman" w:hAnsi="Times New Roman"/>
                <w:b/>
                <w:color w:val="auto"/>
                <w:szCs w:val="21"/>
                <w:highlight w:val="none"/>
              </w:rPr>
            </w:pPr>
            <w:r>
              <w:rPr>
                <w:rFonts w:ascii="Times New Roman" w:hAnsi="Times New Roman"/>
                <w:b/>
                <w:color w:val="auto"/>
                <w:kern w:val="0"/>
                <w:szCs w:val="21"/>
                <w:highlight w:val="none"/>
                <w:lang w:bidi="ar"/>
              </w:rPr>
              <w:t>绿化覆盖率（%）</w:t>
            </w:r>
          </w:p>
        </w:tc>
        <w:tc>
          <w:tcPr>
            <w:tcW w:w="6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Times New Roman" w:hAnsi="Times New Roman"/>
                <w:b/>
                <w:color w:val="auto"/>
                <w:szCs w:val="21"/>
                <w:highlight w:val="none"/>
              </w:rPr>
            </w:pPr>
            <w:r>
              <w:rPr>
                <w:rFonts w:ascii="Times New Roman" w:hAnsi="Times New Roman"/>
                <w:b/>
                <w:color w:val="auto"/>
                <w:kern w:val="0"/>
                <w:szCs w:val="21"/>
                <w:highlight w:val="none"/>
                <w:lang w:bidi="ar"/>
              </w:rPr>
              <w:t>达标指标（%）</w:t>
            </w:r>
          </w:p>
        </w:tc>
        <w:tc>
          <w:tcPr>
            <w:tcW w:w="67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Times New Roman" w:hAnsi="Times New Roman"/>
                <w:b/>
                <w:color w:val="auto"/>
                <w:szCs w:val="21"/>
                <w:highlight w:val="none"/>
              </w:rPr>
            </w:pPr>
            <w:r>
              <w:rPr>
                <w:rFonts w:ascii="Times New Roman" w:hAnsi="Times New Roman"/>
                <w:b/>
                <w:color w:val="auto"/>
                <w:kern w:val="0"/>
                <w:szCs w:val="21"/>
                <w:highlight w:val="none"/>
                <w:lang w:bidi="ar"/>
              </w:rPr>
              <w:t>是否达标</w:t>
            </w:r>
          </w:p>
        </w:tc>
        <w:tc>
          <w:tcPr>
            <w:tcW w:w="71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Times New Roman" w:hAnsi="Times New Roman"/>
                <w:b/>
                <w:color w:val="auto"/>
                <w:szCs w:val="21"/>
                <w:highlight w:val="none"/>
              </w:rPr>
            </w:pPr>
            <w:r>
              <w:rPr>
                <w:rFonts w:ascii="Times New Roman" w:hAnsi="Times New Roman"/>
                <w:b/>
                <w:color w:val="auto"/>
                <w:kern w:val="0"/>
                <w:szCs w:val="21"/>
                <w:highlight w:val="none"/>
                <w:lang w:bidi="ar"/>
              </w:rPr>
              <w:t>加宽宽度</w:t>
            </w:r>
          </w:p>
        </w:tc>
        <w:tc>
          <w:tcPr>
            <w:tcW w:w="9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textAlignment w:val="center"/>
              <w:rPr>
                <w:rFonts w:ascii="Times New Roman" w:hAnsi="Times New Roman"/>
                <w:b/>
                <w:color w:val="auto"/>
                <w:szCs w:val="21"/>
                <w:highlight w:val="none"/>
              </w:rPr>
            </w:pPr>
            <w:r>
              <w:rPr>
                <w:rFonts w:ascii="Times New Roman" w:hAnsi="Times New Roman"/>
                <w:b/>
                <w:color w:val="auto"/>
                <w:kern w:val="0"/>
                <w:szCs w:val="21"/>
                <w:highlight w:val="none"/>
                <w:lang w:bidi="ar"/>
              </w:rPr>
              <w:t>改造面积（m</w:t>
            </w:r>
            <w:r>
              <w:rPr>
                <w:rFonts w:ascii="Times New Roman" w:hAnsi="Times New Roman"/>
                <w:b/>
                <w:color w:val="auto"/>
                <w:kern w:val="0"/>
                <w:szCs w:val="21"/>
                <w:highlight w:val="none"/>
                <w:vertAlign w:val="superscript"/>
                <w:lang w:bidi="ar"/>
              </w:rPr>
              <w:t>2</w:t>
            </w:r>
            <w:r>
              <w:rPr>
                <w:rFonts w:ascii="Times New Roman" w:hAnsi="Times New Roman"/>
                <w:b/>
                <w:color w:val="auto"/>
                <w:kern w:val="0"/>
                <w:szCs w:val="21"/>
                <w:highlight w:val="none"/>
                <w:lang w:bidi="ar"/>
              </w:rPr>
              <w:t>)</w:t>
            </w:r>
          </w:p>
        </w:tc>
      </w:tr>
      <w:tr>
        <w:tblPrEx>
          <w:tblCellMar>
            <w:top w:w="0" w:type="dxa"/>
            <w:left w:w="0" w:type="dxa"/>
            <w:bottom w:w="0" w:type="dxa"/>
            <w:right w:w="0" w:type="dxa"/>
          </w:tblCellMar>
        </w:tblPrEx>
        <w:trPr>
          <w:trHeight w:val="633" w:hRule="atLeast"/>
          <w:jc w:val="center"/>
        </w:trPr>
        <w:tc>
          <w:tcPr>
            <w:tcW w:w="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w:t>
            </w:r>
          </w:p>
        </w:tc>
        <w:tc>
          <w:tcPr>
            <w:tcW w:w="1337"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二环路</w:t>
            </w:r>
          </w:p>
        </w:tc>
        <w:tc>
          <w:tcPr>
            <w:tcW w:w="12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县政府红绿灯路口</w:t>
            </w:r>
          </w:p>
        </w:tc>
        <w:tc>
          <w:tcPr>
            <w:tcW w:w="107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金凤凰红绿灯路口</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1476</w:t>
            </w:r>
          </w:p>
        </w:tc>
        <w:tc>
          <w:tcPr>
            <w:tcW w:w="7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60</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5.00</w:t>
            </w:r>
          </w:p>
        </w:tc>
        <w:tc>
          <w:tcPr>
            <w:tcW w:w="6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20</w:t>
            </w:r>
          </w:p>
        </w:tc>
        <w:tc>
          <w:tcPr>
            <w:tcW w:w="6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c>
          <w:tcPr>
            <w:tcW w:w="7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13284</w:t>
            </w:r>
          </w:p>
        </w:tc>
      </w:tr>
      <w:tr>
        <w:tblPrEx>
          <w:tblCellMar>
            <w:top w:w="0" w:type="dxa"/>
            <w:left w:w="0" w:type="dxa"/>
            <w:bottom w:w="0" w:type="dxa"/>
            <w:right w:w="0" w:type="dxa"/>
          </w:tblCellMar>
        </w:tblPrEx>
        <w:trPr>
          <w:trHeight w:val="633" w:hRule="atLeast"/>
          <w:jc w:val="center"/>
        </w:trPr>
        <w:tc>
          <w:tcPr>
            <w:tcW w:w="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w:t>
            </w:r>
          </w:p>
        </w:tc>
        <w:tc>
          <w:tcPr>
            <w:tcW w:w="1337"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Times New Roman" w:hAnsi="Times New Roman"/>
                <w:color w:val="auto"/>
                <w:szCs w:val="21"/>
                <w:highlight w:val="none"/>
              </w:rPr>
            </w:pPr>
          </w:p>
        </w:tc>
        <w:tc>
          <w:tcPr>
            <w:tcW w:w="12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金凤凰红绿灯路口</w:t>
            </w:r>
          </w:p>
        </w:tc>
        <w:tc>
          <w:tcPr>
            <w:tcW w:w="107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二环南桥</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1373</w:t>
            </w:r>
          </w:p>
        </w:tc>
        <w:tc>
          <w:tcPr>
            <w:tcW w:w="7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60</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3.33</w:t>
            </w:r>
          </w:p>
        </w:tc>
        <w:tc>
          <w:tcPr>
            <w:tcW w:w="6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20</w:t>
            </w:r>
          </w:p>
        </w:tc>
        <w:tc>
          <w:tcPr>
            <w:tcW w:w="6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c>
          <w:tcPr>
            <w:tcW w:w="7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13730</w:t>
            </w:r>
          </w:p>
        </w:tc>
      </w:tr>
      <w:tr>
        <w:tblPrEx>
          <w:tblCellMar>
            <w:top w:w="0" w:type="dxa"/>
            <w:left w:w="0" w:type="dxa"/>
            <w:bottom w:w="0" w:type="dxa"/>
            <w:right w:w="0" w:type="dxa"/>
          </w:tblCellMar>
        </w:tblPrEx>
        <w:trPr>
          <w:trHeight w:val="340" w:hRule="atLeast"/>
          <w:jc w:val="center"/>
        </w:trPr>
        <w:tc>
          <w:tcPr>
            <w:tcW w:w="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w:t>
            </w:r>
          </w:p>
        </w:tc>
        <w:tc>
          <w:tcPr>
            <w:tcW w:w="1337"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Times New Roman" w:hAnsi="Times New Roman"/>
                <w:color w:val="auto"/>
                <w:szCs w:val="21"/>
                <w:highlight w:val="none"/>
              </w:rPr>
            </w:pPr>
          </w:p>
        </w:tc>
        <w:tc>
          <w:tcPr>
            <w:tcW w:w="12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二环南桥</w:t>
            </w:r>
          </w:p>
        </w:tc>
        <w:tc>
          <w:tcPr>
            <w:tcW w:w="107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二环北桥</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3639</w:t>
            </w:r>
          </w:p>
        </w:tc>
        <w:tc>
          <w:tcPr>
            <w:tcW w:w="7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60</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13.33</w:t>
            </w:r>
          </w:p>
        </w:tc>
        <w:tc>
          <w:tcPr>
            <w:tcW w:w="6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20</w:t>
            </w:r>
          </w:p>
        </w:tc>
        <w:tc>
          <w:tcPr>
            <w:tcW w:w="6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c>
          <w:tcPr>
            <w:tcW w:w="7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14556</w:t>
            </w:r>
          </w:p>
        </w:tc>
      </w:tr>
      <w:tr>
        <w:tblPrEx>
          <w:tblCellMar>
            <w:top w:w="0" w:type="dxa"/>
            <w:left w:w="0" w:type="dxa"/>
            <w:bottom w:w="0" w:type="dxa"/>
            <w:right w:w="0" w:type="dxa"/>
          </w:tblCellMar>
        </w:tblPrEx>
        <w:trPr>
          <w:trHeight w:val="633" w:hRule="atLeast"/>
          <w:jc w:val="center"/>
        </w:trPr>
        <w:tc>
          <w:tcPr>
            <w:tcW w:w="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w:t>
            </w:r>
          </w:p>
        </w:tc>
        <w:tc>
          <w:tcPr>
            <w:tcW w:w="1337"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ascii="Times New Roman" w:hAnsi="Times New Roman"/>
                <w:color w:val="auto"/>
                <w:szCs w:val="21"/>
                <w:highlight w:val="none"/>
              </w:rPr>
            </w:pPr>
          </w:p>
        </w:tc>
        <w:tc>
          <w:tcPr>
            <w:tcW w:w="12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二环北桥</w:t>
            </w:r>
          </w:p>
        </w:tc>
        <w:tc>
          <w:tcPr>
            <w:tcW w:w="107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县政府红绿灯路口</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2813</w:t>
            </w:r>
          </w:p>
        </w:tc>
        <w:tc>
          <w:tcPr>
            <w:tcW w:w="7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60</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2.5</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4.17</w:t>
            </w:r>
          </w:p>
        </w:tc>
        <w:tc>
          <w:tcPr>
            <w:tcW w:w="6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20</w:t>
            </w:r>
          </w:p>
        </w:tc>
        <w:tc>
          <w:tcPr>
            <w:tcW w:w="6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c>
          <w:tcPr>
            <w:tcW w:w="7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9.5</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26723.5</w:t>
            </w:r>
          </w:p>
        </w:tc>
      </w:tr>
      <w:tr>
        <w:tblPrEx>
          <w:tblCellMar>
            <w:top w:w="0" w:type="dxa"/>
            <w:left w:w="0" w:type="dxa"/>
            <w:bottom w:w="0" w:type="dxa"/>
            <w:right w:w="0" w:type="dxa"/>
          </w:tblCellMar>
        </w:tblPrEx>
        <w:trPr>
          <w:trHeight w:val="633" w:hRule="atLeast"/>
          <w:jc w:val="center"/>
        </w:trPr>
        <w:tc>
          <w:tcPr>
            <w:tcW w:w="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w:t>
            </w:r>
          </w:p>
        </w:tc>
        <w:tc>
          <w:tcPr>
            <w:tcW w:w="13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三环西路</w:t>
            </w:r>
          </w:p>
        </w:tc>
        <w:tc>
          <w:tcPr>
            <w:tcW w:w="12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中华鹏红绿灯路口</w:t>
            </w:r>
          </w:p>
        </w:tc>
        <w:tc>
          <w:tcPr>
            <w:tcW w:w="107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324国道</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865</w:t>
            </w:r>
          </w:p>
        </w:tc>
        <w:tc>
          <w:tcPr>
            <w:tcW w:w="7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59</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13.56</w:t>
            </w:r>
          </w:p>
        </w:tc>
        <w:tc>
          <w:tcPr>
            <w:tcW w:w="6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20</w:t>
            </w:r>
          </w:p>
        </w:tc>
        <w:tc>
          <w:tcPr>
            <w:tcW w:w="6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c>
          <w:tcPr>
            <w:tcW w:w="7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3.8</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3287</w:t>
            </w:r>
          </w:p>
        </w:tc>
      </w:tr>
      <w:tr>
        <w:tblPrEx>
          <w:tblCellMar>
            <w:top w:w="0" w:type="dxa"/>
            <w:left w:w="0" w:type="dxa"/>
            <w:bottom w:w="0" w:type="dxa"/>
            <w:right w:w="0" w:type="dxa"/>
          </w:tblCellMar>
        </w:tblPrEx>
        <w:trPr>
          <w:trHeight w:val="633" w:hRule="atLeast"/>
          <w:jc w:val="center"/>
        </w:trPr>
        <w:tc>
          <w:tcPr>
            <w:tcW w:w="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w:t>
            </w:r>
          </w:p>
        </w:tc>
        <w:tc>
          <w:tcPr>
            <w:tcW w:w="13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三环东路</w:t>
            </w:r>
          </w:p>
        </w:tc>
        <w:tc>
          <w:tcPr>
            <w:tcW w:w="12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红城大道东华富苑路口</w:t>
            </w:r>
          </w:p>
        </w:tc>
        <w:tc>
          <w:tcPr>
            <w:tcW w:w="107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海紫路女博士服饰路口</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2346</w:t>
            </w:r>
          </w:p>
        </w:tc>
        <w:tc>
          <w:tcPr>
            <w:tcW w:w="7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50</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0.00</w:t>
            </w:r>
          </w:p>
        </w:tc>
        <w:tc>
          <w:tcPr>
            <w:tcW w:w="6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20</w:t>
            </w:r>
          </w:p>
        </w:tc>
        <w:tc>
          <w:tcPr>
            <w:tcW w:w="6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c>
          <w:tcPr>
            <w:tcW w:w="7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23460</w:t>
            </w:r>
          </w:p>
        </w:tc>
      </w:tr>
      <w:tr>
        <w:tblPrEx>
          <w:tblCellMar>
            <w:top w:w="0" w:type="dxa"/>
            <w:left w:w="0" w:type="dxa"/>
            <w:bottom w:w="0" w:type="dxa"/>
            <w:right w:w="0" w:type="dxa"/>
          </w:tblCellMar>
        </w:tblPrEx>
        <w:trPr>
          <w:trHeight w:val="340" w:hRule="atLeast"/>
          <w:jc w:val="center"/>
        </w:trPr>
        <w:tc>
          <w:tcPr>
            <w:tcW w:w="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w:t>
            </w:r>
          </w:p>
        </w:tc>
        <w:tc>
          <w:tcPr>
            <w:tcW w:w="13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狮山二路</w:t>
            </w:r>
          </w:p>
        </w:tc>
        <w:tc>
          <w:tcPr>
            <w:tcW w:w="12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狮山小区路口</w:t>
            </w:r>
          </w:p>
        </w:tc>
        <w:tc>
          <w:tcPr>
            <w:tcW w:w="107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三环东路</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767</w:t>
            </w:r>
          </w:p>
        </w:tc>
        <w:tc>
          <w:tcPr>
            <w:tcW w:w="7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50</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0.00</w:t>
            </w:r>
          </w:p>
        </w:tc>
        <w:tc>
          <w:tcPr>
            <w:tcW w:w="6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20</w:t>
            </w:r>
          </w:p>
        </w:tc>
        <w:tc>
          <w:tcPr>
            <w:tcW w:w="6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c>
          <w:tcPr>
            <w:tcW w:w="7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7670</w:t>
            </w:r>
          </w:p>
        </w:tc>
      </w:tr>
      <w:tr>
        <w:tblPrEx>
          <w:tblCellMar>
            <w:top w:w="0" w:type="dxa"/>
            <w:left w:w="0" w:type="dxa"/>
            <w:bottom w:w="0" w:type="dxa"/>
            <w:right w:w="0" w:type="dxa"/>
          </w:tblCellMar>
        </w:tblPrEx>
        <w:trPr>
          <w:trHeight w:val="340" w:hRule="atLeast"/>
          <w:jc w:val="center"/>
        </w:trPr>
        <w:tc>
          <w:tcPr>
            <w:tcW w:w="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w:t>
            </w:r>
          </w:p>
        </w:tc>
        <w:tc>
          <w:tcPr>
            <w:tcW w:w="13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ascii="Times New Roman" w:hAnsi="Times New Roman"/>
                <w:color w:val="auto"/>
                <w:szCs w:val="21"/>
                <w:highlight w:val="none"/>
              </w:rPr>
            </w:pPr>
            <w:r>
              <w:rPr>
                <w:rFonts w:ascii="Times New Roman" w:hAnsi="Times New Roman"/>
                <w:color w:val="auto"/>
                <w:szCs w:val="21"/>
                <w:highlight w:val="none"/>
              </w:rPr>
              <w:t>红城大道</w:t>
            </w:r>
          </w:p>
        </w:tc>
        <w:tc>
          <w:tcPr>
            <w:tcW w:w="12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德成小学路口</w:t>
            </w:r>
          </w:p>
        </w:tc>
        <w:tc>
          <w:tcPr>
            <w:tcW w:w="107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新桥</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2581</w:t>
            </w:r>
          </w:p>
        </w:tc>
        <w:tc>
          <w:tcPr>
            <w:tcW w:w="7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40</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5.5</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13.75</w:t>
            </w:r>
          </w:p>
        </w:tc>
        <w:tc>
          <w:tcPr>
            <w:tcW w:w="6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15</w:t>
            </w:r>
          </w:p>
        </w:tc>
        <w:tc>
          <w:tcPr>
            <w:tcW w:w="6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c>
          <w:tcPr>
            <w:tcW w:w="7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2.5</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6452.5</w:t>
            </w:r>
          </w:p>
        </w:tc>
      </w:tr>
      <w:tr>
        <w:tblPrEx>
          <w:tblCellMar>
            <w:top w:w="0" w:type="dxa"/>
            <w:left w:w="0" w:type="dxa"/>
            <w:bottom w:w="0" w:type="dxa"/>
            <w:right w:w="0" w:type="dxa"/>
          </w:tblCellMar>
        </w:tblPrEx>
        <w:trPr>
          <w:trHeight w:val="340" w:hRule="atLeast"/>
          <w:jc w:val="center"/>
        </w:trPr>
        <w:tc>
          <w:tcPr>
            <w:tcW w:w="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w:t>
            </w:r>
          </w:p>
        </w:tc>
        <w:tc>
          <w:tcPr>
            <w:tcW w:w="13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青年干渠</w:t>
            </w:r>
          </w:p>
        </w:tc>
        <w:tc>
          <w:tcPr>
            <w:tcW w:w="12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三环西路</w:t>
            </w:r>
          </w:p>
        </w:tc>
        <w:tc>
          <w:tcPr>
            <w:tcW w:w="107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新金川</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1263</w:t>
            </w:r>
          </w:p>
        </w:tc>
        <w:tc>
          <w:tcPr>
            <w:tcW w:w="7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19</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0.00</w:t>
            </w:r>
          </w:p>
        </w:tc>
        <w:tc>
          <w:tcPr>
            <w:tcW w:w="6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w:t>
            </w:r>
          </w:p>
        </w:tc>
        <w:tc>
          <w:tcPr>
            <w:tcW w:w="6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c>
          <w:tcPr>
            <w:tcW w:w="7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3.8</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4799.4</w:t>
            </w:r>
          </w:p>
        </w:tc>
      </w:tr>
      <w:tr>
        <w:tblPrEx>
          <w:tblCellMar>
            <w:top w:w="0" w:type="dxa"/>
            <w:left w:w="0" w:type="dxa"/>
            <w:bottom w:w="0" w:type="dxa"/>
            <w:right w:w="0" w:type="dxa"/>
          </w:tblCellMar>
        </w:tblPrEx>
        <w:trPr>
          <w:trHeight w:val="633" w:hRule="atLeast"/>
          <w:jc w:val="center"/>
        </w:trPr>
        <w:tc>
          <w:tcPr>
            <w:tcW w:w="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w:t>
            </w:r>
          </w:p>
        </w:tc>
        <w:tc>
          <w:tcPr>
            <w:tcW w:w="13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海紫路</w:t>
            </w:r>
          </w:p>
        </w:tc>
        <w:tc>
          <w:tcPr>
            <w:tcW w:w="12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红城大道东腾园路口</w:t>
            </w:r>
          </w:p>
        </w:tc>
        <w:tc>
          <w:tcPr>
            <w:tcW w:w="107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三环北路红绿灯路口</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2303</w:t>
            </w:r>
          </w:p>
        </w:tc>
        <w:tc>
          <w:tcPr>
            <w:tcW w:w="7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37</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0.00</w:t>
            </w:r>
          </w:p>
        </w:tc>
        <w:tc>
          <w:tcPr>
            <w:tcW w:w="6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15</w:t>
            </w:r>
          </w:p>
        </w:tc>
        <w:tc>
          <w:tcPr>
            <w:tcW w:w="6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c>
          <w:tcPr>
            <w:tcW w:w="7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7.4</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17042.2</w:t>
            </w:r>
          </w:p>
        </w:tc>
      </w:tr>
      <w:tr>
        <w:tblPrEx>
          <w:tblCellMar>
            <w:top w:w="0" w:type="dxa"/>
            <w:left w:w="0" w:type="dxa"/>
            <w:bottom w:w="0" w:type="dxa"/>
            <w:right w:w="0" w:type="dxa"/>
          </w:tblCellMar>
        </w:tblPrEx>
        <w:trPr>
          <w:trHeight w:val="340" w:hRule="atLeast"/>
          <w:jc w:val="center"/>
        </w:trPr>
        <w:tc>
          <w:tcPr>
            <w:tcW w:w="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11</w:t>
            </w:r>
          </w:p>
        </w:tc>
        <w:tc>
          <w:tcPr>
            <w:tcW w:w="13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海龙路</w:t>
            </w:r>
          </w:p>
        </w:tc>
        <w:tc>
          <w:tcPr>
            <w:tcW w:w="12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二环东路</w:t>
            </w:r>
          </w:p>
        </w:tc>
        <w:tc>
          <w:tcPr>
            <w:tcW w:w="107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324国道</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918</w:t>
            </w:r>
          </w:p>
        </w:tc>
        <w:tc>
          <w:tcPr>
            <w:tcW w:w="7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15</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0.00</w:t>
            </w:r>
          </w:p>
        </w:tc>
        <w:tc>
          <w:tcPr>
            <w:tcW w:w="6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酌情</w:t>
            </w:r>
          </w:p>
        </w:tc>
        <w:tc>
          <w:tcPr>
            <w:tcW w:w="6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c>
          <w:tcPr>
            <w:tcW w:w="7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2754</w:t>
            </w:r>
          </w:p>
        </w:tc>
      </w:tr>
      <w:tr>
        <w:tblPrEx>
          <w:tblCellMar>
            <w:top w:w="0" w:type="dxa"/>
            <w:left w:w="0" w:type="dxa"/>
            <w:bottom w:w="0" w:type="dxa"/>
            <w:right w:w="0" w:type="dxa"/>
          </w:tblCellMar>
        </w:tblPrEx>
        <w:trPr>
          <w:trHeight w:val="633" w:hRule="atLeast"/>
          <w:jc w:val="center"/>
        </w:trPr>
        <w:tc>
          <w:tcPr>
            <w:tcW w:w="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12</w:t>
            </w:r>
          </w:p>
        </w:tc>
        <w:tc>
          <w:tcPr>
            <w:tcW w:w="13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祥德路</w:t>
            </w:r>
          </w:p>
        </w:tc>
        <w:tc>
          <w:tcPr>
            <w:tcW w:w="12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二环西路新金川路口</w:t>
            </w:r>
          </w:p>
        </w:tc>
        <w:tc>
          <w:tcPr>
            <w:tcW w:w="107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324国道</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943</w:t>
            </w:r>
          </w:p>
        </w:tc>
        <w:tc>
          <w:tcPr>
            <w:tcW w:w="7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37</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8.11</w:t>
            </w:r>
          </w:p>
        </w:tc>
        <w:tc>
          <w:tcPr>
            <w:tcW w:w="6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15</w:t>
            </w:r>
          </w:p>
        </w:tc>
        <w:tc>
          <w:tcPr>
            <w:tcW w:w="6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c>
          <w:tcPr>
            <w:tcW w:w="7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4.4</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4149.2</w:t>
            </w:r>
          </w:p>
        </w:tc>
      </w:tr>
      <w:tr>
        <w:tblPrEx>
          <w:tblCellMar>
            <w:top w:w="0" w:type="dxa"/>
            <w:left w:w="0" w:type="dxa"/>
            <w:bottom w:w="0" w:type="dxa"/>
            <w:right w:w="0" w:type="dxa"/>
          </w:tblCellMar>
        </w:tblPrEx>
        <w:trPr>
          <w:trHeight w:val="633" w:hRule="atLeast"/>
          <w:jc w:val="center"/>
        </w:trPr>
        <w:tc>
          <w:tcPr>
            <w:tcW w:w="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13</w:t>
            </w:r>
          </w:p>
        </w:tc>
        <w:tc>
          <w:tcPr>
            <w:tcW w:w="13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铜钱山路</w:t>
            </w:r>
          </w:p>
        </w:tc>
        <w:tc>
          <w:tcPr>
            <w:tcW w:w="12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红城大道国土测绘队路口</w:t>
            </w:r>
          </w:p>
        </w:tc>
        <w:tc>
          <w:tcPr>
            <w:tcW w:w="107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南到广富路路口</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302</w:t>
            </w:r>
          </w:p>
        </w:tc>
        <w:tc>
          <w:tcPr>
            <w:tcW w:w="7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18</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0.00</w:t>
            </w:r>
          </w:p>
        </w:tc>
        <w:tc>
          <w:tcPr>
            <w:tcW w:w="6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w:t>
            </w:r>
          </w:p>
        </w:tc>
        <w:tc>
          <w:tcPr>
            <w:tcW w:w="6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c>
          <w:tcPr>
            <w:tcW w:w="7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3.6</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1087.2</w:t>
            </w:r>
          </w:p>
        </w:tc>
      </w:tr>
      <w:tr>
        <w:tblPrEx>
          <w:tblCellMar>
            <w:top w:w="0" w:type="dxa"/>
            <w:left w:w="0" w:type="dxa"/>
            <w:bottom w:w="0" w:type="dxa"/>
            <w:right w:w="0" w:type="dxa"/>
          </w:tblCellMar>
        </w:tblPrEx>
        <w:trPr>
          <w:trHeight w:val="633" w:hRule="atLeast"/>
          <w:jc w:val="center"/>
        </w:trPr>
        <w:tc>
          <w:tcPr>
            <w:tcW w:w="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14</w:t>
            </w:r>
          </w:p>
        </w:tc>
        <w:tc>
          <w:tcPr>
            <w:tcW w:w="13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人民西路</w:t>
            </w:r>
          </w:p>
        </w:tc>
        <w:tc>
          <w:tcPr>
            <w:tcW w:w="129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蓝天广场红绿灯路口</w:t>
            </w:r>
          </w:p>
        </w:tc>
        <w:tc>
          <w:tcPr>
            <w:tcW w:w="107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海丰县金都宾馆路口</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613</w:t>
            </w:r>
          </w:p>
        </w:tc>
        <w:tc>
          <w:tcPr>
            <w:tcW w:w="7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27</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7.41</w:t>
            </w:r>
          </w:p>
        </w:tc>
        <w:tc>
          <w:tcPr>
            <w:tcW w:w="6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w:t>
            </w:r>
          </w:p>
        </w:tc>
        <w:tc>
          <w:tcPr>
            <w:tcW w:w="6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c>
          <w:tcPr>
            <w:tcW w:w="7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3.4</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2084.2</w:t>
            </w:r>
          </w:p>
        </w:tc>
      </w:tr>
      <w:tr>
        <w:tblPrEx>
          <w:tblCellMar>
            <w:top w:w="0" w:type="dxa"/>
            <w:left w:w="0" w:type="dxa"/>
            <w:bottom w:w="0" w:type="dxa"/>
            <w:right w:w="0" w:type="dxa"/>
          </w:tblCellMar>
        </w:tblPrEx>
        <w:trPr>
          <w:trHeight w:val="340" w:hRule="atLeast"/>
          <w:jc w:val="center"/>
        </w:trPr>
        <w:tc>
          <w:tcPr>
            <w:tcW w:w="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15</w:t>
            </w:r>
          </w:p>
        </w:tc>
        <w:tc>
          <w:tcPr>
            <w:tcW w:w="13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龙山路</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ascii="Times New Roman" w:hAnsi="Times New Roman"/>
                <w:color w:val="auto"/>
                <w:szCs w:val="21"/>
                <w:highlight w:val="none"/>
              </w:rPr>
            </w:pPr>
          </w:p>
        </w:tc>
        <w:tc>
          <w:tcPr>
            <w:tcW w:w="107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ascii="Times New Roman" w:hAnsi="Times New Roman"/>
                <w:color w:val="auto"/>
                <w:szCs w:val="21"/>
                <w:highlight w:val="none"/>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1070</w:t>
            </w:r>
          </w:p>
        </w:tc>
        <w:tc>
          <w:tcPr>
            <w:tcW w:w="7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16</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0.00</w:t>
            </w:r>
          </w:p>
        </w:tc>
        <w:tc>
          <w:tcPr>
            <w:tcW w:w="6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w:t>
            </w:r>
          </w:p>
        </w:tc>
        <w:tc>
          <w:tcPr>
            <w:tcW w:w="6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c>
          <w:tcPr>
            <w:tcW w:w="7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3.2</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3424</w:t>
            </w:r>
          </w:p>
        </w:tc>
      </w:tr>
      <w:tr>
        <w:tblPrEx>
          <w:tblCellMar>
            <w:top w:w="0" w:type="dxa"/>
            <w:left w:w="0" w:type="dxa"/>
            <w:bottom w:w="0" w:type="dxa"/>
            <w:right w:w="0" w:type="dxa"/>
          </w:tblCellMar>
        </w:tblPrEx>
        <w:trPr>
          <w:trHeight w:val="340" w:hRule="atLeast"/>
          <w:jc w:val="center"/>
        </w:trPr>
        <w:tc>
          <w:tcPr>
            <w:tcW w:w="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16</w:t>
            </w:r>
          </w:p>
        </w:tc>
        <w:tc>
          <w:tcPr>
            <w:tcW w:w="13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宫地山路</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宫地山工业区</w:t>
            </w:r>
          </w:p>
        </w:tc>
        <w:tc>
          <w:tcPr>
            <w:tcW w:w="107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三环东路</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878</w:t>
            </w:r>
          </w:p>
        </w:tc>
        <w:tc>
          <w:tcPr>
            <w:tcW w:w="7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21</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0.00</w:t>
            </w:r>
          </w:p>
        </w:tc>
        <w:tc>
          <w:tcPr>
            <w:tcW w:w="6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w:t>
            </w:r>
          </w:p>
        </w:tc>
        <w:tc>
          <w:tcPr>
            <w:tcW w:w="6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c>
          <w:tcPr>
            <w:tcW w:w="7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4.2</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3687.6</w:t>
            </w:r>
          </w:p>
        </w:tc>
      </w:tr>
      <w:tr>
        <w:tblPrEx>
          <w:tblCellMar>
            <w:top w:w="0" w:type="dxa"/>
            <w:left w:w="0" w:type="dxa"/>
            <w:bottom w:w="0" w:type="dxa"/>
            <w:right w:w="0" w:type="dxa"/>
          </w:tblCellMar>
        </w:tblPrEx>
        <w:trPr>
          <w:trHeight w:val="340" w:hRule="atLeast"/>
          <w:jc w:val="center"/>
        </w:trPr>
        <w:tc>
          <w:tcPr>
            <w:tcW w:w="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17</w:t>
            </w:r>
          </w:p>
        </w:tc>
        <w:tc>
          <w:tcPr>
            <w:tcW w:w="133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宫地山横路</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狮山小学路口</w:t>
            </w:r>
          </w:p>
        </w:tc>
        <w:tc>
          <w:tcPr>
            <w:tcW w:w="107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lef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三环东路</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843</w:t>
            </w:r>
          </w:p>
        </w:tc>
        <w:tc>
          <w:tcPr>
            <w:tcW w:w="74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21</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0.00</w:t>
            </w:r>
          </w:p>
        </w:tc>
        <w:tc>
          <w:tcPr>
            <w:tcW w:w="68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w:t>
            </w:r>
          </w:p>
        </w:tc>
        <w:tc>
          <w:tcPr>
            <w:tcW w:w="6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c>
          <w:tcPr>
            <w:tcW w:w="71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4.2</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3540.6</w:t>
            </w:r>
          </w:p>
        </w:tc>
      </w:tr>
      <w:tr>
        <w:tblPrEx>
          <w:tblCellMar>
            <w:top w:w="0" w:type="dxa"/>
            <w:left w:w="0" w:type="dxa"/>
            <w:bottom w:w="0" w:type="dxa"/>
            <w:right w:w="0" w:type="dxa"/>
          </w:tblCellMar>
        </w:tblPrEx>
        <w:trPr>
          <w:trHeight w:val="358" w:hRule="atLeast"/>
          <w:jc w:val="center"/>
        </w:trPr>
        <w:tc>
          <w:tcPr>
            <w:tcW w:w="9365" w:type="dxa"/>
            <w:gridSpan w:val="11"/>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center"/>
              <w:textAlignment w:val="center"/>
              <w:rPr>
                <w:rFonts w:ascii="Times New Roman" w:hAnsi="Times New Roman"/>
                <w:b/>
                <w:color w:val="auto"/>
                <w:szCs w:val="21"/>
                <w:highlight w:val="none"/>
              </w:rPr>
            </w:pPr>
            <w:r>
              <w:rPr>
                <w:rFonts w:ascii="Times New Roman" w:hAnsi="Times New Roman"/>
                <w:b/>
                <w:color w:val="auto"/>
                <w:kern w:val="0"/>
                <w:szCs w:val="21"/>
                <w:highlight w:val="none"/>
                <w:lang w:bidi="ar"/>
              </w:rPr>
              <w:t>合计（m</w:t>
            </w:r>
            <w:r>
              <w:rPr>
                <w:rFonts w:ascii="Times New Roman" w:hAnsi="Times New Roman"/>
                <w:b/>
                <w:color w:val="auto"/>
                <w:kern w:val="0"/>
                <w:szCs w:val="21"/>
                <w:highlight w:val="none"/>
                <w:vertAlign w:val="superscript"/>
                <w:lang w:bidi="ar"/>
              </w:rPr>
              <w:t>2</w:t>
            </w:r>
            <w:r>
              <w:rPr>
                <w:rFonts w:hint="eastAsia" w:ascii="Times New Roman" w:hAnsi="Times New Roman"/>
                <w:b/>
                <w:color w:val="auto"/>
                <w:kern w:val="0"/>
                <w:szCs w:val="21"/>
                <w:highlight w:val="none"/>
                <w:lang w:bidi="ar"/>
              </w:rPr>
              <w:t>）</w:t>
            </w:r>
          </w:p>
        </w:tc>
        <w:tc>
          <w:tcPr>
            <w:tcW w:w="99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jc w:val="right"/>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151731.4</w:t>
            </w:r>
          </w:p>
        </w:tc>
      </w:tr>
    </w:tbl>
    <w:p>
      <w:pPr>
        <w:pStyle w:val="2"/>
        <w:ind w:firstLine="560"/>
        <w:rPr>
          <w:rFonts w:ascii="Times New Roman" w:hAnsi="Times New Roman" w:eastAsia="宋体"/>
          <w:color w:val="auto"/>
          <w:szCs w:val="28"/>
          <w:highlight w:val="none"/>
        </w:rPr>
      </w:pPr>
    </w:p>
    <w:p>
      <w:pPr>
        <w:spacing w:line="360" w:lineRule="auto"/>
        <w:ind w:firstLine="560" w:firstLineChars="200"/>
        <w:rPr>
          <w:rFonts w:ascii="Times New Roman" w:hAnsi="Times New Roman"/>
          <w:color w:val="auto"/>
          <w:sz w:val="28"/>
          <w:szCs w:val="28"/>
          <w:highlight w:val="none"/>
        </w:rPr>
      </w:pPr>
      <w:r>
        <w:rPr>
          <w:rFonts w:hint="eastAsia" w:ascii="Times New Roman" w:hAnsi="Times New Roman"/>
          <w:color w:val="auto"/>
          <w:sz w:val="28"/>
          <w:szCs w:val="28"/>
          <w:highlight w:val="none"/>
        </w:rPr>
        <w:t>规划建成区内宽度大于</w:t>
      </w:r>
      <w:r>
        <w:rPr>
          <w:rFonts w:ascii="Times New Roman" w:hAnsi="Times New Roman"/>
          <w:color w:val="auto"/>
          <w:sz w:val="28"/>
          <w:szCs w:val="28"/>
          <w:highlight w:val="none"/>
        </w:rPr>
        <w:t>12</w:t>
      </w:r>
      <w:r>
        <w:rPr>
          <w:rFonts w:hint="eastAsia" w:ascii="Times New Roman" w:hAnsi="Times New Roman"/>
          <w:color w:val="auto"/>
          <w:sz w:val="28"/>
          <w:szCs w:val="28"/>
          <w:highlight w:val="none"/>
        </w:rPr>
        <w:t>米的有河流</w:t>
      </w:r>
      <w:r>
        <w:rPr>
          <w:rFonts w:ascii="Times New Roman" w:hAnsi="Times New Roman"/>
          <w:color w:val="auto"/>
          <w:sz w:val="28"/>
          <w:szCs w:val="28"/>
          <w:highlight w:val="none"/>
        </w:rPr>
        <w:t>1</w:t>
      </w:r>
      <w:r>
        <w:rPr>
          <w:rFonts w:hint="eastAsia" w:ascii="Times New Roman" w:hAnsi="Times New Roman"/>
          <w:color w:val="auto"/>
          <w:sz w:val="28"/>
          <w:szCs w:val="28"/>
          <w:highlight w:val="none"/>
        </w:rPr>
        <w:t>条，为龙津河，长度为</w:t>
      </w:r>
      <w:r>
        <w:rPr>
          <w:rFonts w:ascii="Times New Roman" w:hAnsi="Times New Roman"/>
          <w:color w:val="auto"/>
          <w:sz w:val="28"/>
          <w:szCs w:val="28"/>
          <w:highlight w:val="none"/>
        </w:rPr>
        <w:t>4526.5</w:t>
      </w:r>
      <w:r>
        <w:rPr>
          <w:rFonts w:hint="eastAsia" w:ascii="Times New Roman" w:hAnsi="Times New Roman"/>
          <w:color w:val="auto"/>
          <w:sz w:val="28"/>
          <w:szCs w:val="28"/>
          <w:highlight w:val="none"/>
        </w:rPr>
        <w:t>米。龙津河两岸岸线长度为</w:t>
      </w:r>
      <w:r>
        <w:rPr>
          <w:rFonts w:ascii="Times New Roman" w:hAnsi="Times New Roman"/>
          <w:color w:val="auto"/>
          <w:sz w:val="28"/>
          <w:szCs w:val="28"/>
          <w:highlight w:val="none"/>
        </w:rPr>
        <w:t>9053</w:t>
      </w:r>
      <w:r>
        <w:rPr>
          <w:rFonts w:hint="eastAsia" w:ascii="Times New Roman" w:hAnsi="Times New Roman"/>
          <w:color w:val="auto"/>
          <w:sz w:val="28"/>
          <w:szCs w:val="28"/>
          <w:highlight w:val="none"/>
        </w:rPr>
        <w:t>米，宽度大于或等于</w:t>
      </w:r>
      <w:r>
        <w:rPr>
          <w:rFonts w:ascii="Times New Roman" w:hAnsi="Times New Roman"/>
          <w:color w:val="auto"/>
          <w:sz w:val="28"/>
          <w:szCs w:val="28"/>
          <w:highlight w:val="none"/>
        </w:rPr>
        <w:t>12</w:t>
      </w:r>
      <w:r>
        <w:rPr>
          <w:rFonts w:hint="eastAsia" w:ascii="Times New Roman" w:hAnsi="Times New Roman"/>
          <w:color w:val="auto"/>
          <w:sz w:val="28"/>
          <w:szCs w:val="28"/>
          <w:highlight w:val="none"/>
        </w:rPr>
        <w:t>米的滨河绿带长度为</w:t>
      </w:r>
      <w:r>
        <w:rPr>
          <w:rFonts w:ascii="Times New Roman" w:hAnsi="Times New Roman"/>
          <w:color w:val="auto"/>
          <w:sz w:val="28"/>
          <w:szCs w:val="28"/>
          <w:highlight w:val="none"/>
        </w:rPr>
        <w:t>7070.78</w:t>
      </w:r>
      <w:r>
        <w:rPr>
          <w:rFonts w:hint="eastAsia" w:ascii="Times New Roman" w:hAnsi="Times New Roman"/>
          <w:color w:val="auto"/>
          <w:sz w:val="28"/>
          <w:szCs w:val="28"/>
          <w:highlight w:val="none"/>
        </w:rPr>
        <w:t>米，河道绿化普及率为</w:t>
      </w:r>
      <w:r>
        <w:rPr>
          <w:rFonts w:ascii="Times New Roman" w:hAnsi="Times New Roman"/>
          <w:color w:val="auto"/>
          <w:sz w:val="28"/>
          <w:szCs w:val="28"/>
          <w:highlight w:val="none"/>
        </w:rPr>
        <w:t>78.10%</w:t>
      </w:r>
      <w:r>
        <w:rPr>
          <w:rFonts w:hint="eastAsia" w:ascii="Times New Roman" w:hAnsi="Times New Roman"/>
          <w:color w:val="auto"/>
          <w:sz w:val="28"/>
          <w:szCs w:val="28"/>
          <w:highlight w:val="none"/>
        </w:rPr>
        <w:t>，距离标准要求的</w:t>
      </w:r>
      <w:r>
        <w:rPr>
          <w:rFonts w:ascii="Times New Roman" w:hAnsi="Times New Roman"/>
          <w:color w:val="auto"/>
          <w:sz w:val="28"/>
          <w:szCs w:val="28"/>
          <w:highlight w:val="none"/>
        </w:rPr>
        <w:t>85%</w:t>
      </w:r>
      <w:r>
        <w:rPr>
          <w:rFonts w:hint="eastAsia" w:ascii="Times New Roman" w:hAnsi="Times New Roman"/>
          <w:color w:val="auto"/>
          <w:sz w:val="28"/>
          <w:szCs w:val="28"/>
          <w:highlight w:val="none"/>
        </w:rPr>
        <w:t>存在差距。通过龙津河公园、龙舌埔公园、龙津公园等滨河公园的建设后，龙津河两岸绿化带增到</w:t>
      </w:r>
      <w:r>
        <w:rPr>
          <w:rFonts w:ascii="Times New Roman" w:hAnsi="Times New Roman"/>
          <w:color w:val="auto"/>
          <w:sz w:val="28"/>
          <w:szCs w:val="28"/>
          <w:highlight w:val="none"/>
        </w:rPr>
        <w:t>8412.62</w:t>
      </w:r>
      <w:r>
        <w:rPr>
          <w:rFonts w:hint="eastAsia" w:ascii="Times New Roman" w:hAnsi="Times New Roman"/>
          <w:color w:val="auto"/>
          <w:sz w:val="28"/>
          <w:szCs w:val="28"/>
          <w:highlight w:val="none"/>
        </w:rPr>
        <w:t>米，河道绿化普及率可达</w:t>
      </w:r>
      <w:r>
        <w:rPr>
          <w:rFonts w:ascii="Times New Roman" w:hAnsi="Times New Roman"/>
          <w:color w:val="auto"/>
          <w:sz w:val="28"/>
          <w:szCs w:val="28"/>
          <w:highlight w:val="none"/>
        </w:rPr>
        <w:t>92.93%</w:t>
      </w:r>
      <w:r>
        <w:rPr>
          <w:rFonts w:hint="eastAsia" w:ascii="Times New Roman" w:hAnsi="Times New Roman"/>
          <w:color w:val="auto"/>
          <w:sz w:val="28"/>
          <w:szCs w:val="28"/>
          <w:highlight w:val="none"/>
        </w:rPr>
        <w:t>。</w:t>
      </w:r>
    </w:p>
    <w:p>
      <w:pPr>
        <w:spacing w:line="360" w:lineRule="auto"/>
        <w:jc w:val="center"/>
        <w:rPr>
          <w:rFonts w:ascii="Times New Roman" w:hAnsi="Times New Roman"/>
          <w:b/>
          <w:bCs/>
          <w:color w:val="auto"/>
          <w:sz w:val="24"/>
          <w:highlight w:val="none"/>
        </w:rPr>
      </w:pPr>
      <w:r>
        <w:rPr>
          <w:rFonts w:hint="eastAsia" w:ascii="Times New Roman" w:hAnsi="Times New Roman"/>
          <w:b/>
          <w:bCs/>
          <w:color w:val="auto"/>
          <w:sz w:val="24"/>
          <w:highlight w:val="none"/>
        </w:rPr>
        <w:t>表4-</w:t>
      </w:r>
      <w:r>
        <w:rPr>
          <w:rFonts w:ascii="Times New Roman" w:hAnsi="Times New Roman"/>
          <w:b/>
          <w:bCs/>
          <w:color w:val="auto"/>
          <w:sz w:val="24"/>
          <w:highlight w:val="none"/>
        </w:rPr>
        <w:t>2-</w:t>
      </w:r>
      <w:r>
        <w:rPr>
          <w:rFonts w:hint="eastAsia" w:ascii="Times New Roman" w:hAnsi="Times New Roman"/>
          <w:b/>
          <w:bCs/>
          <w:color w:val="auto"/>
          <w:sz w:val="24"/>
          <w:highlight w:val="none"/>
        </w:rPr>
        <w:t>4</w:t>
      </w:r>
      <w:r>
        <w:rPr>
          <w:rFonts w:ascii="Times New Roman" w:hAnsi="Times New Roman"/>
          <w:b/>
          <w:bCs/>
          <w:color w:val="auto"/>
          <w:sz w:val="24"/>
          <w:highlight w:val="none"/>
        </w:rPr>
        <w:t xml:space="preserve"> </w:t>
      </w:r>
      <w:r>
        <w:rPr>
          <w:rFonts w:hint="eastAsia" w:ascii="Times New Roman" w:hAnsi="Times New Roman"/>
          <w:b/>
          <w:bCs/>
          <w:color w:val="auto"/>
          <w:sz w:val="24"/>
          <w:highlight w:val="none"/>
        </w:rPr>
        <w:t>海丰县规划后建成区河道绿化普及率统计表</w:t>
      </w:r>
    </w:p>
    <w:tbl>
      <w:tblPr>
        <w:tblStyle w:val="20"/>
        <w:tblW w:w="8314" w:type="dxa"/>
        <w:tblInd w:w="0" w:type="dxa"/>
        <w:tblLayout w:type="fixed"/>
        <w:tblCellMar>
          <w:top w:w="0" w:type="dxa"/>
          <w:left w:w="0" w:type="dxa"/>
          <w:bottom w:w="0" w:type="dxa"/>
          <w:right w:w="0" w:type="dxa"/>
        </w:tblCellMar>
      </w:tblPr>
      <w:tblGrid>
        <w:gridCol w:w="563"/>
        <w:gridCol w:w="990"/>
        <w:gridCol w:w="990"/>
        <w:gridCol w:w="1442"/>
        <w:gridCol w:w="1442"/>
        <w:gridCol w:w="1442"/>
        <w:gridCol w:w="1445"/>
      </w:tblGrid>
      <w:tr>
        <w:tblPrEx>
          <w:tblCellMar>
            <w:top w:w="0" w:type="dxa"/>
            <w:left w:w="0" w:type="dxa"/>
            <w:bottom w:w="0" w:type="dxa"/>
            <w:right w:w="0" w:type="dxa"/>
          </w:tblCellMar>
        </w:tblPrEx>
        <w:trPr>
          <w:trHeight w:val="976" w:hRule="exact"/>
        </w:trPr>
        <w:tc>
          <w:tcPr>
            <w:tcW w:w="563"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bCs/>
                <w:color w:val="auto"/>
                <w:szCs w:val="21"/>
                <w:highlight w:val="none"/>
                <w:lang w:eastAsia="en-US"/>
              </w:rPr>
            </w:pPr>
            <w:r>
              <w:rPr>
                <w:rFonts w:hint="eastAsia" w:ascii="Times New Roman" w:hAnsi="Times New Roman"/>
                <w:b/>
                <w:bCs/>
                <w:color w:val="auto"/>
                <w:szCs w:val="21"/>
                <w:highlight w:val="none"/>
                <w:lang w:eastAsia="en-US"/>
              </w:rPr>
              <w:t>序号</w:t>
            </w:r>
          </w:p>
        </w:tc>
        <w:tc>
          <w:tcPr>
            <w:tcW w:w="990"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bCs/>
                <w:color w:val="auto"/>
                <w:szCs w:val="21"/>
                <w:highlight w:val="none"/>
                <w:lang w:eastAsia="en-US"/>
              </w:rPr>
            </w:pPr>
            <w:r>
              <w:rPr>
                <w:rFonts w:hint="eastAsia" w:ascii="Times New Roman" w:hAnsi="Times New Roman"/>
                <w:b/>
                <w:bCs/>
                <w:color w:val="auto"/>
                <w:szCs w:val="21"/>
                <w:highlight w:val="none"/>
                <w:lang w:eastAsia="en-US"/>
              </w:rPr>
              <w:t>统计单位</w:t>
            </w:r>
          </w:p>
        </w:tc>
        <w:tc>
          <w:tcPr>
            <w:tcW w:w="990" w:type="dxa"/>
            <w:tcBorders>
              <w:top w:val="single" w:color="000000" w:sz="2" w:space="0"/>
              <w:left w:val="single" w:color="000000" w:sz="2" w:space="0"/>
              <w:bottom w:val="single" w:color="000000" w:sz="2" w:space="0"/>
              <w:right w:val="single" w:color="auto" w:sz="4" w:space="0"/>
            </w:tcBorders>
            <w:vAlign w:val="center"/>
          </w:tcPr>
          <w:p>
            <w:pPr>
              <w:jc w:val="center"/>
              <w:rPr>
                <w:rFonts w:ascii="Times New Roman" w:hAnsi="Times New Roman"/>
                <w:b/>
                <w:bCs/>
                <w:color w:val="auto"/>
                <w:szCs w:val="21"/>
                <w:highlight w:val="none"/>
              </w:rPr>
            </w:pPr>
            <w:r>
              <w:rPr>
                <w:rFonts w:hint="eastAsia" w:ascii="Times New Roman" w:hAnsi="Times New Roman"/>
                <w:b/>
                <w:bCs/>
                <w:color w:val="auto"/>
                <w:szCs w:val="21"/>
                <w:highlight w:val="none"/>
              </w:rPr>
              <w:t>河流名称</w:t>
            </w:r>
          </w:p>
        </w:tc>
        <w:tc>
          <w:tcPr>
            <w:tcW w:w="1442" w:type="dxa"/>
            <w:tcBorders>
              <w:top w:val="single" w:color="000000" w:sz="2" w:space="0"/>
              <w:left w:val="single" w:color="auto" w:sz="4" w:space="0"/>
              <w:bottom w:val="single" w:color="000000" w:sz="2" w:space="0"/>
              <w:right w:val="single" w:color="000000" w:sz="2" w:space="0"/>
            </w:tcBorders>
            <w:vAlign w:val="center"/>
          </w:tcPr>
          <w:p>
            <w:pPr>
              <w:jc w:val="center"/>
              <w:rPr>
                <w:rFonts w:ascii="Times New Roman" w:hAnsi="Times New Roman"/>
                <w:b/>
                <w:bCs/>
                <w:color w:val="auto"/>
                <w:szCs w:val="21"/>
                <w:highlight w:val="none"/>
              </w:rPr>
            </w:pPr>
            <w:r>
              <w:rPr>
                <w:rFonts w:hint="eastAsia" w:ascii="Times New Roman" w:hAnsi="Times New Roman"/>
                <w:b/>
                <w:bCs/>
                <w:color w:val="auto"/>
                <w:szCs w:val="21"/>
                <w:highlight w:val="none"/>
              </w:rPr>
              <w:t>河流长度（</w:t>
            </w:r>
            <w:r>
              <w:rPr>
                <w:rFonts w:ascii="Times New Roman" w:hAnsi="Times New Roman"/>
                <w:b/>
                <w:bCs/>
                <w:color w:val="auto"/>
                <w:szCs w:val="21"/>
                <w:highlight w:val="none"/>
              </w:rPr>
              <w:t>m</w:t>
            </w:r>
            <w:r>
              <w:rPr>
                <w:rFonts w:hint="eastAsia" w:ascii="Times New Roman" w:hAnsi="Times New Roman"/>
                <w:b/>
                <w:bCs/>
                <w:color w:val="auto"/>
                <w:szCs w:val="21"/>
                <w:highlight w:val="none"/>
              </w:rPr>
              <w:t>，建成区）</w:t>
            </w:r>
          </w:p>
        </w:tc>
        <w:tc>
          <w:tcPr>
            <w:tcW w:w="1442" w:type="dxa"/>
            <w:tcBorders>
              <w:top w:val="single" w:color="000000" w:sz="2" w:space="0"/>
              <w:left w:val="single" w:color="000000" w:sz="2" w:space="0"/>
              <w:bottom w:val="single" w:color="000000" w:sz="2" w:space="0"/>
              <w:right w:val="single" w:color="auto" w:sz="4" w:space="0"/>
            </w:tcBorders>
            <w:vAlign w:val="center"/>
          </w:tcPr>
          <w:p>
            <w:pPr>
              <w:jc w:val="center"/>
              <w:rPr>
                <w:rFonts w:ascii="Times New Roman" w:hAnsi="Times New Roman"/>
                <w:b/>
                <w:bCs/>
                <w:color w:val="auto"/>
                <w:szCs w:val="21"/>
                <w:highlight w:val="none"/>
              </w:rPr>
            </w:pPr>
            <w:r>
              <w:rPr>
                <w:rFonts w:hint="eastAsia" w:ascii="Times New Roman" w:hAnsi="Times New Roman"/>
                <w:b/>
                <w:bCs/>
                <w:color w:val="auto"/>
                <w:szCs w:val="21"/>
                <w:highlight w:val="none"/>
              </w:rPr>
              <w:t>两岸岸线长度（</w:t>
            </w:r>
            <w:r>
              <w:rPr>
                <w:rFonts w:ascii="Times New Roman" w:hAnsi="Times New Roman"/>
                <w:b/>
                <w:bCs/>
                <w:color w:val="auto"/>
                <w:szCs w:val="21"/>
                <w:highlight w:val="none"/>
              </w:rPr>
              <w:t>m</w:t>
            </w:r>
            <w:r>
              <w:rPr>
                <w:rFonts w:hint="eastAsia" w:ascii="Times New Roman" w:hAnsi="Times New Roman"/>
                <w:b/>
                <w:bCs/>
                <w:color w:val="auto"/>
                <w:szCs w:val="21"/>
                <w:highlight w:val="none"/>
              </w:rPr>
              <w:t>，建成区）</w:t>
            </w:r>
          </w:p>
        </w:tc>
        <w:tc>
          <w:tcPr>
            <w:tcW w:w="1442" w:type="dxa"/>
            <w:tcBorders>
              <w:top w:val="single" w:color="000000" w:sz="2" w:space="0"/>
              <w:left w:val="single" w:color="auto" w:sz="4" w:space="0"/>
              <w:bottom w:val="single" w:color="000000" w:sz="2" w:space="0"/>
              <w:right w:val="single" w:color="000000" w:sz="2" w:space="0"/>
            </w:tcBorders>
            <w:vAlign w:val="center"/>
          </w:tcPr>
          <w:p>
            <w:pPr>
              <w:jc w:val="center"/>
              <w:rPr>
                <w:rFonts w:ascii="Times New Roman" w:hAnsi="Times New Roman"/>
                <w:b/>
                <w:bCs/>
                <w:color w:val="auto"/>
                <w:szCs w:val="21"/>
                <w:highlight w:val="none"/>
              </w:rPr>
            </w:pPr>
            <w:r>
              <w:rPr>
                <w:rFonts w:hint="eastAsia" w:ascii="Times New Roman" w:hAnsi="Times New Roman"/>
                <w:b/>
                <w:bCs/>
                <w:color w:val="auto"/>
                <w:szCs w:val="21"/>
                <w:highlight w:val="none"/>
              </w:rPr>
              <w:t>滨河绿带长度（</w:t>
            </w:r>
            <w:r>
              <w:rPr>
                <w:rFonts w:ascii="Times New Roman" w:hAnsi="Times New Roman"/>
                <w:b/>
                <w:bCs/>
                <w:color w:val="auto"/>
                <w:szCs w:val="21"/>
                <w:highlight w:val="none"/>
              </w:rPr>
              <w:t>m</w:t>
            </w:r>
            <w:r>
              <w:rPr>
                <w:rFonts w:hint="eastAsia" w:ascii="Times New Roman" w:hAnsi="Times New Roman"/>
                <w:b/>
                <w:bCs/>
                <w:color w:val="auto"/>
                <w:szCs w:val="21"/>
                <w:highlight w:val="none"/>
              </w:rPr>
              <w:t>，建成区）</w:t>
            </w:r>
          </w:p>
        </w:tc>
        <w:tc>
          <w:tcPr>
            <w:tcW w:w="1445"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bCs/>
                <w:color w:val="auto"/>
                <w:szCs w:val="21"/>
                <w:highlight w:val="none"/>
              </w:rPr>
            </w:pPr>
            <w:r>
              <w:rPr>
                <w:rFonts w:hint="eastAsia" w:ascii="Times New Roman" w:hAnsi="Times New Roman"/>
                <w:b/>
                <w:bCs/>
                <w:color w:val="auto"/>
                <w:szCs w:val="21"/>
                <w:highlight w:val="none"/>
              </w:rPr>
              <w:t>河道绿化普及率</w:t>
            </w:r>
            <w:r>
              <w:rPr>
                <w:rFonts w:hint="eastAsia" w:ascii="Times New Roman" w:hAnsi="Times New Roman"/>
                <w:b/>
                <w:bCs/>
                <w:color w:val="auto"/>
                <w:szCs w:val="21"/>
                <w:highlight w:val="none"/>
                <w:lang w:eastAsia="en-US"/>
              </w:rPr>
              <w:t>（</w:t>
            </w:r>
            <w:r>
              <w:rPr>
                <w:rFonts w:ascii="Times New Roman" w:hAnsi="Times New Roman"/>
                <w:b/>
                <w:bCs/>
                <w:color w:val="auto"/>
                <w:szCs w:val="21"/>
                <w:highlight w:val="none"/>
                <w:lang w:eastAsia="en-US"/>
              </w:rPr>
              <w:t>%</w:t>
            </w:r>
            <w:r>
              <w:rPr>
                <w:rFonts w:hint="eastAsia" w:ascii="Times New Roman" w:hAnsi="Times New Roman"/>
                <w:b/>
                <w:bCs/>
                <w:color w:val="auto"/>
                <w:szCs w:val="21"/>
                <w:highlight w:val="none"/>
                <w:lang w:eastAsia="en-US"/>
              </w:rPr>
              <w:t>）</w:t>
            </w:r>
          </w:p>
          <w:p>
            <w:pPr>
              <w:rPr>
                <w:rFonts w:ascii="Times New Roman" w:hAnsi="Times New Roman"/>
                <w:b/>
                <w:bCs/>
                <w:color w:val="auto"/>
                <w:szCs w:val="21"/>
                <w:highlight w:val="none"/>
                <w:lang w:eastAsia="en-US"/>
              </w:rPr>
            </w:pPr>
          </w:p>
        </w:tc>
      </w:tr>
      <w:tr>
        <w:tblPrEx>
          <w:tblCellMar>
            <w:top w:w="0" w:type="dxa"/>
            <w:left w:w="0" w:type="dxa"/>
            <w:bottom w:w="0" w:type="dxa"/>
            <w:right w:w="0" w:type="dxa"/>
          </w:tblCellMar>
        </w:tblPrEx>
        <w:trPr>
          <w:trHeight w:val="566" w:hRule="exact"/>
        </w:trPr>
        <w:tc>
          <w:tcPr>
            <w:tcW w:w="563"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szCs w:val="21"/>
                <w:highlight w:val="none"/>
                <w:lang w:eastAsia="en-US"/>
              </w:rPr>
            </w:pPr>
            <w:r>
              <w:rPr>
                <w:rFonts w:ascii="Times New Roman" w:hAnsi="Times New Roman"/>
                <w:color w:val="auto"/>
                <w:szCs w:val="21"/>
                <w:highlight w:val="none"/>
                <w:lang w:eastAsia="en-US"/>
              </w:rPr>
              <w:t>1</w:t>
            </w:r>
          </w:p>
        </w:tc>
        <w:tc>
          <w:tcPr>
            <w:tcW w:w="990"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szCs w:val="21"/>
                <w:highlight w:val="none"/>
                <w:lang w:eastAsia="en-US"/>
              </w:rPr>
            </w:pPr>
            <w:r>
              <w:rPr>
                <w:rFonts w:hint="eastAsia" w:ascii="Times New Roman" w:hAnsi="Times New Roman"/>
                <w:color w:val="auto"/>
                <w:szCs w:val="21"/>
                <w:highlight w:val="none"/>
                <w:lang w:eastAsia="en-US"/>
              </w:rPr>
              <w:t>海丰县</w:t>
            </w:r>
          </w:p>
        </w:tc>
        <w:tc>
          <w:tcPr>
            <w:tcW w:w="990" w:type="dxa"/>
            <w:tcBorders>
              <w:top w:val="single" w:color="000000" w:sz="2" w:space="0"/>
              <w:left w:val="single" w:color="000000" w:sz="2" w:space="0"/>
              <w:bottom w:val="single" w:color="000000" w:sz="2" w:space="0"/>
              <w:right w:val="single" w:color="auto" w:sz="4" w:space="0"/>
            </w:tcBorders>
            <w:vAlign w:val="center"/>
          </w:tcPr>
          <w:p>
            <w:pPr>
              <w:jc w:val="center"/>
              <w:rPr>
                <w:rFonts w:ascii="Times New Roman" w:hAnsi="Times New Roman"/>
                <w:color w:val="auto"/>
                <w:szCs w:val="21"/>
                <w:highlight w:val="none"/>
                <w:lang w:eastAsia="en-US"/>
              </w:rPr>
            </w:pPr>
            <w:r>
              <w:rPr>
                <w:rFonts w:hint="eastAsia" w:ascii="Times New Roman" w:hAnsi="Times New Roman"/>
                <w:color w:val="auto"/>
                <w:szCs w:val="21"/>
                <w:highlight w:val="none"/>
              </w:rPr>
              <w:t>龙津河</w:t>
            </w:r>
          </w:p>
        </w:tc>
        <w:tc>
          <w:tcPr>
            <w:tcW w:w="1442" w:type="dxa"/>
            <w:tcBorders>
              <w:top w:val="single" w:color="000000" w:sz="2" w:space="0"/>
              <w:left w:val="single" w:color="auto" w:sz="4" w:space="0"/>
              <w:bottom w:val="single" w:color="000000" w:sz="2" w:space="0"/>
              <w:right w:val="single" w:color="000000" w:sz="2" w:space="0"/>
            </w:tcBorders>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4526.5</w:t>
            </w:r>
          </w:p>
        </w:tc>
        <w:tc>
          <w:tcPr>
            <w:tcW w:w="1442" w:type="dxa"/>
            <w:tcBorders>
              <w:top w:val="single" w:color="000000" w:sz="2" w:space="0"/>
              <w:left w:val="single" w:color="000000" w:sz="2" w:space="0"/>
              <w:bottom w:val="single" w:color="000000" w:sz="2" w:space="0"/>
              <w:right w:val="single" w:color="auto" w:sz="4" w:space="0"/>
            </w:tcBorders>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9053</w:t>
            </w:r>
          </w:p>
        </w:tc>
        <w:tc>
          <w:tcPr>
            <w:tcW w:w="1442" w:type="dxa"/>
            <w:tcBorders>
              <w:top w:val="single" w:color="000000" w:sz="2" w:space="0"/>
              <w:left w:val="single" w:color="auto" w:sz="4" w:space="0"/>
              <w:bottom w:val="single" w:color="000000" w:sz="2" w:space="0"/>
              <w:right w:val="single" w:color="000000" w:sz="2" w:space="0"/>
            </w:tcBorders>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8412.62</w:t>
            </w:r>
          </w:p>
        </w:tc>
        <w:tc>
          <w:tcPr>
            <w:tcW w:w="1445"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92.93</w:t>
            </w:r>
          </w:p>
        </w:tc>
      </w:tr>
    </w:tbl>
    <w:p>
      <w:pPr>
        <w:spacing w:line="360" w:lineRule="auto"/>
        <w:ind w:firstLine="560" w:firstLineChars="200"/>
        <w:rPr>
          <w:rFonts w:ascii="Times New Roman" w:hAnsi="Times New Roman"/>
          <w:color w:val="auto"/>
          <w:sz w:val="28"/>
          <w:szCs w:val="28"/>
          <w:highlight w:val="none"/>
        </w:rPr>
      </w:pPr>
    </w:p>
    <w:p>
      <w:pPr>
        <w:pStyle w:val="2"/>
        <w:ind w:left="0" w:leftChars="0" w:firstLine="0" w:firstLineChars="0"/>
        <w:rPr>
          <w:rFonts w:ascii="Times New Roman" w:hAnsi="Times New Roman"/>
          <w:color w:val="auto"/>
          <w:highlight w:val="none"/>
        </w:rPr>
      </w:pPr>
      <w:r>
        <w:rPr>
          <w:rFonts w:ascii="Times New Roman" w:hAnsi="Times New Roman" w:eastAsia="宋体"/>
          <w:color w:val="auto"/>
          <w:highlight w:val="none"/>
        </w:rPr>
        <w:drawing>
          <wp:inline distT="0" distB="0" distL="114300" distR="114300">
            <wp:extent cx="5264785" cy="3890010"/>
            <wp:effectExtent l="0" t="0" r="12065" b="15240"/>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pic:cNvPicPr>
                  </pic:nvPicPr>
                  <pic:blipFill>
                    <a:blip r:embed="rId14"/>
                    <a:stretch>
                      <a:fillRect/>
                    </a:stretch>
                  </pic:blipFill>
                  <pic:spPr>
                    <a:xfrm>
                      <a:off x="0" y="0"/>
                      <a:ext cx="5264785" cy="3890010"/>
                    </a:xfrm>
                    <a:prstGeom prst="rect">
                      <a:avLst/>
                    </a:prstGeom>
                    <a:noFill/>
                    <a:ln>
                      <a:noFill/>
                    </a:ln>
                  </pic:spPr>
                </pic:pic>
              </a:graphicData>
            </a:graphic>
          </wp:inline>
        </w:drawing>
      </w:r>
    </w:p>
    <w:p>
      <w:pPr>
        <w:ind w:firstLine="562" w:firstLineChars="200"/>
        <w:jc w:val="center"/>
        <w:rPr>
          <w:rFonts w:ascii="Times New Roman" w:hAnsi="Times New Roman"/>
          <w:b/>
          <w:color w:val="auto"/>
          <w:sz w:val="28"/>
          <w:szCs w:val="28"/>
          <w:highlight w:val="none"/>
        </w:rPr>
      </w:pPr>
      <w:r>
        <w:rPr>
          <w:rFonts w:ascii="Times New Roman" w:hAnsi="Times New Roman"/>
          <w:b/>
          <w:color w:val="auto"/>
          <w:sz w:val="28"/>
          <w:szCs w:val="28"/>
          <w:highlight w:val="none"/>
        </w:rPr>
        <w:t>图</w:t>
      </w:r>
      <w:r>
        <w:rPr>
          <w:rFonts w:hint="eastAsia" w:ascii="Times New Roman" w:hAnsi="Times New Roman"/>
          <w:b/>
          <w:color w:val="auto"/>
          <w:sz w:val="28"/>
          <w:szCs w:val="28"/>
          <w:highlight w:val="none"/>
        </w:rPr>
        <w:t>4-2-4</w:t>
      </w:r>
      <w:r>
        <w:rPr>
          <w:rFonts w:ascii="Times New Roman" w:hAnsi="Times New Roman"/>
          <w:b/>
          <w:color w:val="auto"/>
          <w:sz w:val="28"/>
          <w:szCs w:val="28"/>
          <w:highlight w:val="none"/>
        </w:rPr>
        <w:t xml:space="preserve">  海丰县河道绿化图</w:t>
      </w:r>
    </w:p>
    <w:p>
      <w:pPr>
        <w:rPr>
          <w:rFonts w:ascii="Times New Roman" w:hAnsi="Times New Roman"/>
          <w:b/>
          <w:bCs/>
          <w:color w:val="auto"/>
          <w:sz w:val="28"/>
          <w:szCs w:val="28"/>
          <w:highlight w:val="none"/>
        </w:rPr>
      </w:pPr>
      <w:r>
        <w:rPr>
          <w:rFonts w:ascii="Times New Roman" w:hAnsi="Times New Roman"/>
          <w:b/>
          <w:bCs/>
          <w:color w:val="auto"/>
          <w:sz w:val="28"/>
          <w:szCs w:val="28"/>
          <w:highlight w:val="none"/>
        </w:rPr>
        <w:t>（4）因地制宜，积极推广立体绿化</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目前海丰县未见立体绿化推广相关鼓励措施和制度，建议因地制宜做好立体绿化推广宣传鼓励措施和技术指导，出台相关文件，积极在老城区、新建区域推广立体绿化，提升整体城区绿量，在县城实施2-3项立体绿化示范工程：</w:t>
      </w:r>
      <w:r>
        <w:rPr>
          <w:rFonts w:hint="default" w:ascii="Times New Roman" w:hAnsi="Times New Roman" w:cs="Times New Roman"/>
          <w:color w:val="auto"/>
          <w:sz w:val="28"/>
          <w:szCs w:val="28"/>
          <w:highlight w:val="none"/>
        </w:rPr>
        <w:t>①</w:t>
      </w:r>
      <w:r>
        <w:rPr>
          <w:rFonts w:ascii="Times New Roman" w:hAnsi="Times New Roman"/>
          <w:color w:val="auto"/>
          <w:sz w:val="28"/>
          <w:szCs w:val="28"/>
          <w:highlight w:val="none"/>
        </w:rPr>
        <w:t>重点规划在县城重点道路实施立体绿化，如红城大道、广富路、海丽大道、海紫路，结合园林县城迎检路线、近期在建道路改造、提升工程进行规划。</w:t>
      </w:r>
      <w:r>
        <w:rPr>
          <w:rFonts w:hint="default" w:ascii="Times New Roman" w:hAnsi="Times New Roman" w:cs="Times New Roman"/>
          <w:color w:val="auto"/>
          <w:sz w:val="28"/>
          <w:szCs w:val="28"/>
          <w:highlight w:val="none"/>
        </w:rPr>
        <w:t>②</w:t>
      </w:r>
      <w:r>
        <w:rPr>
          <w:rFonts w:ascii="Times New Roman" w:hAnsi="Times New Roman"/>
          <w:color w:val="auto"/>
          <w:sz w:val="28"/>
          <w:szCs w:val="28"/>
          <w:highlight w:val="none"/>
        </w:rPr>
        <w:t>在红场、红宫及附近的红场路实施立体绿化。</w:t>
      </w:r>
      <w:r>
        <w:rPr>
          <w:rFonts w:hint="default" w:ascii="Times New Roman" w:hAnsi="Times New Roman" w:cs="Times New Roman"/>
          <w:color w:val="auto"/>
          <w:sz w:val="28"/>
          <w:szCs w:val="28"/>
          <w:highlight w:val="none"/>
        </w:rPr>
        <w:t>③</w:t>
      </w:r>
      <w:r>
        <w:rPr>
          <w:rFonts w:ascii="Times New Roman" w:hAnsi="Times New Roman"/>
          <w:color w:val="auto"/>
          <w:sz w:val="28"/>
          <w:szCs w:val="28"/>
          <w:highlight w:val="none"/>
        </w:rPr>
        <w:t>龙津河河岸护栏规划实施立体绿化。</w:t>
      </w:r>
    </w:p>
    <w:tbl>
      <w:tblPr>
        <w:tblStyle w:val="20"/>
        <w:tblW w:w="8522" w:type="dxa"/>
        <w:tblInd w:w="0" w:type="dxa"/>
        <w:tblLayout w:type="fixed"/>
        <w:tblCellMar>
          <w:top w:w="0" w:type="dxa"/>
          <w:left w:w="108" w:type="dxa"/>
          <w:bottom w:w="0" w:type="dxa"/>
          <w:right w:w="108" w:type="dxa"/>
        </w:tblCellMar>
      </w:tblPr>
      <w:tblGrid>
        <w:gridCol w:w="4198"/>
        <w:gridCol w:w="4324"/>
      </w:tblGrid>
      <w:tr>
        <w:tblPrEx>
          <w:tblCellMar>
            <w:top w:w="0" w:type="dxa"/>
            <w:left w:w="108" w:type="dxa"/>
            <w:bottom w:w="0" w:type="dxa"/>
            <w:right w:w="108" w:type="dxa"/>
          </w:tblCellMar>
        </w:tblPrEx>
        <w:tc>
          <w:tcPr>
            <w:tcW w:w="4198" w:type="dxa"/>
          </w:tcPr>
          <w:p>
            <w:pPr>
              <w:pStyle w:val="2"/>
              <w:ind w:left="0" w:leftChars="0" w:firstLine="0" w:firstLineChars="0"/>
              <w:rPr>
                <w:rFonts w:ascii="Times New Roman" w:hAnsi="Times New Roman"/>
                <w:color w:val="auto"/>
                <w:highlight w:val="none"/>
              </w:rPr>
            </w:pPr>
            <w:r>
              <w:rPr>
                <w:rFonts w:ascii="Times New Roman" w:hAnsi="Times New Roman" w:eastAsia="宋体"/>
                <w:color w:val="auto"/>
                <w:sz w:val="24"/>
                <w:highlight w:val="none"/>
              </w:rPr>
              <w:drawing>
                <wp:inline distT="0" distB="0" distL="114300" distR="114300">
                  <wp:extent cx="2593975" cy="1750695"/>
                  <wp:effectExtent l="0" t="0" r="0" b="1905"/>
                  <wp:docPr id="13"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descr="IMG_256"/>
                          <pic:cNvPicPr>
                            <a:picLocks noChangeAspect="1"/>
                          </pic:cNvPicPr>
                        </pic:nvPicPr>
                        <pic:blipFill>
                          <a:blip r:embed="rId15"/>
                          <a:srcRect l="21512" b="6512"/>
                          <a:stretch>
                            <a:fillRect/>
                          </a:stretch>
                        </pic:blipFill>
                        <pic:spPr>
                          <a:xfrm>
                            <a:off x="0" y="0"/>
                            <a:ext cx="2594295" cy="1751162"/>
                          </a:xfrm>
                          <a:prstGeom prst="rect">
                            <a:avLst/>
                          </a:prstGeom>
                          <a:noFill/>
                          <a:ln>
                            <a:noFill/>
                          </a:ln>
                        </pic:spPr>
                      </pic:pic>
                    </a:graphicData>
                  </a:graphic>
                </wp:inline>
              </w:drawing>
            </w:r>
          </w:p>
        </w:tc>
        <w:tc>
          <w:tcPr>
            <w:tcW w:w="4324" w:type="dxa"/>
          </w:tcPr>
          <w:p>
            <w:pPr>
              <w:pStyle w:val="2"/>
              <w:ind w:left="0" w:leftChars="0" w:firstLine="0" w:firstLineChars="0"/>
              <w:rPr>
                <w:rFonts w:ascii="Times New Roman" w:hAnsi="Times New Roman"/>
                <w:color w:val="auto"/>
                <w:highlight w:val="none"/>
              </w:rPr>
            </w:pPr>
            <w:r>
              <w:rPr>
                <w:rFonts w:ascii="Times New Roman" w:hAnsi="Times New Roman" w:eastAsia="宋体"/>
                <w:color w:val="auto"/>
                <w:sz w:val="24"/>
                <w:highlight w:val="none"/>
              </w:rPr>
              <w:drawing>
                <wp:inline distT="0" distB="0" distL="114300" distR="114300">
                  <wp:extent cx="2679700" cy="1767840"/>
                  <wp:effectExtent l="0" t="0" r="0" b="10160"/>
                  <wp:docPr id="22"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descr="IMG_256"/>
                          <pic:cNvPicPr>
                            <a:picLocks noChangeAspect="1"/>
                          </pic:cNvPicPr>
                        </pic:nvPicPr>
                        <pic:blipFill>
                          <a:blip r:embed="rId16"/>
                          <a:srcRect r="11107"/>
                          <a:stretch>
                            <a:fillRect/>
                          </a:stretch>
                        </pic:blipFill>
                        <pic:spPr>
                          <a:xfrm>
                            <a:off x="0" y="0"/>
                            <a:ext cx="2679700" cy="1767840"/>
                          </a:xfrm>
                          <a:prstGeom prst="rect">
                            <a:avLst/>
                          </a:prstGeom>
                          <a:noFill/>
                          <a:ln>
                            <a:noFill/>
                          </a:ln>
                        </pic:spPr>
                      </pic:pic>
                    </a:graphicData>
                  </a:graphic>
                </wp:inline>
              </w:drawing>
            </w:r>
          </w:p>
        </w:tc>
      </w:tr>
      <w:tr>
        <w:tblPrEx>
          <w:tblCellMar>
            <w:top w:w="0" w:type="dxa"/>
            <w:left w:w="108" w:type="dxa"/>
            <w:bottom w:w="0" w:type="dxa"/>
            <w:right w:w="108" w:type="dxa"/>
          </w:tblCellMar>
        </w:tblPrEx>
        <w:tc>
          <w:tcPr>
            <w:tcW w:w="4198" w:type="dxa"/>
          </w:tcPr>
          <w:p>
            <w:pPr>
              <w:pStyle w:val="2"/>
              <w:ind w:left="0" w:leftChars="0" w:firstLine="0" w:firstLineChars="0"/>
              <w:rPr>
                <w:rFonts w:ascii="Times New Roman" w:hAnsi="Times New Roman"/>
                <w:color w:val="auto"/>
                <w:highlight w:val="none"/>
              </w:rPr>
            </w:pPr>
            <w:r>
              <w:rPr>
                <w:rFonts w:ascii="Times New Roman" w:hAnsi="Times New Roman" w:eastAsia="宋体"/>
                <w:color w:val="auto"/>
                <w:sz w:val="24"/>
                <w:highlight w:val="none"/>
              </w:rPr>
              <w:drawing>
                <wp:inline distT="0" distB="0" distL="114300" distR="114300">
                  <wp:extent cx="2601595" cy="1562735"/>
                  <wp:effectExtent l="0" t="0" r="1905" b="12065"/>
                  <wp:docPr id="15"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descr="IMG_256"/>
                          <pic:cNvPicPr>
                            <a:picLocks noChangeAspect="1"/>
                          </pic:cNvPicPr>
                        </pic:nvPicPr>
                        <pic:blipFill>
                          <a:blip r:embed="rId17"/>
                          <a:stretch>
                            <a:fillRect/>
                          </a:stretch>
                        </pic:blipFill>
                        <pic:spPr>
                          <a:xfrm>
                            <a:off x="0" y="0"/>
                            <a:ext cx="2601595" cy="1562735"/>
                          </a:xfrm>
                          <a:prstGeom prst="rect">
                            <a:avLst/>
                          </a:prstGeom>
                          <a:noFill/>
                          <a:ln>
                            <a:noFill/>
                          </a:ln>
                        </pic:spPr>
                      </pic:pic>
                    </a:graphicData>
                  </a:graphic>
                </wp:inline>
              </w:drawing>
            </w:r>
          </w:p>
        </w:tc>
        <w:tc>
          <w:tcPr>
            <w:tcW w:w="4324" w:type="dxa"/>
          </w:tcPr>
          <w:p>
            <w:pPr>
              <w:pStyle w:val="2"/>
              <w:ind w:left="0" w:leftChars="0" w:firstLine="0" w:firstLineChars="0"/>
              <w:rPr>
                <w:rFonts w:ascii="Times New Roman" w:hAnsi="Times New Roman"/>
                <w:color w:val="auto"/>
                <w:highlight w:val="none"/>
              </w:rPr>
            </w:pPr>
            <w:r>
              <w:rPr>
                <w:rFonts w:ascii="Times New Roman" w:hAnsi="Times New Roman" w:eastAsia="宋体"/>
                <w:color w:val="auto"/>
                <w:sz w:val="24"/>
                <w:highlight w:val="none"/>
              </w:rPr>
              <w:drawing>
                <wp:inline distT="0" distB="0" distL="114300" distR="114300">
                  <wp:extent cx="2682240" cy="1560830"/>
                  <wp:effectExtent l="0" t="0" r="3810" b="1270"/>
                  <wp:docPr id="16"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descr="IMG_256"/>
                          <pic:cNvPicPr>
                            <a:picLocks noChangeAspect="1"/>
                          </pic:cNvPicPr>
                        </pic:nvPicPr>
                        <pic:blipFill>
                          <a:blip r:embed="rId18"/>
                          <a:srcRect t="15819"/>
                          <a:stretch>
                            <a:fillRect/>
                          </a:stretch>
                        </pic:blipFill>
                        <pic:spPr>
                          <a:xfrm>
                            <a:off x="0" y="0"/>
                            <a:ext cx="2684050" cy="1562100"/>
                          </a:xfrm>
                          <a:prstGeom prst="rect">
                            <a:avLst/>
                          </a:prstGeom>
                          <a:noFill/>
                          <a:ln>
                            <a:noFill/>
                          </a:ln>
                        </pic:spPr>
                      </pic:pic>
                    </a:graphicData>
                  </a:graphic>
                </wp:inline>
              </w:drawing>
            </w:r>
          </w:p>
        </w:tc>
      </w:tr>
    </w:tbl>
    <w:p>
      <w:pPr>
        <w:jc w:val="center"/>
        <w:rPr>
          <w:rFonts w:ascii="Times New Roman" w:hAnsi="Times New Roman"/>
          <w:b/>
          <w:bCs/>
          <w:color w:val="auto"/>
          <w:sz w:val="24"/>
          <w:highlight w:val="none"/>
        </w:rPr>
      </w:pPr>
      <w:r>
        <w:rPr>
          <w:rFonts w:ascii="Times New Roman" w:hAnsi="Times New Roman"/>
          <w:b/>
          <w:color w:val="auto"/>
          <w:sz w:val="28"/>
          <w:szCs w:val="28"/>
          <w:highlight w:val="none"/>
        </w:rPr>
        <w:fldChar w:fldCharType="begin"/>
      </w:r>
      <w:r>
        <w:rPr>
          <w:rFonts w:ascii="Times New Roman" w:hAnsi="Times New Roman"/>
          <w:b/>
          <w:color w:val="auto"/>
          <w:sz w:val="28"/>
          <w:szCs w:val="28"/>
          <w:highlight w:val="none"/>
        </w:rPr>
        <w:instrText xml:space="preserve">INCLUDEPICTURE \d "http://img.qy6.com/prod/2010/1118/654789.jpg" \* MERGEFORMATINET </w:instrText>
      </w:r>
      <w:r>
        <w:rPr>
          <w:rFonts w:ascii="Times New Roman" w:hAnsi="Times New Roman"/>
          <w:b/>
          <w:color w:val="auto"/>
          <w:sz w:val="28"/>
          <w:szCs w:val="28"/>
          <w:highlight w:val="none"/>
        </w:rPr>
        <w:fldChar w:fldCharType="end"/>
      </w:r>
      <w:r>
        <w:rPr>
          <w:rFonts w:ascii="Times New Roman" w:hAnsi="Times New Roman"/>
          <w:b/>
          <w:color w:val="auto"/>
          <w:sz w:val="28"/>
          <w:szCs w:val="28"/>
          <w:highlight w:val="none"/>
        </w:rPr>
        <w:t xml:space="preserve">  图</w:t>
      </w:r>
      <w:r>
        <w:rPr>
          <w:rFonts w:hint="eastAsia" w:ascii="Times New Roman" w:hAnsi="Times New Roman"/>
          <w:b/>
          <w:color w:val="auto"/>
          <w:sz w:val="28"/>
          <w:szCs w:val="28"/>
          <w:highlight w:val="none"/>
        </w:rPr>
        <w:t>4-2-5 立体绿化</w:t>
      </w:r>
      <w:r>
        <w:rPr>
          <w:rFonts w:hint="eastAsia" w:ascii="Times New Roman" w:hAnsi="Times New Roman"/>
          <w:b/>
          <w:color w:val="auto"/>
          <w:sz w:val="28"/>
          <w:szCs w:val="28"/>
          <w:highlight w:val="none"/>
          <w:lang w:val="en-US" w:eastAsia="zh-CN"/>
        </w:rPr>
        <w:t>工程</w:t>
      </w:r>
      <w:r>
        <w:rPr>
          <w:rFonts w:hint="eastAsia" w:ascii="Times New Roman" w:hAnsi="Times New Roman"/>
          <w:b/>
          <w:color w:val="auto"/>
          <w:sz w:val="28"/>
          <w:szCs w:val="28"/>
          <w:highlight w:val="none"/>
        </w:rPr>
        <w:t>意向图</w:t>
      </w:r>
    </w:p>
    <w:p>
      <w:pPr>
        <w:jc w:val="center"/>
        <w:rPr>
          <w:rFonts w:ascii="Times New Roman" w:hAnsi="Times New Roman"/>
          <w:b/>
          <w:bCs/>
          <w:color w:val="auto"/>
          <w:sz w:val="24"/>
          <w:highlight w:val="none"/>
        </w:rPr>
      </w:pPr>
      <w:r>
        <w:rPr>
          <w:rFonts w:ascii="Times New Roman" w:hAnsi="Times New Roman"/>
          <w:b/>
          <w:bCs/>
          <w:color w:val="auto"/>
          <w:sz w:val="24"/>
          <w:highlight w:val="none"/>
        </w:rPr>
        <w:fldChar w:fldCharType="begin"/>
      </w:r>
      <w:r>
        <w:rPr>
          <w:rFonts w:ascii="Times New Roman" w:hAnsi="Times New Roman"/>
          <w:b/>
          <w:bCs/>
          <w:color w:val="auto"/>
          <w:sz w:val="24"/>
          <w:highlight w:val="none"/>
        </w:rPr>
        <w:instrText xml:space="preserve">INCLUDEPICTURE \d "http://5b0988e595225.cdn.sohucs.com/images/20180529/8a7da367512d44e88b9b9c3220ddaaba.jpeg" \* MERGEFORMATINET </w:instrText>
      </w:r>
      <w:r>
        <w:rPr>
          <w:rFonts w:ascii="Times New Roman" w:hAnsi="Times New Roman"/>
          <w:b/>
          <w:bCs/>
          <w:color w:val="auto"/>
          <w:sz w:val="24"/>
          <w:highlight w:val="none"/>
        </w:rPr>
        <w:fldChar w:fldCharType="end"/>
      </w:r>
    </w:p>
    <w:p>
      <w:pPr>
        <w:jc w:val="center"/>
        <w:rPr>
          <w:rFonts w:ascii="Times New Roman" w:hAnsi="Times New Roman"/>
          <w:b/>
          <w:bCs/>
          <w:color w:val="auto"/>
          <w:sz w:val="28"/>
          <w:szCs w:val="28"/>
          <w:highlight w:val="none"/>
        </w:rPr>
      </w:pPr>
      <w:r>
        <w:rPr>
          <w:rFonts w:ascii="Times New Roman" w:hAnsi="Times New Roman"/>
          <w:b/>
          <w:bCs/>
          <w:color w:val="auto"/>
          <w:sz w:val="28"/>
          <w:szCs w:val="28"/>
          <w:highlight w:val="none"/>
        </w:rPr>
        <w:t>表4-</w:t>
      </w:r>
      <w:r>
        <w:rPr>
          <w:rFonts w:hint="eastAsia" w:ascii="Times New Roman" w:hAnsi="Times New Roman"/>
          <w:b/>
          <w:bCs/>
          <w:color w:val="auto"/>
          <w:sz w:val="28"/>
          <w:szCs w:val="28"/>
          <w:highlight w:val="none"/>
        </w:rPr>
        <w:t>2-5</w:t>
      </w:r>
      <w:r>
        <w:rPr>
          <w:rFonts w:ascii="Times New Roman" w:hAnsi="Times New Roman"/>
          <w:b/>
          <w:bCs/>
          <w:color w:val="auto"/>
          <w:sz w:val="28"/>
          <w:szCs w:val="28"/>
          <w:highlight w:val="none"/>
        </w:rPr>
        <w:t xml:space="preserve"> 县城绿色空间提升行动方案</w:t>
      </w:r>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8"/>
        <w:gridCol w:w="1352"/>
        <w:gridCol w:w="2412"/>
        <w:gridCol w:w="1699"/>
        <w:gridCol w:w="850"/>
        <w:gridCol w:w="850"/>
        <w:gridCol w:w="9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1" w:hRule="atLeast"/>
        </w:trPr>
        <w:tc>
          <w:tcPr>
            <w:tcW w:w="458" w:type="dxa"/>
            <w:vAlign w:val="center"/>
          </w:tcPr>
          <w:p>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序号</w:t>
            </w:r>
          </w:p>
        </w:tc>
        <w:tc>
          <w:tcPr>
            <w:tcW w:w="1352" w:type="dxa"/>
            <w:vAlign w:val="center"/>
          </w:tcPr>
          <w:p>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项目</w:t>
            </w:r>
          </w:p>
        </w:tc>
        <w:tc>
          <w:tcPr>
            <w:tcW w:w="2412" w:type="dxa"/>
            <w:vAlign w:val="center"/>
          </w:tcPr>
          <w:p>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内容</w:t>
            </w:r>
          </w:p>
        </w:tc>
        <w:tc>
          <w:tcPr>
            <w:tcW w:w="1699" w:type="dxa"/>
            <w:vAlign w:val="center"/>
          </w:tcPr>
          <w:p>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责任单位</w:t>
            </w:r>
          </w:p>
        </w:tc>
        <w:tc>
          <w:tcPr>
            <w:tcW w:w="850" w:type="dxa"/>
            <w:vAlign w:val="center"/>
          </w:tcPr>
          <w:p>
            <w:pPr>
              <w:spacing w:line="360" w:lineRule="auto"/>
              <w:jc w:val="center"/>
              <w:rPr>
                <w:rFonts w:ascii="Times New Roman" w:hAnsi="Times New Roman"/>
                <w:b/>
                <w:bCs/>
                <w:color w:val="auto"/>
                <w:sz w:val="24"/>
                <w:highlight w:val="none"/>
              </w:rPr>
            </w:pPr>
            <w:r>
              <w:rPr>
                <w:rFonts w:hint="eastAsia" w:ascii="Times New Roman" w:hAnsi="Times New Roman"/>
                <w:b/>
                <w:bCs/>
                <w:color w:val="auto"/>
                <w:sz w:val="24"/>
                <w:highlight w:val="none"/>
              </w:rPr>
              <w:t>性质</w:t>
            </w:r>
          </w:p>
        </w:tc>
        <w:tc>
          <w:tcPr>
            <w:tcW w:w="850" w:type="dxa"/>
            <w:vAlign w:val="center"/>
          </w:tcPr>
          <w:p>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对应</w:t>
            </w:r>
            <w:r>
              <w:rPr>
                <w:rFonts w:ascii="Times New Roman" w:hAnsi="Times New Roman"/>
                <w:b/>
                <w:color w:val="auto"/>
                <w:kern w:val="0"/>
                <w:sz w:val="24"/>
                <w:highlight w:val="none"/>
              </w:rPr>
              <w:t>考核</w:t>
            </w:r>
            <w:r>
              <w:rPr>
                <w:rFonts w:ascii="Times New Roman" w:hAnsi="Times New Roman"/>
                <w:b/>
                <w:bCs/>
                <w:color w:val="auto"/>
                <w:sz w:val="24"/>
                <w:highlight w:val="none"/>
              </w:rPr>
              <w:t>指标</w:t>
            </w:r>
          </w:p>
        </w:tc>
        <w:tc>
          <w:tcPr>
            <w:tcW w:w="901" w:type="dxa"/>
            <w:vAlign w:val="center"/>
          </w:tcPr>
          <w:p>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完成时间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7" w:hRule="atLeast"/>
        </w:trPr>
        <w:tc>
          <w:tcPr>
            <w:tcW w:w="458"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1</w:t>
            </w:r>
          </w:p>
        </w:tc>
        <w:tc>
          <w:tcPr>
            <w:tcW w:w="1352"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公园绿地建设</w:t>
            </w:r>
          </w:p>
        </w:tc>
        <w:tc>
          <w:tcPr>
            <w:tcW w:w="2412" w:type="dxa"/>
            <w:vAlign w:val="center"/>
          </w:tcPr>
          <w:p>
            <w:pPr>
              <w:spacing w:line="360" w:lineRule="auto"/>
              <w:jc w:val="center"/>
              <w:rPr>
                <w:rFonts w:ascii="Times New Roman" w:hAnsi="Times New Roman"/>
                <w:color w:val="auto"/>
                <w:sz w:val="24"/>
                <w:highlight w:val="none"/>
              </w:rPr>
            </w:pPr>
            <w:r>
              <w:rPr>
                <w:rFonts w:hint="eastAsia" w:ascii="Times New Roman" w:hAnsi="Times New Roman"/>
                <w:color w:val="auto"/>
                <w:sz w:val="24"/>
                <w:highlight w:val="none"/>
              </w:rPr>
              <w:t>综合考虑建成区了绿地分布的总体情况，进行公园的新建、改造。改造</w:t>
            </w:r>
            <w:r>
              <w:rPr>
                <w:rFonts w:hint="eastAsia" w:ascii="Times New Roman" w:hAnsi="Times New Roman"/>
                <w:color w:val="auto"/>
                <w:sz w:val="24"/>
                <w:highlight w:val="none"/>
                <w:lang w:val="en-US" w:eastAsia="zh-CN"/>
              </w:rPr>
              <w:t>12</w:t>
            </w:r>
            <w:r>
              <w:rPr>
                <w:rFonts w:ascii="Times New Roman" w:hAnsi="Times New Roman"/>
                <w:color w:val="auto"/>
                <w:sz w:val="24"/>
                <w:highlight w:val="none"/>
              </w:rPr>
              <w:t>个公园</w:t>
            </w:r>
            <w:r>
              <w:rPr>
                <w:rFonts w:hint="eastAsia" w:ascii="Times New Roman" w:hAnsi="Times New Roman"/>
                <w:color w:val="auto"/>
                <w:sz w:val="24"/>
                <w:highlight w:val="none"/>
                <w:lang w:eastAsia="zh-CN"/>
              </w:rPr>
              <w:t>。</w:t>
            </w:r>
          </w:p>
        </w:tc>
        <w:tc>
          <w:tcPr>
            <w:tcW w:w="1699" w:type="dxa"/>
            <w:vAlign w:val="center"/>
          </w:tcPr>
          <w:p>
            <w:pPr>
              <w:spacing w:line="360" w:lineRule="auto"/>
              <w:jc w:val="center"/>
              <w:rPr>
                <w:rFonts w:ascii="Times New Roman" w:hAnsi="Times New Roman"/>
                <w:color w:val="auto"/>
                <w:sz w:val="24"/>
                <w:highlight w:val="none"/>
              </w:rPr>
            </w:pPr>
            <w:r>
              <w:rPr>
                <w:rFonts w:hint="eastAsia" w:ascii="Times New Roman" w:hAnsi="Times New Roman"/>
                <w:color w:val="auto"/>
                <w:sz w:val="24"/>
                <w:highlight w:val="none"/>
              </w:rPr>
              <w:t>县城</w:t>
            </w:r>
            <w:r>
              <w:rPr>
                <w:rFonts w:ascii="Times New Roman" w:hAnsi="Times New Roman"/>
                <w:color w:val="auto"/>
                <w:sz w:val="24"/>
                <w:highlight w:val="none"/>
              </w:rPr>
              <w:t>三镇、公用事业事务中心、林业局</w:t>
            </w:r>
          </w:p>
        </w:tc>
        <w:tc>
          <w:tcPr>
            <w:tcW w:w="850"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完善项</w:t>
            </w:r>
          </w:p>
        </w:tc>
        <w:tc>
          <w:tcPr>
            <w:tcW w:w="850"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9、10、11、12</w:t>
            </w:r>
          </w:p>
        </w:tc>
        <w:tc>
          <w:tcPr>
            <w:tcW w:w="901"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2021年9月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1" w:hRule="atLeast"/>
        </w:trPr>
        <w:tc>
          <w:tcPr>
            <w:tcW w:w="458"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2</w:t>
            </w:r>
          </w:p>
        </w:tc>
        <w:tc>
          <w:tcPr>
            <w:tcW w:w="1352"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防护绿地建设</w:t>
            </w:r>
          </w:p>
        </w:tc>
        <w:tc>
          <w:tcPr>
            <w:tcW w:w="2412" w:type="dxa"/>
            <w:vAlign w:val="center"/>
          </w:tcPr>
          <w:p>
            <w:pPr>
              <w:spacing w:line="360" w:lineRule="auto"/>
              <w:jc w:val="center"/>
              <w:rPr>
                <w:rFonts w:ascii="Times New Roman" w:hAnsi="Times New Roman"/>
                <w:color w:val="auto"/>
                <w:sz w:val="24"/>
                <w:highlight w:val="none"/>
              </w:rPr>
            </w:pPr>
            <w:r>
              <w:rPr>
                <w:rFonts w:hint="eastAsia" w:ascii="Times New Roman" w:hAnsi="Times New Roman"/>
                <w:color w:val="auto"/>
                <w:sz w:val="24"/>
                <w:highlight w:val="none"/>
              </w:rPr>
              <w:t>保留防护绿地面积</w:t>
            </w:r>
            <w:r>
              <w:rPr>
                <w:rFonts w:ascii="Times New Roman" w:hAnsi="Times New Roman"/>
                <w:color w:val="auto"/>
                <w:sz w:val="24"/>
                <w:highlight w:val="none"/>
              </w:rPr>
              <w:t>324.65</w:t>
            </w:r>
            <w:r>
              <w:rPr>
                <w:rFonts w:hint="eastAsia" w:ascii="Times New Roman" w:hAnsi="Times New Roman"/>
                <w:color w:val="auto"/>
                <w:sz w:val="24"/>
                <w:highlight w:val="none"/>
              </w:rPr>
              <w:t>公顷，位于大云岭南部以及青年水库水坝防护绿地，注意防护绿地的限制性保护管理，作为水源地防护绿地，涵养水源，保护城市饮用水。</w:t>
            </w:r>
          </w:p>
        </w:tc>
        <w:tc>
          <w:tcPr>
            <w:tcW w:w="1699"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林业局</w:t>
            </w:r>
          </w:p>
        </w:tc>
        <w:tc>
          <w:tcPr>
            <w:tcW w:w="850"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完善项</w:t>
            </w:r>
          </w:p>
        </w:tc>
        <w:tc>
          <w:tcPr>
            <w:tcW w:w="850"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9、10、18</w:t>
            </w:r>
          </w:p>
        </w:tc>
        <w:tc>
          <w:tcPr>
            <w:tcW w:w="901"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2021年9月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1" w:hRule="atLeast"/>
        </w:trPr>
        <w:tc>
          <w:tcPr>
            <w:tcW w:w="458"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3</w:t>
            </w:r>
          </w:p>
        </w:tc>
        <w:tc>
          <w:tcPr>
            <w:tcW w:w="1352"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道路及河道绿地建设</w:t>
            </w:r>
          </w:p>
        </w:tc>
        <w:tc>
          <w:tcPr>
            <w:tcW w:w="2412"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改造提升道路151731.4m</w:t>
            </w:r>
            <w:r>
              <w:rPr>
                <w:rFonts w:hint="eastAsia" w:ascii="Times New Roman" w:hAnsi="Times New Roman"/>
                <w:color w:val="auto"/>
                <w:sz w:val="24"/>
                <w:highlight w:val="none"/>
                <w:vertAlign w:val="superscript"/>
              </w:rPr>
              <w:t>2</w:t>
            </w:r>
          </w:p>
        </w:tc>
        <w:tc>
          <w:tcPr>
            <w:tcW w:w="1699"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公用事业事务中心、林业局</w:t>
            </w:r>
          </w:p>
        </w:tc>
        <w:tc>
          <w:tcPr>
            <w:tcW w:w="850"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完善项</w:t>
            </w:r>
          </w:p>
        </w:tc>
        <w:tc>
          <w:tcPr>
            <w:tcW w:w="850"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16、17、19、41</w:t>
            </w:r>
          </w:p>
        </w:tc>
        <w:tc>
          <w:tcPr>
            <w:tcW w:w="901"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2021年9月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1" w:hRule="atLeast"/>
        </w:trPr>
        <w:tc>
          <w:tcPr>
            <w:tcW w:w="458"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4</w:t>
            </w:r>
          </w:p>
        </w:tc>
        <w:tc>
          <w:tcPr>
            <w:tcW w:w="1352"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立体绿化推广建设</w:t>
            </w:r>
          </w:p>
        </w:tc>
        <w:tc>
          <w:tcPr>
            <w:tcW w:w="2412" w:type="dxa"/>
            <w:vAlign w:val="center"/>
          </w:tcPr>
          <w:p>
            <w:pPr>
              <w:spacing w:line="360" w:lineRule="auto"/>
              <w:jc w:val="center"/>
              <w:rPr>
                <w:rFonts w:ascii="Times New Roman" w:hAnsi="Times New Roman"/>
                <w:color w:val="auto"/>
                <w:sz w:val="24"/>
                <w:highlight w:val="none"/>
              </w:rPr>
            </w:pPr>
            <w:r>
              <w:rPr>
                <w:rFonts w:hint="eastAsia" w:ascii="Times New Roman" w:hAnsi="Times New Roman"/>
                <w:color w:val="auto"/>
                <w:sz w:val="24"/>
                <w:highlight w:val="none"/>
              </w:rPr>
              <w:t>做好立体绿化推广宣传鼓励措施和技术指导，在县城实施</w:t>
            </w:r>
            <w:r>
              <w:rPr>
                <w:rFonts w:ascii="Times New Roman" w:hAnsi="Times New Roman"/>
                <w:color w:val="auto"/>
                <w:sz w:val="24"/>
                <w:highlight w:val="none"/>
              </w:rPr>
              <w:t>2-3</w:t>
            </w:r>
            <w:r>
              <w:rPr>
                <w:rFonts w:hint="eastAsia" w:ascii="Times New Roman" w:hAnsi="Times New Roman"/>
                <w:color w:val="auto"/>
                <w:sz w:val="24"/>
                <w:highlight w:val="none"/>
              </w:rPr>
              <w:t>项立体绿化示范工程</w:t>
            </w:r>
          </w:p>
        </w:tc>
        <w:tc>
          <w:tcPr>
            <w:tcW w:w="1699"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县住建局</w:t>
            </w:r>
          </w:p>
        </w:tc>
        <w:tc>
          <w:tcPr>
            <w:tcW w:w="850"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完善项</w:t>
            </w:r>
          </w:p>
        </w:tc>
        <w:tc>
          <w:tcPr>
            <w:tcW w:w="850"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27</w:t>
            </w:r>
          </w:p>
        </w:tc>
        <w:tc>
          <w:tcPr>
            <w:tcW w:w="901"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2021年9月</w:t>
            </w:r>
          </w:p>
        </w:tc>
      </w:tr>
    </w:tbl>
    <w:p>
      <w:pPr>
        <w:pStyle w:val="2"/>
        <w:ind w:firstLine="560"/>
        <w:rPr>
          <w:rFonts w:ascii="Times New Roman" w:hAnsi="Times New Roman" w:eastAsia="宋体"/>
          <w:color w:val="auto"/>
          <w:szCs w:val="28"/>
          <w:highlight w:val="none"/>
        </w:rPr>
      </w:pPr>
    </w:p>
    <w:p>
      <w:pPr>
        <w:pStyle w:val="6"/>
        <w:rPr>
          <w:rFonts w:ascii="Times New Roman" w:hAnsi="Times New Roman"/>
          <w:color w:val="auto"/>
          <w:highlight w:val="none"/>
        </w:rPr>
      </w:pPr>
      <w:bookmarkStart w:id="156" w:name="_Toc60776349"/>
      <w:bookmarkStart w:id="157" w:name="_Toc17300"/>
      <w:r>
        <w:rPr>
          <w:rFonts w:ascii="Times New Roman" w:hAnsi="Times New Roman"/>
          <w:color w:val="auto"/>
          <w:highlight w:val="none"/>
        </w:rPr>
        <w:t>4.2.2</w:t>
      </w:r>
      <w:r>
        <w:rPr>
          <w:rFonts w:hint="eastAsia" w:ascii="Times New Roman" w:hAnsi="Times New Roman"/>
          <w:color w:val="auto"/>
          <w:highlight w:val="none"/>
        </w:rPr>
        <w:t xml:space="preserve"> </w:t>
      </w:r>
      <w:r>
        <w:rPr>
          <w:rFonts w:ascii="Times New Roman" w:hAnsi="Times New Roman"/>
          <w:color w:val="auto"/>
          <w:highlight w:val="none"/>
        </w:rPr>
        <w:t>生态宜居，建设绿色生态居住区</w:t>
      </w:r>
      <w:bookmarkEnd w:id="156"/>
      <w:bookmarkEnd w:id="157"/>
    </w:p>
    <w:p>
      <w:pPr>
        <w:numPr>
          <w:ilvl w:val="0"/>
          <w:numId w:val="5"/>
        </w:numPr>
        <w:rPr>
          <w:rFonts w:ascii="Times New Roman" w:hAnsi="Times New Roman"/>
          <w:b/>
          <w:bCs/>
          <w:color w:val="auto"/>
          <w:sz w:val="28"/>
          <w:szCs w:val="28"/>
          <w:highlight w:val="none"/>
        </w:rPr>
      </w:pPr>
      <w:r>
        <w:rPr>
          <w:rFonts w:ascii="Times New Roman" w:hAnsi="Times New Roman"/>
          <w:b/>
          <w:bCs/>
          <w:color w:val="auto"/>
          <w:sz w:val="28"/>
          <w:szCs w:val="28"/>
          <w:highlight w:val="none"/>
        </w:rPr>
        <w:t>新建、改建居住区绿地规划建设</w:t>
      </w:r>
    </w:p>
    <w:p>
      <w:pPr>
        <w:spacing w:line="360" w:lineRule="auto"/>
        <w:ind w:firstLine="560"/>
        <w:rPr>
          <w:rFonts w:ascii="Times New Roman" w:hAnsi="Times New Roman"/>
          <w:color w:val="auto"/>
          <w:sz w:val="28"/>
          <w:szCs w:val="28"/>
          <w:highlight w:val="none"/>
        </w:rPr>
      </w:pPr>
      <w:r>
        <w:rPr>
          <w:rFonts w:ascii="Times New Roman" w:hAnsi="Times New Roman"/>
          <w:color w:val="auto"/>
          <w:sz w:val="28"/>
          <w:szCs w:val="28"/>
          <w:highlight w:val="none"/>
        </w:rPr>
        <w:t>居住区附属绿地主要包括集中绿地、宅间绿地和宅旁绿地等，居住区集中绿地是居民就近开展日常休闲、建身、游憩、娱乐等户外活动的必要场所，是满足居民居住幸福感的主要设施。居住区绿地率控制指标要符合《城市居住区规划设计标准》（GB 20180-2018），根据标准要求居住区绿地率达标指标如表4-</w:t>
      </w:r>
      <w:r>
        <w:rPr>
          <w:rFonts w:hint="eastAsia" w:ascii="Times New Roman" w:hAnsi="Times New Roman"/>
          <w:color w:val="auto"/>
          <w:sz w:val="28"/>
          <w:szCs w:val="28"/>
          <w:highlight w:val="none"/>
        </w:rPr>
        <w:t>2-6</w:t>
      </w:r>
      <w:r>
        <w:rPr>
          <w:rFonts w:ascii="Times New Roman" w:hAnsi="Times New Roman"/>
          <w:color w:val="auto"/>
          <w:sz w:val="28"/>
          <w:szCs w:val="28"/>
          <w:highlight w:val="none"/>
        </w:rPr>
        <w:t xml:space="preserve"> 、4-</w:t>
      </w:r>
      <w:r>
        <w:rPr>
          <w:rFonts w:hint="eastAsia" w:ascii="Times New Roman" w:hAnsi="Times New Roman"/>
          <w:color w:val="auto"/>
          <w:sz w:val="28"/>
          <w:szCs w:val="28"/>
          <w:highlight w:val="none"/>
        </w:rPr>
        <w:t>2-7</w:t>
      </w:r>
      <w:r>
        <w:rPr>
          <w:rFonts w:ascii="Times New Roman" w:hAnsi="Times New Roman"/>
          <w:color w:val="auto"/>
          <w:sz w:val="28"/>
          <w:szCs w:val="28"/>
          <w:highlight w:val="none"/>
        </w:rPr>
        <w:t>。</w:t>
      </w:r>
    </w:p>
    <w:p>
      <w:pPr>
        <w:ind w:firstLine="560" w:firstLineChars="200"/>
        <w:rPr>
          <w:rFonts w:ascii="Times New Roman" w:hAnsi="Times New Roman"/>
          <w:color w:val="auto"/>
          <w:sz w:val="28"/>
          <w:szCs w:val="28"/>
          <w:highlight w:val="none"/>
        </w:rPr>
      </w:pPr>
      <w:r>
        <w:rPr>
          <w:rFonts w:hint="eastAsia" w:ascii="Times New Roman" w:hAnsi="Times New Roman"/>
          <w:color w:val="auto"/>
          <w:sz w:val="28"/>
          <w:szCs w:val="28"/>
          <w:highlight w:val="none"/>
        </w:rPr>
        <w:t>海丰县2002年（含）以后新建、改建居住区3</w:t>
      </w:r>
      <w:r>
        <w:rPr>
          <w:rFonts w:ascii="Times New Roman" w:hAnsi="Times New Roman"/>
          <w:color w:val="auto"/>
          <w:sz w:val="28"/>
          <w:szCs w:val="28"/>
          <w:highlight w:val="none"/>
        </w:rPr>
        <w:t>8</w:t>
      </w:r>
      <w:r>
        <w:rPr>
          <w:rFonts w:hint="eastAsia" w:ascii="Times New Roman" w:hAnsi="Times New Roman"/>
          <w:color w:val="auto"/>
          <w:sz w:val="28"/>
          <w:szCs w:val="28"/>
          <w:highlight w:val="none"/>
        </w:rPr>
        <w:t>个，其中绿地达标的城市新建、改建居住区</w:t>
      </w:r>
      <w:r>
        <w:rPr>
          <w:rFonts w:hint="eastAsia" w:ascii="Times New Roman" w:hAnsi="Times New Roman"/>
          <w:color w:val="auto"/>
          <w:sz w:val="28"/>
          <w:szCs w:val="28"/>
          <w:highlight w:val="none"/>
          <w:lang w:val="en-US" w:eastAsia="zh-CN"/>
        </w:rPr>
        <w:t>22</w:t>
      </w:r>
      <w:r>
        <w:rPr>
          <w:rFonts w:hint="eastAsia" w:ascii="Times New Roman" w:hAnsi="Times New Roman"/>
          <w:color w:val="auto"/>
          <w:sz w:val="28"/>
          <w:szCs w:val="28"/>
          <w:highlight w:val="none"/>
        </w:rPr>
        <w:t>个，面积</w:t>
      </w:r>
      <w:r>
        <w:rPr>
          <w:rFonts w:hint="eastAsia" w:ascii="Times New Roman" w:hAnsi="Times New Roman"/>
          <w:color w:val="auto"/>
          <w:sz w:val="28"/>
          <w:szCs w:val="28"/>
          <w:highlight w:val="none"/>
          <w:lang w:val="en-US" w:eastAsia="zh-CN"/>
        </w:rPr>
        <w:t>99.91</w:t>
      </w:r>
      <w:r>
        <w:rPr>
          <w:rFonts w:hint="eastAsia" w:ascii="Times New Roman" w:hAnsi="Times New Roman"/>
          <w:color w:val="auto"/>
          <w:sz w:val="28"/>
          <w:szCs w:val="28"/>
          <w:highlight w:val="none"/>
        </w:rPr>
        <w:t>公顷；城市新建、改建居住区总面积</w:t>
      </w:r>
      <w:r>
        <w:rPr>
          <w:rFonts w:ascii="Times New Roman" w:hAnsi="Times New Roman"/>
          <w:color w:val="auto"/>
          <w:sz w:val="28"/>
          <w:szCs w:val="28"/>
          <w:highlight w:val="none"/>
        </w:rPr>
        <w:t>134.24</w:t>
      </w:r>
      <w:r>
        <w:rPr>
          <w:rFonts w:hint="eastAsia" w:ascii="Times New Roman" w:hAnsi="Times New Roman"/>
          <w:color w:val="auto"/>
          <w:sz w:val="28"/>
          <w:szCs w:val="28"/>
          <w:highlight w:val="none"/>
        </w:rPr>
        <w:t>公顷，新建、改建居住区绿地达标率</w:t>
      </w:r>
      <w:r>
        <w:rPr>
          <w:rFonts w:hint="eastAsia" w:ascii="Times New Roman" w:hAnsi="Times New Roman"/>
          <w:color w:val="auto"/>
          <w:sz w:val="28"/>
          <w:szCs w:val="28"/>
          <w:highlight w:val="none"/>
          <w:lang w:val="en-US" w:eastAsia="zh-CN"/>
        </w:rPr>
        <w:t>74.43</w:t>
      </w:r>
      <w:r>
        <w:rPr>
          <w:rFonts w:hint="eastAsia" w:ascii="Times New Roman" w:hAnsi="Times New Roman"/>
          <w:color w:val="auto"/>
          <w:sz w:val="28"/>
          <w:szCs w:val="28"/>
          <w:highlight w:val="none"/>
        </w:rPr>
        <w:t>%。鑫湖豪庭</w:t>
      </w:r>
      <w:r>
        <w:rPr>
          <w:rFonts w:ascii="Times New Roman" w:hAnsi="Times New Roman"/>
          <w:color w:val="auto"/>
          <w:sz w:val="28"/>
          <w:szCs w:val="28"/>
          <w:highlight w:val="none"/>
        </w:rPr>
        <w:t>、</w:t>
      </w:r>
      <w:r>
        <w:rPr>
          <w:rFonts w:hint="eastAsia" w:ascii="Times New Roman" w:hAnsi="Times New Roman"/>
          <w:color w:val="auto"/>
          <w:sz w:val="28"/>
          <w:szCs w:val="28"/>
          <w:highlight w:val="none"/>
        </w:rPr>
        <w:t>金嘉名园</w:t>
      </w:r>
      <w:r>
        <w:rPr>
          <w:rFonts w:ascii="Times New Roman" w:hAnsi="Times New Roman"/>
          <w:color w:val="auto"/>
          <w:sz w:val="28"/>
          <w:szCs w:val="28"/>
          <w:highlight w:val="none"/>
        </w:rPr>
        <w:t>、</w:t>
      </w:r>
      <w:r>
        <w:rPr>
          <w:rFonts w:hint="eastAsia" w:ascii="Times New Roman" w:hAnsi="Times New Roman"/>
          <w:color w:val="auto"/>
          <w:sz w:val="28"/>
          <w:szCs w:val="28"/>
          <w:highlight w:val="none"/>
        </w:rPr>
        <w:t>鑫湖花园</w:t>
      </w:r>
      <w:r>
        <w:rPr>
          <w:rFonts w:ascii="Times New Roman" w:hAnsi="Times New Roman"/>
          <w:color w:val="auto"/>
          <w:sz w:val="28"/>
          <w:szCs w:val="28"/>
          <w:highlight w:val="none"/>
        </w:rPr>
        <w:t>、</w:t>
      </w:r>
      <w:r>
        <w:rPr>
          <w:rFonts w:hint="eastAsia" w:ascii="Times New Roman" w:hAnsi="Times New Roman"/>
          <w:color w:val="auto"/>
          <w:sz w:val="28"/>
          <w:szCs w:val="28"/>
          <w:highlight w:val="none"/>
        </w:rPr>
        <w:t>金尊豪庭</w:t>
      </w:r>
      <w:r>
        <w:rPr>
          <w:rFonts w:ascii="Times New Roman" w:hAnsi="Times New Roman"/>
          <w:color w:val="auto"/>
          <w:sz w:val="28"/>
          <w:szCs w:val="28"/>
          <w:highlight w:val="none"/>
        </w:rPr>
        <w:t>、凤凰新城等</w:t>
      </w:r>
      <w:r>
        <w:rPr>
          <w:rFonts w:hint="eastAsia" w:ascii="Times New Roman" w:hAnsi="Times New Roman"/>
          <w:color w:val="auto"/>
          <w:sz w:val="28"/>
          <w:szCs w:val="28"/>
          <w:highlight w:val="none"/>
          <w:lang w:val="en-US" w:eastAsia="zh-CN"/>
        </w:rPr>
        <w:t>16</w:t>
      </w:r>
      <w:r>
        <w:rPr>
          <w:rFonts w:hint="eastAsia" w:ascii="Times New Roman" w:hAnsi="Times New Roman"/>
          <w:color w:val="auto"/>
          <w:sz w:val="28"/>
          <w:szCs w:val="28"/>
          <w:highlight w:val="none"/>
        </w:rPr>
        <w:t>个居住区配套</w:t>
      </w:r>
      <w:r>
        <w:rPr>
          <w:rFonts w:ascii="Times New Roman" w:hAnsi="Times New Roman"/>
          <w:color w:val="auto"/>
          <w:sz w:val="28"/>
          <w:szCs w:val="28"/>
          <w:highlight w:val="none"/>
        </w:rPr>
        <w:t>附属绿地面积稍显不足。</w:t>
      </w:r>
    </w:p>
    <w:p>
      <w:pPr>
        <w:spacing w:line="360" w:lineRule="auto"/>
        <w:ind w:firstLine="560"/>
        <w:rPr>
          <w:rFonts w:ascii="Times New Roman" w:hAnsi="Times New Roman"/>
          <w:color w:val="auto"/>
          <w:sz w:val="28"/>
          <w:szCs w:val="28"/>
          <w:highlight w:val="none"/>
        </w:rPr>
      </w:pPr>
      <w:r>
        <w:rPr>
          <w:rFonts w:ascii="Times New Roman" w:hAnsi="Times New Roman"/>
          <w:color w:val="auto"/>
          <w:sz w:val="28"/>
          <w:szCs w:val="28"/>
          <w:highlight w:val="none"/>
        </w:rPr>
        <w:t>根据省级园林城市创建标准要求新建、改建居住区绿地达标率需达到95%。</w:t>
      </w:r>
      <w:r>
        <w:rPr>
          <w:rFonts w:hint="eastAsia" w:ascii="Times New Roman" w:hAnsi="Times New Roman"/>
          <w:color w:val="auto"/>
          <w:sz w:val="28"/>
          <w:szCs w:val="28"/>
          <w:highlight w:val="none"/>
        </w:rPr>
        <w:t>为了有效提升海丰县整体居民居住环境，达到省级园林县城标准，建议从两个方面进行：首先，对已建成居住区进行附属绿地改造，扩大绿地面积。其次，</w:t>
      </w:r>
      <w:r>
        <w:rPr>
          <w:rFonts w:ascii="Times New Roman" w:hAnsi="Times New Roman"/>
          <w:color w:val="auto"/>
          <w:sz w:val="28"/>
          <w:szCs w:val="28"/>
          <w:highlight w:val="none"/>
        </w:rPr>
        <w:t>县住建局、自然资源局应联合</w:t>
      </w:r>
      <w:r>
        <w:rPr>
          <w:rFonts w:hint="eastAsia" w:ascii="Times New Roman" w:hAnsi="Times New Roman"/>
          <w:color w:val="auto"/>
          <w:sz w:val="28"/>
          <w:szCs w:val="28"/>
          <w:highlight w:val="none"/>
        </w:rPr>
        <w:t>对未建或者规划中的居住小区按照</w:t>
      </w:r>
      <w:r>
        <w:rPr>
          <w:rFonts w:ascii="Times New Roman" w:hAnsi="Times New Roman"/>
          <w:color w:val="auto"/>
          <w:sz w:val="28"/>
          <w:szCs w:val="28"/>
          <w:highlight w:val="none"/>
        </w:rPr>
        <w:t>《城市居住区规划设计标准》（GB 20180-2018）严格控制绿地率达标。对目前尚未到达绿化标准的居住区督促改造。</w:t>
      </w:r>
    </w:p>
    <w:p>
      <w:pPr>
        <w:jc w:val="center"/>
        <w:rPr>
          <w:rFonts w:ascii="Times New Roman" w:hAnsi="Times New Roman"/>
          <w:b/>
          <w:bCs/>
          <w:color w:val="auto"/>
          <w:sz w:val="28"/>
          <w:szCs w:val="28"/>
          <w:highlight w:val="none"/>
        </w:rPr>
      </w:pPr>
      <w:r>
        <w:rPr>
          <w:rFonts w:ascii="Times New Roman" w:hAnsi="Times New Roman"/>
          <w:b/>
          <w:bCs/>
          <w:color w:val="auto"/>
          <w:sz w:val="28"/>
          <w:szCs w:val="28"/>
          <w:highlight w:val="none"/>
        </w:rPr>
        <w:t>表4-</w:t>
      </w:r>
      <w:r>
        <w:rPr>
          <w:rFonts w:hint="eastAsia" w:ascii="Times New Roman" w:hAnsi="Times New Roman"/>
          <w:b/>
          <w:bCs/>
          <w:color w:val="auto"/>
          <w:sz w:val="28"/>
          <w:szCs w:val="28"/>
          <w:highlight w:val="none"/>
        </w:rPr>
        <w:t>2-6</w:t>
      </w:r>
      <w:r>
        <w:rPr>
          <w:rFonts w:ascii="Times New Roman" w:hAnsi="Times New Roman"/>
          <w:b/>
          <w:bCs/>
          <w:color w:val="auto"/>
          <w:sz w:val="28"/>
          <w:szCs w:val="28"/>
          <w:highlight w:val="none"/>
        </w:rPr>
        <w:t xml:space="preserve">  海丰县县城居住街坊用地绿地率指标控制一览表</w:t>
      </w:r>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住宅建筑平均层数</w:t>
            </w:r>
          </w:p>
        </w:tc>
        <w:tc>
          <w:tcPr>
            <w:tcW w:w="4261" w:type="dxa"/>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绿地率最小值（%）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低层（1-3层）</w:t>
            </w:r>
          </w:p>
        </w:tc>
        <w:tc>
          <w:tcPr>
            <w:tcW w:w="4261" w:type="dxa"/>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多层Ⅰ类（4层-6层）</w:t>
            </w:r>
          </w:p>
        </w:tc>
        <w:tc>
          <w:tcPr>
            <w:tcW w:w="4261" w:type="dxa"/>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多层Ⅱ类（7层-9层）</w:t>
            </w:r>
          </w:p>
        </w:tc>
        <w:tc>
          <w:tcPr>
            <w:tcW w:w="4261" w:type="dxa"/>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高层Ⅰ类（10层-18层）</w:t>
            </w:r>
          </w:p>
        </w:tc>
        <w:tc>
          <w:tcPr>
            <w:tcW w:w="4261" w:type="dxa"/>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高层Ⅱ类（19层-26层）</w:t>
            </w:r>
          </w:p>
        </w:tc>
        <w:tc>
          <w:tcPr>
            <w:tcW w:w="4261" w:type="dxa"/>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35</w:t>
            </w:r>
          </w:p>
        </w:tc>
      </w:tr>
    </w:tbl>
    <w:p>
      <w:pPr>
        <w:spacing w:line="360" w:lineRule="auto"/>
        <w:ind w:firstLine="560"/>
        <w:rPr>
          <w:rFonts w:ascii="Times New Roman" w:hAnsi="Times New Roman"/>
          <w:color w:val="auto"/>
          <w:sz w:val="28"/>
          <w:szCs w:val="28"/>
          <w:highlight w:val="none"/>
        </w:rPr>
      </w:pPr>
      <w:r>
        <w:rPr>
          <w:rFonts w:ascii="Times New Roman" w:hAnsi="Times New Roman"/>
          <w:color w:val="auto"/>
          <w:sz w:val="28"/>
          <w:szCs w:val="28"/>
          <w:highlight w:val="none"/>
        </w:rPr>
        <w:t>当住宅建筑采用低层或多层高密度布局形式时，绿地率应符合以下控制要求：</w:t>
      </w:r>
    </w:p>
    <w:p>
      <w:pPr>
        <w:jc w:val="center"/>
        <w:rPr>
          <w:rFonts w:ascii="Times New Roman" w:hAnsi="Times New Roman"/>
          <w:b/>
          <w:bCs/>
          <w:color w:val="auto"/>
          <w:sz w:val="28"/>
          <w:szCs w:val="28"/>
          <w:highlight w:val="none"/>
        </w:rPr>
      </w:pPr>
      <w:r>
        <w:rPr>
          <w:rFonts w:ascii="Times New Roman" w:hAnsi="Times New Roman"/>
          <w:b/>
          <w:bCs/>
          <w:color w:val="auto"/>
          <w:sz w:val="28"/>
          <w:szCs w:val="28"/>
          <w:highlight w:val="none"/>
        </w:rPr>
        <w:t>表4-</w:t>
      </w:r>
      <w:r>
        <w:rPr>
          <w:rFonts w:hint="eastAsia" w:ascii="Times New Roman" w:hAnsi="Times New Roman"/>
          <w:b/>
          <w:bCs/>
          <w:color w:val="auto"/>
          <w:sz w:val="28"/>
          <w:szCs w:val="28"/>
          <w:highlight w:val="none"/>
        </w:rPr>
        <w:t>2-7</w:t>
      </w:r>
      <w:r>
        <w:rPr>
          <w:rFonts w:ascii="Times New Roman" w:hAnsi="Times New Roman"/>
          <w:b/>
          <w:bCs/>
          <w:color w:val="auto"/>
          <w:sz w:val="28"/>
          <w:szCs w:val="28"/>
          <w:highlight w:val="none"/>
        </w:rPr>
        <w:t xml:space="preserve">  海丰县县城住宅建筑用地绿地率指标控制一览表</w:t>
      </w:r>
    </w:p>
    <w:tbl>
      <w:tblPr>
        <w:tblStyle w:val="20"/>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住宅建筑层数类别</w:t>
            </w:r>
          </w:p>
        </w:tc>
        <w:tc>
          <w:tcPr>
            <w:tcW w:w="4261" w:type="dxa"/>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绿地率最小值（%）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低层（1-3层）</w:t>
            </w:r>
          </w:p>
        </w:tc>
        <w:tc>
          <w:tcPr>
            <w:tcW w:w="4261" w:type="dxa"/>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61" w:type="dxa"/>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多层Ⅰ类（4层-6层）</w:t>
            </w:r>
          </w:p>
        </w:tc>
        <w:tc>
          <w:tcPr>
            <w:tcW w:w="4261" w:type="dxa"/>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25</w:t>
            </w:r>
          </w:p>
        </w:tc>
      </w:tr>
    </w:tbl>
    <w:p>
      <w:pPr>
        <w:ind w:left="420"/>
        <w:rPr>
          <w:rFonts w:ascii="Times New Roman" w:hAnsi="Times New Roman"/>
          <w:b/>
          <w:bCs/>
          <w:color w:val="auto"/>
          <w:sz w:val="28"/>
          <w:szCs w:val="28"/>
          <w:highlight w:val="none"/>
        </w:rPr>
      </w:pPr>
    </w:p>
    <w:p>
      <w:pPr>
        <w:numPr>
          <w:ilvl w:val="0"/>
          <w:numId w:val="5"/>
        </w:numPr>
        <w:rPr>
          <w:rFonts w:ascii="Times New Roman" w:hAnsi="Times New Roman"/>
          <w:b/>
          <w:bCs/>
          <w:color w:val="auto"/>
          <w:sz w:val="28"/>
          <w:szCs w:val="28"/>
          <w:highlight w:val="none"/>
        </w:rPr>
      </w:pPr>
      <w:r>
        <w:rPr>
          <w:rFonts w:ascii="Times New Roman" w:hAnsi="Times New Roman"/>
          <w:b/>
          <w:bCs/>
          <w:color w:val="auto"/>
          <w:sz w:val="28"/>
          <w:szCs w:val="28"/>
          <w:highlight w:val="none"/>
        </w:rPr>
        <w:t>园林式居住区（单位）评选</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目前海丰县尚未开展园林式居住区（单位）评审，建议由县住房和城乡建设局或委托第三方单位组织开展评审活动，初次评审达标率为50%，按照海丰县建成区内居住区（单位）共106个计算，需要53个单位达标。结合园林式居住区评选结果，对标园林式居住区（单位）评选标准，结合老旧小区改造规划、棚户区改造规划，提升现状居住区（单位）绿化水平，力争在开展评审前达到标准要求。评审结果最迟应在2021年6月底前，进行广泛公示，评价标准详见《广东省园林城市系列标准（2017年修订）》指标解释说明。</w:t>
      </w:r>
    </w:p>
    <w:p>
      <w:pPr>
        <w:widowControl/>
        <w:jc w:val="center"/>
        <w:rPr>
          <w:rFonts w:ascii="Times New Roman" w:hAnsi="Times New Roman"/>
          <w:b/>
          <w:color w:val="auto"/>
          <w:kern w:val="0"/>
          <w:sz w:val="24"/>
          <w:highlight w:val="none"/>
          <w:lang w:bidi="ar"/>
        </w:rPr>
      </w:pPr>
      <w:r>
        <w:rPr>
          <w:rFonts w:ascii="Times New Roman" w:hAnsi="Times New Roman"/>
          <w:color w:val="auto"/>
          <w:sz w:val="24"/>
          <w:highlight w:val="none"/>
        </w:rPr>
        <w:drawing>
          <wp:inline distT="0" distB="0" distL="114300" distR="114300">
            <wp:extent cx="3601720" cy="2240280"/>
            <wp:effectExtent l="0" t="0" r="5080" b="7620"/>
            <wp:docPr id="28"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5" descr="IMG_256"/>
                    <pic:cNvPicPr>
                      <a:picLocks noChangeAspect="1"/>
                    </pic:cNvPicPr>
                  </pic:nvPicPr>
                  <pic:blipFill>
                    <a:blip r:embed="rId19"/>
                    <a:srcRect l="2497" t="1689" r="4923" b="6188"/>
                    <a:stretch>
                      <a:fillRect/>
                    </a:stretch>
                  </pic:blipFill>
                  <pic:spPr>
                    <a:xfrm>
                      <a:off x="0" y="0"/>
                      <a:ext cx="3601720" cy="2240280"/>
                    </a:xfrm>
                    <a:prstGeom prst="rect">
                      <a:avLst/>
                    </a:prstGeom>
                    <a:noFill/>
                    <a:ln w="9525">
                      <a:noFill/>
                    </a:ln>
                  </pic:spPr>
                </pic:pic>
              </a:graphicData>
            </a:graphic>
          </wp:inline>
        </w:drawing>
      </w:r>
    </w:p>
    <w:p>
      <w:pPr>
        <w:jc w:val="center"/>
        <w:rPr>
          <w:rFonts w:ascii="Times New Roman" w:hAnsi="Times New Roman"/>
          <w:b/>
          <w:bCs/>
          <w:color w:val="auto"/>
          <w:sz w:val="28"/>
          <w:szCs w:val="28"/>
          <w:highlight w:val="none"/>
        </w:rPr>
      </w:pPr>
      <w:r>
        <w:rPr>
          <w:rFonts w:ascii="Times New Roman" w:hAnsi="Times New Roman"/>
          <w:b/>
          <w:bCs/>
          <w:color w:val="auto"/>
          <w:sz w:val="28"/>
          <w:szCs w:val="28"/>
          <w:highlight w:val="none"/>
        </w:rPr>
        <w:t>图4-</w:t>
      </w:r>
      <w:r>
        <w:rPr>
          <w:rFonts w:hint="eastAsia" w:ascii="Times New Roman" w:hAnsi="Times New Roman"/>
          <w:b/>
          <w:bCs/>
          <w:color w:val="auto"/>
          <w:sz w:val="28"/>
          <w:szCs w:val="28"/>
          <w:highlight w:val="none"/>
        </w:rPr>
        <w:t>2-6</w:t>
      </w:r>
      <w:r>
        <w:rPr>
          <w:rFonts w:ascii="Times New Roman" w:hAnsi="Times New Roman"/>
          <w:b/>
          <w:bCs/>
          <w:color w:val="auto"/>
          <w:sz w:val="28"/>
          <w:szCs w:val="28"/>
          <w:highlight w:val="none"/>
        </w:rPr>
        <w:t xml:space="preserve">  园林式居住区（单位）授牌示例</w:t>
      </w:r>
    </w:p>
    <w:p>
      <w:pPr>
        <w:pStyle w:val="2"/>
        <w:ind w:firstLine="560"/>
        <w:rPr>
          <w:rFonts w:ascii="Times New Roman" w:hAnsi="Times New Roman" w:eastAsia="宋体"/>
          <w:color w:val="auto"/>
          <w:highlight w:val="none"/>
        </w:rPr>
      </w:pPr>
    </w:p>
    <w:p>
      <w:pPr>
        <w:jc w:val="center"/>
        <w:rPr>
          <w:rFonts w:ascii="Times New Roman" w:hAnsi="Times New Roman"/>
          <w:b/>
          <w:bCs/>
          <w:color w:val="auto"/>
          <w:sz w:val="28"/>
          <w:szCs w:val="28"/>
          <w:highlight w:val="none"/>
        </w:rPr>
      </w:pPr>
      <w:r>
        <w:rPr>
          <w:rFonts w:ascii="Times New Roman" w:hAnsi="Times New Roman"/>
          <w:color w:val="auto"/>
          <w:sz w:val="28"/>
          <w:szCs w:val="28"/>
          <w:highlight w:val="none"/>
        </w:rPr>
        <w:t xml:space="preserve"> </w:t>
      </w:r>
      <w:r>
        <w:rPr>
          <w:rFonts w:ascii="Times New Roman" w:hAnsi="Times New Roman"/>
          <w:b/>
          <w:bCs/>
          <w:color w:val="auto"/>
          <w:sz w:val="28"/>
          <w:szCs w:val="28"/>
          <w:highlight w:val="none"/>
        </w:rPr>
        <w:t>表4-</w:t>
      </w:r>
      <w:r>
        <w:rPr>
          <w:rFonts w:hint="eastAsia" w:ascii="Times New Roman" w:hAnsi="Times New Roman"/>
          <w:b/>
          <w:bCs/>
          <w:color w:val="auto"/>
          <w:sz w:val="28"/>
          <w:szCs w:val="28"/>
          <w:highlight w:val="none"/>
        </w:rPr>
        <w:t xml:space="preserve">2-8 </w:t>
      </w:r>
      <w:r>
        <w:rPr>
          <w:rFonts w:ascii="Times New Roman" w:hAnsi="Times New Roman"/>
          <w:b/>
          <w:bCs/>
          <w:color w:val="auto"/>
          <w:sz w:val="28"/>
          <w:szCs w:val="28"/>
          <w:highlight w:val="none"/>
        </w:rPr>
        <w:t xml:space="preserve"> 绿色生态居住区建设行动方案</w:t>
      </w:r>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8"/>
        <w:gridCol w:w="1352"/>
        <w:gridCol w:w="2410"/>
        <w:gridCol w:w="1699"/>
        <w:gridCol w:w="852"/>
        <w:gridCol w:w="850"/>
        <w:gridCol w:w="9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1" w:hRule="atLeast"/>
        </w:trPr>
        <w:tc>
          <w:tcPr>
            <w:tcW w:w="458" w:type="dxa"/>
            <w:vAlign w:val="center"/>
          </w:tcPr>
          <w:p>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序号</w:t>
            </w:r>
          </w:p>
        </w:tc>
        <w:tc>
          <w:tcPr>
            <w:tcW w:w="1352" w:type="dxa"/>
            <w:vAlign w:val="center"/>
          </w:tcPr>
          <w:p>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项目</w:t>
            </w:r>
          </w:p>
        </w:tc>
        <w:tc>
          <w:tcPr>
            <w:tcW w:w="2410" w:type="dxa"/>
            <w:vAlign w:val="center"/>
          </w:tcPr>
          <w:p>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内容</w:t>
            </w:r>
          </w:p>
        </w:tc>
        <w:tc>
          <w:tcPr>
            <w:tcW w:w="1699" w:type="dxa"/>
            <w:vAlign w:val="center"/>
          </w:tcPr>
          <w:p>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责任单位</w:t>
            </w:r>
          </w:p>
        </w:tc>
        <w:tc>
          <w:tcPr>
            <w:tcW w:w="852" w:type="dxa"/>
            <w:vAlign w:val="center"/>
          </w:tcPr>
          <w:p>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性质</w:t>
            </w:r>
          </w:p>
        </w:tc>
        <w:tc>
          <w:tcPr>
            <w:tcW w:w="850" w:type="dxa"/>
            <w:vAlign w:val="center"/>
          </w:tcPr>
          <w:p>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对应考核指标</w:t>
            </w:r>
          </w:p>
        </w:tc>
        <w:tc>
          <w:tcPr>
            <w:tcW w:w="901" w:type="dxa"/>
            <w:vAlign w:val="center"/>
          </w:tcPr>
          <w:p>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完成时间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7" w:hRule="atLeast"/>
        </w:trPr>
        <w:tc>
          <w:tcPr>
            <w:tcW w:w="458"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1</w:t>
            </w:r>
          </w:p>
        </w:tc>
        <w:tc>
          <w:tcPr>
            <w:tcW w:w="1352" w:type="dxa"/>
          </w:tcPr>
          <w:p>
            <w:pPr>
              <w:spacing w:line="360" w:lineRule="auto"/>
              <w:rPr>
                <w:rFonts w:ascii="Times New Roman" w:hAnsi="Times New Roman"/>
                <w:color w:val="auto"/>
                <w:sz w:val="24"/>
                <w:highlight w:val="none"/>
              </w:rPr>
            </w:pPr>
            <w:r>
              <w:rPr>
                <w:rFonts w:hint="eastAsia" w:ascii="Times New Roman" w:hAnsi="Times New Roman"/>
                <w:color w:val="auto"/>
                <w:sz w:val="24"/>
                <w:highlight w:val="none"/>
              </w:rPr>
              <w:t>新建、改建居住区绿地规划建设</w:t>
            </w:r>
          </w:p>
        </w:tc>
        <w:tc>
          <w:tcPr>
            <w:tcW w:w="2410"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严格控制新建改建居住区绿地率达标</w:t>
            </w:r>
          </w:p>
          <w:p>
            <w:pPr>
              <w:spacing w:line="360" w:lineRule="auto"/>
              <w:jc w:val="center"/>
              <w:rPr>
                <w:rFonts w:ascii="Times New Roman" w:hAnsi="Times New Roman"/>
                <w:color w:val="auto"/>
                <w:sz w:val="24"/>
                <w:highlight w:val="none"/>
              </w:rPr>
            </w:pPr>
          </w:p>
        </w:tc>
        <w:tc>
          <w:tcPr>
            <w:tcW w:w="1699"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县自然资源局</w:t>
            </w:r>
          </w:p>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县住建局</w:t>
            </w:r>
          </w:p>
          <w:p>
            <w:pPr>
              <w:spacing w:line="360" w:lineRule="auto"/>
              <w:jc w:val="center"/>
              <w:rPr>
                <w:rFonts w:ascii="Times New Roman" w:hAnsi="Times New Roman"/>
                <w:color w:val="auto"/>
                <w:sz w:val="24"/>
                <w:highlight w:val="none"/>
              </w:rPr>
            </w:pPr>
          </w:p>
        </w:tc>
        <w:tc>
          <w:tcPr>
            <w:tcW w:w="852"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完善项</w:t>
            </w:r>
          </w:p>
        </w:tc>
        <w:tc>
          <w:tcPr>
            <w:tcW w:w="850"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14</w:t>
            </w:r>
          </w:p>
        </w:tc>
        <w:tc>
          <w:tcPr>
            <w:tcW w:w="901"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2021年9月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1" w:hRule="atLeast"/>
        </w:trPr>
        <w:tc>
          <w:tcPr>
            <w:tcW w:w="458"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2</w:t>
            </w:r>
          </w:p>
        </w:tc>
        <w:tc>
          <w:tcPr>
            <w:tcW w:w="1352" w:type="dxa"/>
          </w:tcPr>
          <w:p>
            <w:pPr>
              <w:spacing w:line="360" w:lineRule="auto"/>
              <w:rPr>
                <w:rFonts w:ascii="Times New Roman" w:hAnsi="Times New Roman"/>
                <w:color w:val="auto"/>
                <w:sz w:val="24"/>
                <w:highlight w:val="none"/>
              </w:rPr>
            </w:pPr>
            <w:r>
              <w:rPr>
                <w:rFonts w:hint="eastAsia" w:ascii="Times New Roman" w:hAnsi="Times New Roman"/>
                <w:color w:val="auto"/>
                <w:sz w:val="24"/>
                <w:highlight w:val="none"/>
              </w:rPr>
              <w:t>园林式居住区（单位）评选</w:t>
            </w:r>
          </w:p>
        </w:tc>
        <w:tc>
          <w:tcPr>
            <w:tcW w:w="2410"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专项组织园林式居住区（单位）评审，达标率大于50%，授牌</w:t>
            </w:r>
          </w:p>
        </w:tc>
        <w:tc>
          <w:tcPr>
            <w:tcW w:w="1699"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县住建局</w:t>
            </w:r>
          </w:p>
        </w:tc>
        <w:tc>
          <w:tcPr>
            <w:tcW w:w="852"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完善项</w:t>
            </w:r>
          </w:p>
        </w:tc>
        <w:tc>
          <w:tcPr>
            <w:tcW w:w="850"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15</w:t>
            </w:r>
          </w:p>
        </w:tc>
        <w:tc>
          <w:tcPr>
            <w:tcW w:w="901"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2021年9月</w:t>
            </w:r>
          </w:p>
        </w:tc>
      </w:tr>
    </w:tbl>
    <w:p>
      <w:pPr>
        <w:pStyle w:val="2"/>
        <w:ind w:left="0" w:leftChars="0" w:firstLine="0" w:firstLineChars="0"/>
        <w:rPr>
          <w:rFonts w:ascii="Times New Roman" w:hAnsi="Times New Roman" w:eastAsia="宋体"/>
          <w:color w:val="auto"/>
          <w:highlight w:val="none"/>
        </w:rPr>
      </w:pPr>
    </w:p>
    <w:p>
      <w:pPr>
        <w:pStyle w:val="6"/>
        <w:rPr>
          <w:rFonts w:ascii="Times New Roman" w:hAnsi="Times New Roman"/>
          <w:color w:val="auto"/>
          <w:highlight w:val="none"/>
        </w:rPr>
      </w:pPr>
      <w:bookmarkStart w:id="158" w:name="_Toc14353"/>
      <w:bookmarkStart w:id="159" w:name="_Toc60776350"/>
      <w:r>
        <w:rPr>
          <w:rFonts w:ascii="Times New Roman" w:hAnsi="Times New Roman"/>
          <w:color w:val="auto"/>
          <w:highlight w:val="none"/>
        </w:rPr>
        <w:t>4.2.3 科学管养，提升城市绿化品质</w:t>
      </w:r>
      <w:bookmarkEnd w:id="158"/>
      <w:bookmarkEnd w:id="159"/>
    </w:p>
    <w:p>
      <w:pPr>
        <w:ind w:firstLine="562" w:firstLineChars="200"/>
        <w:rPr>
          <w:rFonts w:ascii="Times New Roman" w:hAnsi="Times New Roman"/>
          <w:bCs/>
          <w:color w:val="auto"/>
          <w:szCs w:val="28"/>
          <w:highlight w:val="none"/>
        </w:rPr>
      </w:pPr>
      <w:r>
        <w:rPr>
          <w:rFonts w:hint="eastAsia" w:ascii="Times New Roman" w:hAnsi="Times New Roman"/>
          <w:b/>
          <w:bCs/>
          <w:color w:val="auto"/>
          <w:sz w:val="28"/>
          <w:szCs w:val="28"/>
          <w:highlight w:val="none"/>
        </w:rPr>
        <w:t>（</w:t>
      </w:r>
      <w:r>
        <w:rPr>
          <w:rFonts w:ascii="Times New Roman" w:hAnsi="Times New Roman"/>
          <w:b/>
          <w:bCs/>
          <w:color w:val="auto"/>
          <w:sz w:val="28"/>
          <w:szCs w:val="28"/>
          <w:highlight w:val="none"/>
        </w:rPr>
        <w:t>1</w:t>
      </w:r>
      <w:r>
        <w:rPr>
          <w:rFonts w:hint="eastAsia" w:ascii="Times New Roman" w:hAnsi="Times New Roman"/>
          <w:b/>
          <w:bCs/>
          <w:color w:val="auto"/>
          <w:sz w:val="28"/>
          <w:szCs w:val="28"/>
          <w:highlight w:val="none"/>
        </w:rPr>
        <w:t>）严格控制大树移植</w:t>
      </w:r>
    </w:p>
    <w:p>
      <w:pPr>
        <w:ind w:firstLine="560" w:firstLineChars="200"/>
        <w:rPr>
          <w:rFonts w:ascii="Times New Roman" w:hAnsi="Times New Roman"/>
          <w:color w:val="auto"/>
          <w:szCs w:val="28"/>
          <w:highlight w:val="none"/>
        </w:rPr>
      </w:pPr>
      <w:r>
        <w:rPr>
          <w:rFonts w:ascii="Times New Roman" w:hAnsi="Times New Roman"/>
          <w:color w:val="auto"/>
          <w:sz w:val="28"/>
          <w:szCs w:val="28"/>
          <w:highlight w:val="none"/>
        </w:rPr>
        <w:t>2017</w:t>
      </w:r>
      <w:r>
        <w:rPr>
          <w:rFonts w:hint="eastAsia" w:ascii="Times New Roman" w:hAnsi="Times New Roman"/>
          <w:color w:val="auto"/>
          <w:sz w:val="28"/>
          <w:szCs w:val="28"/>
          <w:highlight w:val="none"/>
        </w:rPr>
        <w:t>年经省人民政府同意，省林业厅、省住建厅联合发文，严禁天然大树进城。同时，采挖、运输天然大树也将受到严格管理。天然大树是指非人工培育的，胸径在</w:t>
      </w:r>
      <w:r>
        <w:rPr>
          <w:rFonts w:ascii="Times New Roman" w:hAnsi="Times New Roman"/>
          <w:color w:val="auto"/>
          <w:sz w:val="28"/>
          <w:szCs w:val="28"/>
          <w:highlight w:val="none"/>
        </w:rPr>
        <w:t>20</w:t>
      </w:r>
      <w:r>
        <w:rPr>
          <w:rFonts w:hint="eastAsia" w:ascii="Times New Roman" w:hAnsi="Times New Roman"/>
          <w:color w:val="auto"/>
          <w:sz w:val="28"/>
          <w:szCs w:val="28"/>
          <w:highlight w:val="none"/>
        </w:rPr>
        <w:t>厘米以上的落叶乔木和胸径在</w:t>
      </w:r>
      <w:r>
        <w:rPr>
          <w:rFonts w:ascii="Times New Roman" w:hAnsi="Times New Roman"/>
          <w:color w:val="auto"/>
          <w:sz w:val="28"/>
          <w:szCs w:val="28"/>
          <w:highlight w:val="none"/>
        </w:rPr>
        <w:t>15</w:t>
      </w:r>
      <w:r>
        <w:rPr>
          <w:rFonts w:hint="eastAsia" w:ascii="Times New Roman" w:hAnsi="Times New Roman"/>
          <w:color w:val="auto"/>
          <w:sz w:val="28"/>
          <w:szCs w:val="28"/>
          <w:highlight w:val="none"/>
        </w:rPr>
        <w:t>厘米以上的常绿乔木，以及树龄在</w:t>
      </w:r>
      <w:r>
        <w:rPr>
          <w:rFonts w:ascii="Times New Roman" w:hAnsi="Times New Roman"/>
          <w:color w:val="auto"/>
          <w:sz w:val="28"/>
          <w:szCs w:val="28"/>
          <w:highlight w:val="none"/>
        </w:rPr>
        <w:t>20</w:t>
      </w:r>
      <w:r>
        <w:rPr>
          <w:rFonts w:hint="eastAsia" w:ascii="Times New Roman" w:hAnsi="Times New Roman"/>
          <w:color w:val="auto"/>
          <w:sz w:val="28"/>
          <w:szCs w:val="28"/>
          <w:highlight w:val="none"/>
        </w:rPr>
        <w:t>年以上的速生树种树木和树龄在</w:t>
      </w:r>
      <w:r>
        <w:rPr>
          <w:rFonts w:ascii="Times New Roman" w:hAnsi="Times New Roman"/>
          <w:color w:val="auto"/>
          <w:sz w:val="28"/>
          <w:szCs w:val="28"/>
          <w:highlight w:val="none"/>
        </w:rPr>
        <w:t>30</w:t>
      </w:r>
      <w:r>
        <w:rPr>
          <w:rFonts w:hint="eastAsia" w:ascii="Times New Roman" w:hAnsi="Times New Roman"/>
          <w:color w:val="auto"/>
          <w:sz w:val="28"/>
          <w:szCs w:val="28"/>
          <w:highlight w:val="none"/>
        </w:rPr>
        <w:t>年以上的慢生树种树木。目前海丰县现状绿地中未见天然大树移植和采挖现象，但是尚未建立天然大树移植的控制管理制度，建议由</w:t>
      </w:r>
      <w:r>
        <w:rPr>
          <w:rFonts w:hint="eastAsia" w:ascii="Times New Roman" w:hAnsi="Times New Roman"/>
          <w:color w:val="auto"/>
          <w:spacing w:val="0"/>
          <w:w w:val="100"/>
          <w:position w:val="0"/>
          <w:sz w:val="28"/>
          <w:szCs w:val="28"/>
          <w:highlight w:val="none"/>
        </w:rPr>
        <w:t>海丰县住房和城乡建设局</w:t>
      </w:r>
      <w:r>
        <w:rPr>
          <w:rFonts w:hint="eastAsia" w:ascii="Times New Roman" w:hAnsi="Times New Roman"/>
          <w:color w:val="auto"/>
          <w:sz w:val="28"/>
          <w:szCs w:val="28"/>
          <w:highlight w:val="none"/>
        </w:rPr>
        <w:t>、林业局联合制定严格控制天然大树移植的管理制定，并联合发布执行。</w:t>
      </w:r>
    </w:p>
    <w:p>
      <w:pPr>
        <w:ind w:firstLine="562" w:firstLineChars="200"/>
        <w:rPr>
          <w:rFonts w:ascii="Times New Roman" w:hAnsi="Times New Roman"/>
          <w:bCs/>
          <w:color w:val="auto"/>
          <w:szCs w:val="28"/>
          <w:highlight w:val="none"/>
        </w:rPr>
      </w:pPr>
      <w:r>
        <w:rPr>
          <w:rFonts w:hint="eastAsia" w:ascii="Times New Roman" w:hAnsi="Times New Roman"/>
          <w:b/>
          <w:bCs/>
          <w:color w:val="auto"/>
          <w:sz w:val="28"/>
          <w:szCs w:val="28"/>
          <w:highlight w:val="none"/>
        </w:rPr>
        <w:t>（2）绿化管养品质提升</w:t>
      </w:r>
    </w:p>
    <w:p>
      <w:pPr>
        <w:ind w:firstLine="560" w:firstLineChars="200"/>
        <w:rPr>
          <w:rFonts w:ascii="Times New Roman" w:hAnsi="Times New Roman"/>
          <w:color w:val="auto"/>
          <w:szCs w:val="28"/>
          <w:highlight w:val="none"/>
        </w:rPr>
      </w:pPr>
      <w:r>
        <w:rPr>
          <w:rFonts w:ascii="Times New Roman" w:hAnsi="Times New Roman"/>
          <w:color w:val="auto"/>
          <w:sz w:val="28"/>
          <w:szCs w:val="28"/>
          <w:highlight w:val="none"/>
        </w:rPr>
        <w:t>海丰县</w:t>
      </w:r>
      <w:r>
        <w:rPr>
          <w:rFonts w:hint="eastAsia" w:ascii="Times New Roman" w:hAnsi="Times New Roman"/>
          <w:color w:val="auto"/>
          <w:sz w:val="28"/>
          <w:szCs w:val="28"/>
          <w:highlight w:val="none"/>
        </w:rPr>
        <w:t>总体绿化管养品质不高，绿地中偶见有断头树、草坪有秃斑、灌木也存在生长不良的现象。建议根据住建部印发的《园林绿化养护标准》（</w:t>
      </w:r>
      <w:r>
        <w:rPr>
          <w:rFonts w:ascii="Times New Roman" w:hAnsi="Times New Roman"/>
          <w:color w:val="auto"/>
          <w:sz w:val="28"/>
          <w:szCs w:val="28"/>
          <w:highlight w:val="none"/>
        </w:rPr>
        <w:t>CJJT 287-2018</w:t>
      </w:r>
      <w:r>
        <w:rPr>
          <w:rFonts w:hint="eastAsia" w:ascii="Times New Roman" w:hAnsi="Times New Roman"/>
          <w:color w:val="auto"/>
          <w:sz w:val="28"/>
          <w:szCs w:val="28"/>
          <w:highlight w:val="none"/>
        </w:rPr>
        <w:t>）进行高品质养护，并制定</w:t>
      </w:r>
      <w:r>
        <w:rPr>
          <w:rFonts w:ascii="Times New Roman" w:hAnsi="Times New Roman"/>
          <w:color w:val="auto"/>
          <w:sz w:val="28"/>
          <w:szCs w:val="28"/>
          <w:highlight w:val="none"/>
        </w:rPr>
        <w:t>海丰县</w:t>
      </w:r>
      <w:r>
        <w:rPr>
          <w:rFonts w:hint="eastAsia" w:ascii="Times New Roman" w:hAnsi="Times New Roman"/>
          <w:color w:val="auto"/>
          <w:sz w:val="28"/>
          <w:szCs w:val="28"/>
          <w:highlight w:val="none"/>
        </w:rPr>
        <w:t>绿化养护标准，行道树和绿地内无死树、长势良好，绿化垃圾随产随清、绿地内干净整洁无垃圾，草坪地被均匀平整无黄土裸露，灌木修剪整齐、造型圆润，设施运行安全，档案基本完善，有专人管理。</w:t>
      </w:r>
      <w:r>
        <w:rPr>
          <w:rFonts w:ascii="Times New Roman" w:hAnsi="Times New Roman"/>
          <w:color w:val="auto"/>
          <w:sz w:val="28"/>
          <w:szCs w:val="28"/>
          <w:highlight w:val="none"/>
        </w:rPr>
        <w:t xml:space="preserve">  </w:t>
      </w:r>
    </w:p>
    <w:p>
      <w:pPr>
        <w:jc w:val="center"/>
        <w:rPr>
          <w:rFonts w:ascii="Times New Roman" w:hAnsi="Times New Roman"/>
          <w:b/>
          <w:bCs/>
          <w:color w:val="auto"/>
          <w:sz w:val="28"/>
          <w:szCs w:val="28"/>
          <w:highlight w:val="none"/>
        </w:rPr>
      </w:pPr>
      <w:r>
        <w:rPr>
          <w:rFonts w:ascii="Times New Roman" w:hAnsi="Times New Roman"/>
          <w:color w:val="auto"/>
          <w:sz w:val="28"/>
          <w:szCs w:val="28"/>
          <w:highlight w:val="none"/>
        </w:rPr>
        <w:t xml:space="preserve"> </w:t>
      </w:r>
      <w:r>
        <w:rPr>
          <w:rFonts w:ascii="Times New Roman" w:hAnsi="Times New Roman"/>
          <w:b/>
          <w:bCs/>
          <w:color w:val="auto"/>
          <w:sz w:val="28"/>
          <w:szCs w:val="28"/>
          <w:highlight w:val="none"/>
        </w:rPr>
        <w:t>表4-</w:t>
      </w:r>
      <w:r>
        <w:rPr>
          <w:rFonts w:hint="eastAsia" w:ascii="Times New Roman" w:hAnsi="Times New Roman"/>
          <w:b/>
          <w:bCs/>
          <w:color w:val="auto"/>
          <w:sz w:val="28"/>
          <w:szCs w:val="28"/>
          <w:highlight w:val="none"/>
        </w:rPr>
        <w:t xml:space="preserve">2-9 </w:t>
      </w:r>
      <w:r>
        <w:rPr>
          <w:rFonts w:ascii="Times New Roman" w:hAnsi="Times New Roman"/>
          <w:b/>
          <w:bCs/>
          <w:color w:val="auto"/>
          <w:sz w:val="28"/>
          <w:szCs w:val="28"/>
          <w:highlight w:val="none"/>
        </w:rPr>
        <w:t xml:space="preserve"> 园林绿化品质提升行动方案</w:t>
      </w:r>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8"/>
        <w:gridCol w:w="1352"/>
        <w:gridCol w:w="2412"/>
        <w:gridCol w:w="1699"/>
        <w:gridCol w:w="850"/>
        <w:gridCol w:w="850"/>
        <w:gridCol w:w="9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1" w:hRule="atLeast"/>
          <w:tblHeader/>
        </w:trPr>
        <w:tc>
          <w:tcPr>
            <w:tcW w:w="458" w:type="dxa"/>
            <w:vAlign w:val="center"/>
          </w:tcPr>
          <w:p>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序号</w:t>
            </w:r>
          </w:p>
        </w:tc>
        <w:tc>
          <w:tcPr>
            <w:tcW w:w="1352" w:type="dxa"/>
            <w:vAlign w:val="center"/>
          </w:tcPr>
          <w:p>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项目</w:t>
            </w:r>
          </w:p>
        </w:tc>
        <w:tc>
          <w:tcPr>
            <w:tcW w:w="2412" w:type="dxa"/>
            <w:vAlign w:val="center"/>
          </w:tcPr>
          <w:p>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内容</w:t>
            </w:r>
          </w:p>
        </w:tc>
        <w:tc>
          <w:tcPr>
            <w:tcW w:w="1699" w:type="dxa"/>
            <w:vAlign w:val="center"/>
          </w:tcPr>
          <w:p>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责任单位</w:t>
            </w:r>
          </w:p>
        </w:tc>
        <w:tc>
          <w:tcPr>
            <w:tcW w:w="850" w:type="dxa"/>
            <w:vAlign w:val="center"/>
          </w:tcPr>
          <w:p>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性质</w:t>
            </w:r>
          </w:p>
        </w:tc>
        <w:tc>
          <w:tcPr>
            <w:tcW w:w="850" w:type="dxa"/>
            <w:vAlign w:val="center"/>
          </w:tcPr>
          <w:p>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对应指标</w:t>
            </w:r>
          </w:p>
        </w:tc>
        <w:tc>
          <w:tcPr>
            <w:tcW w:w="901" w:type="dxa"/>
            <w:vAlign w:val="center"/>
          </w:tcPr>
          <w:p>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完成时间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7" w:hRule="atLeast"/>
        </w:trPr>
        <w:tc>
          <w:tcPr>
            <w:tcW w:w="458"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1</w:t>
            </w:r>
          </w:p>
        </w:tc>
        <w:tc>
          <w:tcPr>
            <w:tcW w:w="1352"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严格控制大树移植</w:t>
            </w:r>
          </w:p>
        </w:tc>
        <w:tc>
          <w:tcPr>
            <w:tcW w:w="2412"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联合制定严格控制天然大树移植的管理制定，并联合发布执行</w:t>
            </w:r>
          </w:p>
        </w:tc>
        <w:tc>
          <w:tcPr>
            <w:tcW w:w="1699"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县住建局、林业局</w:t>
            </w:r>
          </w:p>
        </w:tc>
        <w:tc>
          <w:tcPr>
            <w:tcW w:w="850"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完善项</w:t>
            </w:r>
          </w:p>
        </w:tc>
        <w:tc>
          <w:tcPr>
            <w:tcW w:w="850"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21</w:t>
            </w:r>
          </w:p>
        </w:tc>
        <w:tc>
          <w:tcPr>
            <w:tcW w:w="901"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2021年9月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5" w:hRule="atLeast"/>
        </w:trPr>
        <w:tc>
          <w:tcPr>
            <w:tcW w:w="458" w:type="dxa"/>
            <w:vAlign w:val="center"/>
          </w:tcPr>
          <w:p>
            <w:pPr>
              <w:spacing w:line="360" w:lineRule="auto"/>
              <w:jc w:val="center"/>
              <w:rPr>
                <w:rFonts w:ascii="Times New Roman" w:hAnsi="Times New Roman"/>
                <w:color w:val="auto"/>
                <w:sz w:val="24"/>
                <w:highlight w:val="none"/>
              </w:rPr>
            </w:pPr>
            <w:r>
              <w:rPr>
                <w:rFonts w:hint="eastAsia" w:ascii="Times New Roman" w:hAnsi="Times New Roman"/>
                <w:color w:val="auto"/>
                <w:sz w:val="24"/>
                <w:highlight w:val="none"/>
              </w:rPr>
              <w:t>2</w:t>
            </w:r>
          </w:p>
        </w:tc>
        <w:tc>
          <w:tcPr>
            <w:tcW w:w="1352"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绿化管养品质提升</w:t>
            </w:r>
          </w:p>
          <w:p>
            <w:pPr>
              <w:spacing w:line="360" w:lineRule="auto"/>
              <w:jc w:val="center"/>
              <w:rPr>
                <w:rFonts w:ascii="Times New Roman" w:hAnsi="Times New Roman"/>
                <w:color w:val="auto"/>
                <w:sz w:val="24"/>
                <w:highlight w:val="none"/>
              </w:rPr>
            </w:pPr>
          </w:p>
        </w:tc>
        <w:tc>
          <w:tcPr>
            <w:tcW w:w="2412"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根据住建部印发的《园林绿化养护标准》（CJJT 287-2018）进行高品质养护，制定</w:t>
            </w:r>
            <w:r>
              <w:rPr>
                <w:rFonts w:hint="eastAsia" w:ascii="Times New Roman" w:hAnsi="Times New Roman"/>
                <w:color w:val="auto"/>
                <w:sz w:val="24"/>
                <w:highlight w:val="none"/>
              </w:rPr>
              <w:t>海丰</w:t>
            </w:r>
            <w:r>
              <w:rPr>
                <w:rFonts w:ascii="Times New Roman" w:hAnsi="Times New Roman"/>
                <w:color w:val="auto"/>
                <w:sz w:val="24"/>
                <w:highlight w:val="none"/>
              </w:rPr>
              <w:t>县绿化养护标准，切实提高绿化养护品质。</w:t>
            </w:r>
          </w:p>
        </w:tc>
        <w:tc>
          <w:tcPr>
            <w:tcW w:w="1699"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县住建局、林业局、公用事业事务中心、水务局</w:t>
            </w:r>
          </w:p>
        </w:tc>
        <w:tc>
          <w:tcPr>
            <w:tcW w:w="850"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完善项</w:t>
            </w:r>
          </w:p>
        </w:tc>
        <w:tc>
          <w:tcPr>
            <w:tcW w:w="850"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6</w:t>
            </w:r>
          </w:p>
        </w:tc>
        <w:tc>
          <w:tcPr>
            <w:tcW w:w="901"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2021年9月</w:t>
            </w:r>
          </w:p>
        </w:tc>
      </w:tr>
    </w:tbl>
    <w:p>
      <w:pPr>
        <w:pStyle w:val="2"/>
        <w:ind w:left="0" w:leftChars="0" w:firstLine="0" w:firstLineChars="0"/>
        <w:rPr>
          <w:rFonts w:ascii="Times New Roman" w:hAnsi="Times New Roman" w:eastAsia="宋体"/>
          <w:color w:val="auto"/>
          <w:szCs w:val="28"/>
          <w:highlight w:val="none"/>
        </w:rPr>
      </w:pPr>
    </w:p>
    <w:p>
      <w:pPr>
        <w:pStyle w:val="6"/>
        <w:rPr>
          <w:rFonts w:ascii="Times New Roman" w:hAnsi="Times New Roman"/>
          <w:color w:val="auto"/>
          <w:highlight w:val="none"/>
        </w:rPr>
      </w:pPr>
      <w:bookmarkStart w:id="160" w:name="_Toc60776351"/>
      <w:bookmarkStart w:id="161" w:name="_Toc3011"/>
      <w:r>
        <w:rPr>
          <w:rFonts w:ascii="Times New Roman" w:hAnsi="Times New Roman"/>
          <w:color w:val="auto"/>
          <w:highlight w:val="none"/>
        </w:rPr>
        <w:t>4.2.4 智慧园林，增加县城园林建设科技含量</w:t>
      </w:r>
      <w:bookmarkEnd w:id="160"/>
      <w:bookmarkEnd w:id="161"/>
    </w:p>
    <w:p>
      <w:pPr>
        <w:numPr>
          <w:ilvl w:val="0"/>
          <w:numId w:val="6"/>
        </w:numPr>
        <w:ind w:firstLine="562" w:firstLineChars="200"/>
        <w:rPr>
          <w:rFonts w:ascii="Times New Roman" w:hAnsi="Times New Roman"/>
          <w:b/>
          <w:bCs/>
          <w:color w:val="auto"/>
          <w:sz w:val="28"/>
          <w:szCs w:val="28"/>
          <w:highlight w:val="none"/>
        </w:rPr>
      </w:pPr>
      <w:r>
        <w:rPr>
          <w:rFonts w:ascii="Times New Roman" w:hAnsi="Times New Roman"/>
          <w:b/>
          <w:bCs/>
          <w:color w:val="auto"/>
          <w:sz w:val="28"/>
          <w:szCs w:val="28"/>
          <w:highlight w:val="none"/>
        </w:rPr>
        <w:t>园林绿化管理信息技术应用</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城市园林绿化管理信息系统有助于实现城市园林绿化数据的查询、统计、指标计算、辅助决策等功能，创新园林绿化管理服务模式，提升了园林绿化管理服务能力。</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海丰县建立园林绿化信息数据库、网络化监管系统，规划由住建局牵头，建成后与汕尾市的园林绿化信息数据库链接，与汕尾市城区形成绿化综合管理体系。</w:t>
      </w:r>
    </w:p>
    <w:p>
      <w:pPr>
        <w:ind w:firstLine="480" w:firstLineChars="200"/>
        <w:rPr>
          <w:rFonts w:ascii="Times New Roman" w:hAnsi="Times New Roman"/>
          <w:color w:val="auto"/>
          <w:sz w:val="24"/>
          <w:highlight w:val="none"/>
        </w:rPr>
      </w:pPr>
      <w:r>
        <w:rPr>
          <w:rFonts w:ascii="Times New Roman" w:hAnsi="Times New Roman"/>
          <w:color w:val="auto"/>
          <w:sz w:val="24"/>
          <w:highlight w:val="none"/>
        </w:rPr>
        <w:fldChar w:fldCharType="begin"/>
      </w:r>
      <w:r>
        <w:rPr>
          <w:rFonts w:ascii="Times New Roman" w:hAnsi="Times New Roman"/>
          <w:color w:val="auto"/>
          <w:sz w:val="24"/>
          <w:highlight w:val="none"/>
        </w:rPr>
        <w:instrText xml:space="preserve">INCLUDEPICTURE \d "http://www.mnr.gov.cn/zt/ch/tdtzgx_29845/yyxtjj/csgll/201411/W020180726323233831820.jpg" \* MERGEFORMATINET </w:instrText>
      </w:r>
      <w:r>
        <w:rPr>
          <w:rFonts w:ascii="Times New Roman" w:hAnsi="Times New Roman"/>
          <w:color w:val="auto"/>
          <w:sz w:val="24"/>
          <w:highlight w:val="none"/>
        </w:rPr>
        <w:fldChar w:fldCharType="separate"/>
      </w:r>
      <w:r>
        <w:rPr>
          <w:rFonts w:ascii="Times New Roman" w:hAnsi="Times New Roman"/>
          <w:color w:val="auto"/>
          <w:sz w:val="24"/>
          <w:highlight w:val="none"/>
        </w:rPr>
        <w:drawing>
          <wp:inline distT="0" distB="0" distL="114300" distR="114300">
            <wp:extent cx="4693285" cy="2393950"/>
            <wp:effectExtent l="0" t="0" r="5715" b="6350"/>
            <wp:docPr id="21"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8" descr="IMG_256"/>
                    <pic:cNvPicPr>
                      <a:picLocks noChangeAspect="1"/>
                    </pic:cNvPicPr>
                  </pic:nvPicPr>
                  <pic:blipFill>
                    <a:blip r:embed="rId20"/>
                    <a:stretch>
                      <a:fillRect/>
                    </a:stretch>
                  </pic:blipFill>
                  <pic:spPr>
                    <a:xfrm>
                      <a:off x="0" y="0"/>
                      <a:ext cx="4693285" cy="2393950"/>
                    </a:xfrm>
                    <a:prstGeom prst="rect">
                      <a:avLst/>
                    </a:prstGeom>
                    <a:noFill/>
                    <a:ln>
                      <a:noFill/>
                    </a:ln>
                  </pic:spPr>
                </pic:pic>
              </a:graphicData>
            </a:graphic>
          </wp:inline>
        </w:drawing>
      </w:r>
      <w:r>
        <w:rPr>
          <w:rFonts w:ascii="Times New Roman" w:hAnsi="Times New Roman"/>
          <w:color w:val="auto"/>
          <w:sz w:val="24"/>
          <w:highlight w:val="none"/>
        </w:rPr>
        <w:fldChar w:fldCharType="end"/>
      </w:r>
    </w:p>
    <w:p>
      <w:pPr>
        <w:ind w:firstLine="562" w:firstLineChars="200"/>
        <w:jc w:val="center"/>
        <w:rPr>
          <w:rFonts w:ascii="Times New Roman" w:hAnsi="Times New Roman"/>
          <w:b/>
          <w:color w:val="auto"/>
          <w:sz w:val="28"/>
          <w:szCs w:val="28"/>
          <w:highlight w:val="none"/>
        </w:rPr>
      </w:pPr>
      <w:r>
        <w:rPr>
          <w:rFonts w:ascii="Times New Roman" w:hAnsi="Times New Roman"/>
          <w:b/>
          <w:color w:val="auto"/>
          <w:sz w:val="28"/>
          <w:szCs w:val="28"/>
          <w:highlight w:val="none"/>
        </w:rPr>
        <w:t>图4-</w:t>
      </w:r>
      <w:r>
        <w:rPr>
          <w:rFonts w:hint="eastAsia" w:ascii="Times New Roman" w:hAnsi="Times New Roman"/>
          <w:b/>
          <w:color w:val="auto"/>
          <w:sz w:val="28"/>
          <w:szCs w:val="28"/>
          <w:highlight w:val="none"/>
        </w:rPr>
        <w:t xml:space="preserve">2-7 </w:t>
      </w:r>
      <w:r>
        <w:rPr>
          <w:rFonts w:ascii="Times New Roman" w:hAnsi="Times New Roman"/>
          <w:b/>
          <w:color w:val="auto"/>
          <w:sz w:val="28"/>
          <w:szCs w:val="28"/>
          <w:highlight w:val="none"/>
        </w:rPr>
        <w:t xml:space="preserve"> 园林绿化网络化监管系统</w:t>
      </w:r>
    </w:p>
    <w:p>
      <w:pPr>
        <w:ind w:firstLine="480" w:firstLineChars="200"/>
        <w:rPr>
          <w:rFonts w:ascii="Times New Roman" w:hAnsi="Times New Roman"/>
          <w:color w:val="auto"/>
          <w:sz w:val="24"/>
          <w:highlight w:val="none"/>
        </w:rPr>
      </w:pPr>
      <w:r>
        <w:rPr>
          <w:rFonts w:ascii="Times New Roman" w:hAnsi="Times New Roman"/>
          <w:color w:val="auto"/>
          <w:sz w:val="24"/>
          <w:highlight w:val="none"/>
        </w:rPr>
        <w:fldChar w:fldCharType="begin"/>
      </w:r>
      <w:r>
        <w:rPr>
          <w:rFonts w:ascii="Times New Roman" w:hAnsi="Times New Roman"/>
          <w:color w:val="auto"/>
          <w:sz w:val="24"/>
          <w:highlight w:val="none"/>
        </w:rPr>
        <w:instrText xml:space="preserve">INCLUDEPICTURE \d "http://www.mnr.gov.cn/zt/ch/tdtzgx_29845/yyxtjj/csgll/201411/W020180726323234059702.jpg" \* MERGEFORMATINET </w:instrText>
      </w:r>
      <w:r>
        <w:rPr>
          <w:rFonts w:ascii="Times New Roman" w:hAnsi="Times New Roman"/>
          <w:color w:val="auto"/>
          <w:sz w:val="24"/>
          <w:highlight w:val="none"/>
        </w:rPr>
        <w:fldChar w:fldCharType="separate"/>
      </w:r>
      <w:r>
        <w:rPr>
          <w:rFonts w:ascii="Times New Roman" w:hAnsi="Times New Roman"/>
          <w:color w:val="auto"/>
          <w:sz w:val="24"/>
          <w:highlight w:val="none"/>
        </w:rPr>
        <w:drawing>
          <wp:inline distT="0" distB="0" distL="114300" distR="114300">
            <wp:extent cx="4762500" cy="2381250"/>
            <wp:effectExtent l="0" t="0" r="0" b="6350"/>
            <wp:docPr id="19"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9" descr="IMG_256"/>
                    <pic:cNvPicPr>
                      <a:picLocks noChangeAspect="1"/>
                    </pic:cNvPicPr>
                  </pic:nvPicPr>
                  <pic:blipFill>
                    <a:blip r:embed="rId21"/>
                    <a:stretch>
                      <a:fillRect/>
                    </a:stretch>
                  </pic:blipFill>
                  <pic:spPr>
                    <a:xfrm>
                      <a:off x="0" y="0"/>
                      <a:ext cx="4762500" cy="2381250"/>
                    </a:xfrm>
                    <a:prstGeom prst="rect">
                      <a:avLst/>
                    </a:prstGeom>
                    <a:noFill/>
                    <a:ln>
                      <a:noFill/>
                    </a:ln>
                  </pic:spPr>
                </pic:pic>
              </a:graphicData>
            </a:graphic>
          </wp:inline>
        </w:drawing>
      </w:r>
      <w:r>
        <w:rPr>
          <w:rFonts w:ascii="Times New Roman" w:hAnsi="Times New Roman"/>
          <w:color w:val="auto"/>
          <w:sz w:val="24"/>
          <w:highlight w:val="none"/>
        </w:rPr>
        <w:fldChar w:fldCharType="end"/>
      </w:r>
    </w:p>
    <w:p>
      <w:pPr>
        <w:ind w:firstLine="562" w:firstLineChars="200"/>
        <w:jc w:val="center"/>
        <w:rPr>
          <w:rFonts w:ascii="Times New Roman" w:hAnsi="Times New Roman"/>
          <w:b/>
          <w:bCs/>
          <w:color w:val="auto"/>
          <w:sz w:val="28"/>
          <w:szCs w:val="28"/>
          <w:highlight w:val="none"/>
        </w:rPr>
      </w:pPr>
      <w:r>
        <w:rPr>
          <w:rFonts w:ascii="Times New Roman" w:hAnsi="Times New Roman"/>
          <w:b/>
          <w:bCs/>
          <w:color w:val="auto"/>
          <w:sz w:val="28"/>
          <w:szCs w:val="28"/>
          <w:highlight w:val="none"/>
        </w:rPr>
        <w:t>图4-</w:t>
      </w:r>
      <w:r>
        <w:rPr>
          <w:rFonts w:hint="eastAsia" w:ascii="Times New Roman" w:hAnsi="Times New Roman"/>
          <w:b/>
          <w:bCs/>
          <w:color w:val="auto"/>
          <w:sz w:val="28"/>
          <w:szCs w:val="28"/>
          <w:highlight w:val="none"/>
        </w:rPr>
        <w:t xml:space="preserve">2-8 </w:t>
      </w:r>
      <w:r>
        <w:rPr>
          <w:rFonts w:ascii="Times New Roman" w:hAnsi="Times New Roman"/>
          <w:b/>
          <w:bCs/>
          <w:color w:val="auto"/>
          <w:sz w:val="28"/>
          <w:szCs w:val="28"/>
          <w:highlight w:val="none"/>
        </w:rPr>
        <w:t xml:space="preserve">  园林绿化综合查询系统</w:t>
      </w:r>
    </w:p>
    <w:p>
      <w:pPr>
        <w:ind w:firstLine="562" w:firstLineChars="200"/>
        <w:rPr>
          <w:rFonts w:ascii="Times New Roman" w:hAnsi="Times New Roman"/>
          <w:b/>
          <w:color w:val="auto"/>
          <w:sz w:val="28"/>
          <w:szCs w:val="28"/>
          <w:highlight w:val="none"/>
        </w:rPr>
      </w:pPr>
    </w:p>
    <w:p>
      <w:pPr>
        <w:numPr>
          <w:ilvl w:val="0"/>
          <w:numId w:val="6"/>
        </w:numPr>
        <w:ind w:firstLine="562" w:firstLineChars="200"/>
        <w:rPr>
          <w:rFonts w:ascii="Times New Roman" w:hAnsi="Times New Roman"/>
          <w:b/>
          <w:bCs/>
          <w:color w:val="auto"/>
          <w:sz w:val="28"/>
          <w:szCs w:val="28"/>
          <w:highlight w:val="none"/>
        </w:rPr>
      </w:pPr>
      <w:r>
        <w:rPr>
          <w:rFonts w:ascii="Times New Roman" w:hAnsi="Times New Roman"/>
          <w:b/>
          <w:bCs/>
          <w:color w:val="auto"/>
          <w:sz w:val="28"/>
          <w:szCs w:val="28"/>
          <w:highlight w:val="none"/>
        </w:rPr>
        <w:t>园林绿化科研开发与应用</w:t>
      </w:r>
    </w:p>
    <w:p>
      <w:pPr>
        <w:ind w:firstLine="560" w:firstLineChars="200"/>
        <w:rPr>
          <w:rFonts w:ascii="Times New Roman" w:hAnsi="Times New Roman"/>
          <w:color w:val="auto"/>
          <w:sz w:val="28"/>
          <w:szCs w:val="28"/>
          <w:highlight w:val="none"/>
          <w:shd w:val="clear" w:color="auto" w:fill="FFFFFF"/>
        </w:rPr>
      </w:pPr>
      <w:r>
        <w:rPr>
          <w:rFonts w:ascii="Times New Roman" w:hAnsi="Times New Roman"/>
          <w:color w:val="auto"/>
          <w:sz w:val="28"/>
          <w:szCs w:val="28"/>
          <w:highlight w:val="none"/>
          <w:shd w:val="clear" w:color="auto" w:fill="FFFFFF"/>
        </w:rPr>
        <w:t>近年来，在</w:t>
      </w:r>
      <w:r>
        <w:rPr>
          <w:rFonts w:hint="eastAsia" w:ascii="Times New Roman" w:hAnsi="Times New Roman"/>
          <w:color w:val="auto"/>
          <w:sz w:val="28"/>
          <w:szCs w:val="28"/>
          <w:highlight w:val="none"/>
          <w:shd w:val="clear" w:color="auto" w:fill="FFFFFF"/>
        </w:rPr>
        <w:t>县委、县政府</w:t>
      </w:r>
      <w:r>
        <w:rPr>
          <w:rFonts w:ascii="Times New Roman" w:hAnsi="Times New Roman"/>
          <w:color w:val="auto"/>
          <w:sz w:val="28"/>
          <w:szCs w:val="28"/>
          <w:highlight w:val="none"/>
          <w:shd w:val="clear" w:color="auto" w:fill="FFFFFF"/>
        </w:rPr>
        <w:t>的正确领导下，海丰县园林绿化情况有了长足的发展，绿化水平大幅提升，县容县貌显著变化。但就园林行业的科学研究水平而言，尚未发现有针对性开展科技研究，相对滞后于城市建设发展的需要，成为制约县城园林绿化事业又好又快发展的一个重要因素。科学研究、特别是应用科学的研究，对总结规律、指导实践生产至关重要。</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shd w:val="clear" w:color="auto" w:fill="FFFFFF"/>
        </w:rPr>
        <w:t>结合海丰县实际情况，在城市园林绿化上应积极引进和应用新技术、尤其是在</w:t>
      </w:r>
      <w:r>
        <w:rPr>
          <w:rFonts w:ascii="Times New Roman" w:hAnsi="Times New Roman"/>
          <w:color w:val="auto"/>
          <w:sz w:val="28"/>
          <w:szCs w:val="28"/>
          <w:highlight w:val="none"/>
        </w:rPr>
        <w:t>新优植物材料使用、乡土植物开发、透气和透水铺装材料、节水灌溉设施和中水利用技术、立体绿化技术、古树复壮技术、病虫害综合防治技术等材料和技术的研究与应用上加以探索，切实为城市绿化养护管理解决难题、提供技术支持。</w:t>
      </w:r>
    </w:p>
    <w:tbl>
      <w:tblPr>
        <w:tblStyle w:val="20"/>
        <w:tblW w:w="8522" w:type="dxa"/>
        <w:tblInd w:w="0" w:type="dxa"/>
        <w:tblLayout w:type="fixed"/>
        <w:tblCellMar>
          <w:top w:w="0" w:type="dxa"/>
          <w:left w:w="108" w:type="dxa"/>
          <w:bottom w:w="0" w:type="dxa"/>
          <w:right w:w="108" w:type="dxa"/>
        </w:tblCellMar>
      </w:tblPr>
      <w:tblGrid>
        <w:gridCol w:w="4271"/>
        <w:gridCol w:w="4251"/>
      </w:tblGrid>
      <w:tr>
        <w:tblPrEx>
          <w:tblCellMar>
            <w:top w:w="0" w:type="dxa"/>
            <w:left w:w="108" w:type="dxa"/>
            <w:bottom w:w="0" w:type="dxa"/>
            <w:right w:w="108" w:type="dxa"/>
          </w:tblCellMar>
        </w:tblPrEx>
        <w:tc>
          <w:tcPr>
            <w:tcW w:w="4271" w:type="dxa"/>
          </w:tcPr>
          <w:p>
            <w:pPr>
              <w:pStyle w:val="2"/>
              <w:ind w:left="0" w:leftChars="0" w:firstLine="0" w:firstLineChars="0"/>
              <w:rPr>
                <w:rFonts w:ascii="Times New Roman" w:hAnsi="Times New Roman" w:eastAsia="宋体"/>
                <w:color w:val="auto"/>
                <w:sz w:val="24"/>
                <w:highlight w:val="none"/>
              </w:rPr>
            </w:pPr>
            <w:r>
              <w:rPr>
                <w:rFonts w:ascii="Times New Roman" w:hAnsi="Times New Roman" w:eastAsia="宋体"/>
                <w:color w:val="auto"/>
                <w:sz w:val="24"/>
                <w:highlight w:val="none"/>
              </w:rPr>
              <w:drawing>
                <wp:inline distT="0" distB="0" distL="114300" distR="114300">
                  <wp:extent cx="2569845" cy="1925955"/>
                  <wp:effectExtent l="0" t="0" r="8255" b="4445"/>
                  <wp:docPr id="12"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0" descr="IMG_256"/>
                          <pic:cNvPicPr>
                            <a:picLocks noChangeAspect="1"/>
                          </pic:cNvPicPr>
                        </pic:nvPicPr>
                        <pic:blipFill>
                          <a:blip r:embed="rId22"/>
                          <a:stretch>
                            <a:fillRect/>
                          </a:stretch>
                        </pic:blipFill>
                        <pic:spPr>
                          <a:xfrm>
                            <a:off x="0" y="0"/>
                            <a:ext cx="2569845" cy="1925955"/>
                          </a:xfrm>
                          <a:prstGeom prst="rect">
                            <a:avLst/>
                          </a:prstGeom>
                          <a:noFill/>
                          <a:ln>
                            <a:noFill/>
                          </a:ln>
                        </pic:spPr>
                      </pic:pic>
                    </a:graphicData>
                  </a:graphic>
                </wp:inline>
              </w:drawing>
            </w:r>
          </w:p>
          <w:p>
            <w:pPr>
              <w:pStyle w:val="2"/>
              <w:ind w:left="0" w:leftChars="0" w:firstLine="0" w:firstLineChars="0"/>
              <w:jc w:val="center"/>
              <w:rPr>
                <w:rFonts w:ascii="Times New Roman" w:hAnsi="Times New Roman" w:eastAsia="宋体"/>
                <w:color w:val="auto"/>
                <w:sz w:val="24"/>
                <w:highlight w:val="none"/>
              </w:rPr>
            </w:pPr>
            <w:r>
              <w:rPr>
                <w:rFonts w:hint="default" w:ascii="Times New Roman" w:hAnsi="Times New Roman" w:eastAsia="宋体"/>
                <w:color w:val="auto"/>
                <w:sz w:val="24"/>
                <w:highlight w:val="none"/>
              </w:rPr>
              <w:t>新优园林植物应用</w:t>
            </w:r>
          </w:p>
        </w:tc>
        <w:tc>
          <w:tcPr>
            <w:tcW w:w="4251" w:type="dxa"/>
          </w:tcPr>
          <w:p>
            <w:pPr>
              <w:pStyle w:val="2"/>
              <w:ind w:left="0" w:leftChars="0" w:firstLine="0" w:firstLineChars="0"/>
              <w:rPr>
                <w:rFonts w:ascii="Times New Roman" w:hAnsi="Times New Roman" w:eastAsia="宋体"/>
                <w:color w:val="auto"/>
                <w:sz w:val="24"/>
                <w:highlight w:val="none"/>
              </w:rPr>
            </w:pPr>
            <w:r>
              <w:rPr>
                <w:rFonts w:ascii="Times New Roman" w:hAnsi="Times New Roman" w:eastAsia="宋体"/>
                <w:color w:val="auto"/>
                <w:sz w:val="24"/>
                <w:highlight w:val="none"/>
              </w:rPr>
              <w:drawing>
                <wp:inline distT="0" distB="0" distL="114300" distR="114300">
                  <wp:extent cx="2561590" cy="1914525"/>
                  <wp:effectExtent l="0" t="0" r="0" b="9525"/>
                  <wp:docPr id="14"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descr="IMG_256"/>
                          <pic:cNvPicPr>
                            <a:picLocks noChangeAspect="1"/>
                          </pic:cNvPicPr>
                        </pic:nvPicPr>
                        <pic:blipFill>
                          <a:blip r:embed="rId23"/>
                          <a:stretch>
                            <a:fillRect/>
                          </a:stretch>
                        </pic:blipFill>
                        <pic:spPr>
                          <a:xfrm>
                            <a:off x="0" y="0"/>
                            <a:ext cx="2564722" cy="1917065"/>
                          </a:xfrm>
                          <a:prstGeom prst="rect">
                            <a:avLst/>
                          </a:prstGeom>
                          <a:noFill/>
                          <a:ln>
                            <a:noFill/>
                          </a:ln>
                        </pic:spPr>
                      </pic:pic>
                    </a:graphicData>
                  </a:graphic>
                </wp:inline>
              </w:drawing>
            </w:r>
          </w:p>
          <w:p>
            <w:pPr>
              <w:pStyle w:val="2"/>
              <w:ind w:left="0" w:leftChars="0" w:firstLine="0" w:firstLineChars="0"/>
              <w:jc w:val="center"/>
              <w:rPr>
                <w:rFonts w:ascii="Times New Roman" w:hAnsi="Times New Roman" w:eastAsia="宋体"/>
                <w:color w:val="auto"/>
                <w:sz w:val="24"/>
                <w:highlight w:val="none"/>
              </w:rPr>
            </w:pPr>
            <w:r>
              <w:rPr>
                <w:rFonts w:hint="default" w:ascii="Times New Roman" w:hAnsi="Times New Roman" w:eastAsia="宋体"/>
                <w:color w:val="auto"/>
                <w:sz w:val="24"/>
                <w:highlight w:val="none"/>
              </w:rPr>
              <w:t>节水灌溉设施</w:t>
            </w:r>
          </w:p>
        </w:tc>
      </w:tr>
      <w:tr>
        <w:tblPrEx>
          <w:tblCellMar>
            <w:top w:w="0" w:type="dxa"/>
            <w:left w:w="108" w:type="dxa"/>
            <w:bottom w:w="0" w:type="dxa"/>
            <w:right w:w="108" w:type="dxa"/>
          </w:tblCellMar>
        </w:tblPrEx>
        <w:tc>
          <w:tcPr>
            <w:tcW w:w="4271" w:type="dxa"/>
          </w:tcPr>
          <w:p>
            <w:pPr>
              <w:pStyle w:val="2"/>
              <w:ind w:left="0" w:leftChars="0" w:firstLine="0" w:firstLineChars="0"/>
              <w:rPr>
                <w:rFonts w:ascii="Times New Roman" w:hAnsi="Times New Roman" w:eastAsia="宋体"/>
                <w:color w:val="auto"/>
                <w:sz w:val="24"/>
                <w:highlight w:val="none"/>
              </w:rPr>
            </w:pPr>
            <w:r>
              <w:rPr>
                <w:rFonts w:ascii="Times New Roman" w:hAnsi="Times New Roman" w:eastAsia="宋体"/>
                <w:color w:val="auto"/>
                <w:sz w:val="24"/>
                <w:highlight w:val="none"/>
              </w:rPr>
              <w:drawing>
                <wp:inline distT="0" distB="0" distL="114300" distR="114300">
                  <wp:extent cx="2570480" cy="1919605"/>
                  <wp:effectExtent l="0" t="0" r="1270" b="4445"/>
                  <wp:docPr id="17"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2" descr="IMG_256"/>
                          <pic:cNvPicPr>
                            <a:picLocks noChangeAspect="1"/>
                          </pic:cNvPicPr>
                        </pic:nvPicPr>
                        <pic:blipFill>
                          <a:blip r:embed="rId24"/>
                          <a:srcRect t="31778" r="1270" b="7954"/>
                          <a:stretch>
                            <a:fillRect/>
                          </a:stretch>
                        </pic:blipFill>
                        <pic:spPr>
                          <a:xfrm>
                            <a:off x="0" y="0"/>
                            <a:ext cx="2570159" cy="1919605"/>
                          </a:xfrm>
                          <a:prstGeom prst="rect">
                            <a:avLst/>
                          </a:prstGeom>
                          <a:noFill/>
                          <a:ln>
                            <a:noFill/>
                          </a:ln>
                        </pic:spPr>
                      </pic:pic>
                    </a:graphicData>
                  </a:graphic>
                </wp:inline>
              </w:drawing>
            </w:r>
          </w:p>
          <w:p>
            <w:pPr>
              <w:pStyle w:val="2"/>
              <w:ind w:left="0" w:leftChars="0" w:firstLine="0" w:firstLineChars="0"/>
              <w:jc w:val="center"/>
              <w:rPr>
                <w:rFonts w:ascii="Times New Roman" w:hAnsi="Times New Roman" w:eastAsia="宋体"/>
                <w:color w:val="auto"/>
                <w:sz w:val="24"/>
                <w:highlight w:val="none"/>
              </w:rPr>
            </w:pPr>
            <w:r>
              <w:rPr>
                <w:rFonts w:hint="default" w:ascii="Times New Roman" w:hAnsi="Times New Roman" w:eastAsia="宋体"/>
                <w:color w:val="auto"/>
                <w:sz w:val="24"/>
                <w:highlight w:val="none"/>
              </w:rPr>
              <w:t>古树体检</w:t>
            </w:r>
          </w:p>
        </w:tc>
        <w:tc>
          <w:tcPr>
            <w:tcW w:w="4251" w:type="dxa"/>
          </w:tcPr>
          <w:p>
            <w:pPr>
              <w:pStyle w:val="2"/>
              <w:ind w:left="0" w:leftChars="0" w:firstLine="0" w:firstLineChars="0"/>
              <w:rPr>
                <w:rFonts w:ascii="Times New Roman" w:hAnsi="Times New Roman" w:eastAsia="宋体"/>
                <w:color w:val="auto"/>
                <w:sz w:val="24"/>
                <w:highlight w:val="none"/>
              </w:rPr>
            </w:pPr>
            <w:r>
              <w:rPr>
                <w:rFonts w:ascii="Times New Roman" w:hAnsi="Times New Roman" w:eastAsia="宋体"/>
                <w:color w:val="auto"/>
                <w:sz w:val="24"/>
                <w:highlight w:val="none"/>
              </w:rPr>
              <w:drawing>
                <wp:inline distT="0" distB="0" distL="114300" distR="114300">
                  <wp:extent cx="2565400" cy="1924050"/>
                  <wp:effectExtent l="0" t="0" r="0" b="6350"/>
                  <wp:docPr id="20"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3" descr="IMG_256"/>
                          <pic:cNvPicPr>
                            <a:picLocks noChangeAspect="1"/>
                          </pic:cNvPicPr>
                        </pic:nvPicPr>
                        <pic:blipFill>
                          <a:blip r:embed="rId25"/>
                          <a:stretch>
                            <a:fillRect/>
                          </a:stretch>
                        </pic:blipFill>
                        <pic:spPr>
                          <a:xfrm>
                            <a:off x="0" y="0"/>
                            <a:ext cx="2565400" cy="1924050"/>
                          </a:xfrm>
                          <a:prstGeom prst="rect">
                            <a:avLst/>
                          </a:prstGeom>
                          <a:noFill/>
                          <a:ln>
                            <a:noFill/>
                          </a:ln>
                        </pic:spPr>
                      </pic:pic>
                    </a:graphicData>
                  </a:graphic>
                </wp:inline>
              </w:drawing>
            </w:r>
          </w:p>
          <w:p>
            <w:pPr>
              <w:pStyle w:val="2"/>
              <w:ind w:left="0" w:leftChars="0" w:firstLine="0" w:firstLineChars="0"/>
              <w:jc w:val="center"/>
              <w:rPr>
                <w:rFonts w:ascii="Times New Roman" w:hAnsi="Times New Roman" w:eastAsia="宋体"/>
                <w:color w:val="auto"/>
                <w:sz w:val="24"/>
                <w:highlight w:val="none"/>
              </w:rPr>
            </w:pPr>
            <w:r>
              <w:rPr>
                <w:rFonts w:hint="default" w:ascii="Times New Roman" w:hAnsi="Times New Roman" w:eastAsia="宋体"/>
                <w:color w:val="auto"/>
                <w:sz w:val="24"/>
                <w:highlight w:val="none"/>
              </w:rPr>
              <w:t>病虫害防治</w:t>
            </w:r>
          </w:p>
        </w:tc>
      </w:tr>
    </w:tbl>
    <w:p>
      <w:pPr>
        <w:jc w:val="center"/>
        <w:rPr>
          <w:rFonts w:ascii="Times New Roman" w:hAnsi="Times New Roman"/>
          <w:b/>
          <w:color w:val="auto"/>
          <w:sz w:val="28"/>
          <w:szCs w:val="28"/>
          <w:highlight w:val="none"/>
        </w:rPr>
      </w:pPr>
      <w:r>
        <w:rPr>
          <w:rFonts w:hint="eastAsia" w:ascii="Times New Roman" w:hAnsi="Times New Roman"/>
          <w:b/>
          <w:color w:val="auto"/>
          <w:sz w:val="28"/>
          <w:szCs w:val="28"/>
          <w:highlight w:val="none"/>
        </w:rPr>
        <w:t>图4-2-9  园林绿化新技术应用示意图</w:t>
      </w:r>
    </w:p>
    <w:p>
      <w:pPr>
        <w:jc w:val="left"/>
        <w:rPr>
          <w:rFonts w:ascii="Times New Roman" w:hAnsi="Times New Roman"/>
          <w:color w:val="auto"/>
          <w:highlight w:val="none"/>
        </w:rPr>
      </w:pPr>
      <w:r>
        <w:rPr>
          <w:rFonts w:ascii="Times New Roman" w:hAnsi="Times New Roman"/>
          <w:color w:val="auto"/>
          <w:sz w:val="24"/>
          <w:highlight w:val="none"/>
        </w:rPr>
        <w:fldChar w:fldCharType="begin"/>
      </w:r>
      <w:r>
        <w:rPr>
          <w:rFonts w:ascii="Times New Roman" w:hAnsi="Times New Roman"/>
          <w:color w:val="auto"/>
          <w:sz w:val="24"/>
          <w:highlight w:val="none"/>
        </w:rPr>
        <w:instrText xml:space="preserve">INCLUDEPICTURE \d "http://www.szlh.gov.cn/uploadfiles/201506/20150612175227001.jpg" \* MERGEFORMATINET </w:instrText>
      </w:r>
      <w:r>
        <w:rPr>
          <w:rFonts w:ascii="Times New Roman" w:hAnsi="Times New Roman"/>
          <w:color w:val="auto"/>
          <w:sz w:val="24"/>
          <w:highlight w:val="none"/>
        </w:rPr>
        <w:fldChar w:fldCharType="end"/>
      </w:r>
      <w:r>
        <w:rPr>
          <w:rFonts w:ascii="Times New Roman" w:hAnsi="Times New Roman"/>
          <w:color w:val="auto"/>
          <w:sz w:val="24"/>
          <w:highlight w:val="none"/>
        </w:rPr>
        <w:t xml:space="preserve"> </w:t>
      </w:r>
      <w:r>
        <w:rPr>
          <w:rFonts w:ascii="Times New Roman" w:hAnsi="Times New Roman"/>
          <w:color w:val="auto"/>
          <w:sz w:val="24"/>
          <w:highlight w:val="none"/>
        </w:rPr>
        <w:fldChar w:fldCharType="begin"/>
      </w:r>
      <w:r>
        <w:rPr>
          <w:rFonts w:ascii="Times New Roman" w:hAnsi="Times New Roman"/>
          <w:color w:val="auto"/>
          <w:sz w:val="24"/>
          <w:highlight w:val="none"/>
        </w:rPr>
        <w:instrText xml:space="preserve">INCLUDEPICTURE \d "http://tyunfile.71360.com/UpLoadFile/2019/9/16/19/637042587288550748_1baomeng_3102257.jpg" \* MERGEFORMATINET </w:instrText>
      </w:r>
      <w:r>
        <w:rPr>
          <w:rFonts w:ascii="Times New Roman" w:hAnsi="Times New Roman"/>
          <w:color w:val="auto"/>
          <w:sz w:val="24"/>
          <w:highlight w:val="none"/>
        </w:rPr>
        <w:fldChar w:fldCharType="end"/>
      </w:r>
    </w:p>
    <w:p>
      <w:pPr>
        <w:jc w:val="center"/>
        <w:rPr>
          <w:rFonts w:ascii="Times New Roman" w:hAnsi="Times New Roman"/>
          <w:b/>
          <w:bCs/>
          <w:color w:val="auto"/>
          <w:sz w:val="28"/>
          <w:szCs w:val="28"/>
          <w:highlight w:val="none"/>
        </w:rPr>
      </w:pPr>
      <w:r>
        <w:rPr>
          <w:rFonts w:ascii="Times New Roman" w:hAnsi="Times New Roman"/>
          <w:b/>
          <w:bCs/>
          <w:color w:val="auto"/>
          <w:sz w:val="28"/>
          <w:szCs w:val="28"/>
          <w:highlight w:val="none"/>
        </w:rPr>
        <w:t>表4-</w:t>
      </w:r>
      <w:r>
        <w:rPr>
          <w:rFonts w:hint="eastAsia" w:ascii="Times New Roman" w:hAnsi="Times New Roman"/>
          <w:b/>
          <w:bCs/>
          <w:color w:val="auto"/>
          <w:sz w:val="28"/>
          <w:szCs w:val="28"/>
          <w:highlight w:val="none"/>
        </w:rPr>
        <w:t xml:space="preserve">2-10 </w:t>
      </w:r>
      <w:r>
        <w:rPr>
          <w:rFonts w:ascii="Times New Roman" w:hAnsi="Times New Roman"/>
          <w:b/>
          <w:bCs/>
          <w:color w:val="auto"/>
          <w:sz w:val="28"/>
          <w:szCs w:val="28"/>
          <w:highlight w:val="none"/>
        </w:rPr>
        <w:t xml:space="preserve"> 智慧科技园林建设提升行动方案</w:t>
      </w:r>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8"/>
        <w:gridCol w:w="1352"/>
        <w:gridCol w:w="2410"/>
        <w:gridCol w:w="1699"/>
        <w:gridCol w:w="852"/>
        <w:gridCol w:w="849"/>
        <w:gridCol w:w="9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1" w:hRule="atLeast"/>
          <w:tblHeader/>
        </w:trPr>
        <w:tc>
          <w:tcPr>
            <w:tcW w:w="458" w:type="dxa"/>
            <w:vAlign w:val="center"/>
          </w:tcPr>
          <w:p>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序号</w:t>
            </w:r>
          </w:p>
        </w:tc>
        <w:tc>
          <w:tcPr>
            <w:tcW w:w="1352" w:type="dxa"/>
            <w:vAlign w:val="center"/>
          </w:tcPr>
          <w:p>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项目</w:t>
            </w:r>
          </w:p>
        </w:tc>
        <w:tc>
          <w:tcPr>
            <w:tcW w:w="2410" w:type="dxa"/>
            <w:vAlign w:val="center"/>
          </w:tcPr>
          <w:p>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内容</w:t>
            </w:r>
          </w:p>
        </w:tc>
        <w:tc>
          <w:tcPr>
            <w:tcW w:w="1699" w:type="dxa"/>
            <w:vAlign w:val="center"/>
          </w:tcPr>
          <w:p>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责任单位</w:t>
            </w:r>
          </w:p>
        </w:tc>
        <w:tc>
          <w:tcPr>
            <w:tcW w:w="852" w:type="dxa"/>
            <w:vAlign w:val="center"/>
          </w:tcPr>
          <w:p>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性质</w:t>
            </w:r>
          </w:p>
        </w:tc>
        <w:tc>
          <w:tcPr>
            <w:tcW w:w="849" w:type="dxa"/>
            <w:vAlign w:val="center"/>
          </w:tcPr>
          <w:p>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对应考核指标</w:t>
            </w:r>
          </w:p>
        </w:tc>
        <w:tc>
          <w:tcPr>
            <w:tcW w:w="902" w:type="dxa"/>
            <w:vAlign w:val="center"/>
          </w:tcPr>
          <w:p>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完成时间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7" w:hRule="atLeast"/>
        </w:trPr>
        <w:tc>
          <w:tcPr>
            <w:tcW w:w="458"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1</w:t>
            </w:r>
          </w:p>
        </w:tc>
        <w:tc>
          <w:tcPr>
            <w:tcW w:w="1352" w:type="dxa"/>
            <w:vAlign w:val="center"/>
          </w:tcPr>
          <w:p>
            <w:pPr>
              <w:spacing w:line="360" w:lineRule="auto"/>
              <w:jc w:val="center"/>
              <w:rPr>
                <w:rFonts w:ascii="Times New Roman" w:hAnsi="Times New Roman"/>
                <w:color w:val="auto"/>
                <w:sz w:val="24"/>
                <w:highlight w:val="none"/>
              </w:rPr>
            </w:pPr>
            <w:r>
              <w:rPr>
                <w:rFonts w:hint="eastAsia" w:ascii="Times New Roman" w:hAnsi="Times New Roman"/>
                <w:color w:val="auto"/>
                <w:sz w:val="24"/>
                <w:highlight w:val="none"/>
              </w:rPr>
              <w:t>园林绿化管理信息技术应用</w:t>
            </w:r>
          </w:p>
        </w:tc>
        <w:tc>
          <w:tcPr>
            <w:tcW w:w="2410" w:type="dxa"/>
          </w:tcPr>
          <w:p>
            <w:pPr>
              <w:spacing w:line="360" w:lineRule="auto"/>
              <w:rPr>
                <w:rFonts w:ascii="Times New Roman" w:hAnsi="Times New Roman"/>
                <w:color w:val="auto"/>
                <w:sz w:val="24"/>
                <w:highlight w:val="none"/>
              </w:rPr>
            </w:pPr>
            <w:r>
              <w:rPr>
                <w:rFonts w:hint="eastAsia" w:ascii="Times New Roman" w:hAnsi="Times New Roman"/>
                <w:color w:val="auto"/>
                <w:sz w:val="24"/>
                <w:highlight w:val="none"/>
              </w:rPr>
              <w:t>建立园林绿化信息数据库、网络化监管系统</w:t>
            </w:r>
          </w:p>
        </w:tc>
        <w:tc>
          <w:tcPr>
            <w:tcW w:w="1699"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住建局</w:t>
            </w:r>
          </w:p>
        </w:tc>
        <w:tc>
          <w:tcPr>
            <w:tcW w:w="852"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完善项</w:t>
            </w:r>
          </w:p>
        </w:tc>
        <w:tc>
          <w:tcPr>
            <w:tcW w:w="849"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7</w:t>
            </w:r>
          </w:p>
        </w:tc>
        <w:tc>
          <w:tcPr>
            <w:tcW w:w="902"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2021年6月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1" w:hRule="atLeast"/>
        </w:trPr>
        <w:tc>
          <w:tcPr>
            <w:tcW w:w="458"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2</w:t>
            </w:r>
          </w:p>
        </w:tc>
        <w:tc>
          <w:tcPr>
            <w:tcW w:w="1352" w:type="dxa"/>
            <w:vAlign w:val="center"/>
          </w:tcPr>
          <w:p>
            <w:pPr>
              <w:spacing w:line="360" w:lineRule="auto"/>
              <w:jc w:val="center"/>
              <w:rPr>
                <w:rFonts w:ascii="Times New Roman" w:hAnsi="Times New Roman"/>
                <w:color w:val="auto"/>
                <w:sz w:val="24"/>
                <w:highlight w:val="none"/>
              </w:rPr>
            </w:pPr>
            <w:r>
              <w:rPr>
                <w:rFonts w:hint="eastAsia" w:ascii="Times New Roman" w:hAnsi="Times New Roman"/>
                <w:color w:val="auto"/>
                <w:sz w:val="24"/>
                <w:highlight w:val="none"/>
              </w:rPr>
              <w:t>园林绿化科研开发与应用</w:t>
            </w:r>
          </w:p>
        </w:tc>
        <w:tc>
          <w:tcPr>
            <w:tcW w:w="2410" w:type="dxa"/>
          </w:tcPr>
          <w:p>
            <w:pPr>
              <w:spacing w:line="360" w:lineRule="auto"/>
              <w:rPr>
                <w:rFonts w:ascii="Times New Roman" w:hAnsi="Times New Roman"/>
                <w:color w:val="auto"/>
                <w:sz w:val="24"/>
                <w:highlight w:val="none"/>
              </w:rPr>
            </w:pPr>
            <w:r>
              <w:rPr>
                <w:rFonts w:hint="eastAsia" w:ascii="Times New Roman" w:hAnsi="Times New Roman"/>
                <w:color w:val="auto"/>
                <w:sz w:val="24"/>
                <w:highlight w:val="none"/>
              </w:rPr>
              <w:t>积极引进和应用新技术、尤其是在新优植物材料使用、乡土植物开发、透气和透水铺装材料、节水灌溉设施和中水利用技术、立体绿化技术、古树复壮技术、病虫害综合防治技术等</w:t>
            </w:r>
          </w:p>
        </w:tc>
        <w:tc>
          <w:tcPr>
            <w:tcW w:w="1699"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林业局、公用事业事务中心</w:t>
            </w:r>
          </w:p>
        </w:tc>
        <w:tc>
          <w:tcPr>
            <w:tcW w:w="852"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完善项</w:t>
            </w:r>
          </w:p>
        </w:tc>
        <w:tc>
          <w:tcPr>
            <w:tcW w:w="849"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3</w:t>
            </w:r>
          </w:p>
        </w:tc>
        <w:tc>
          <w:tcPr>
            <w:tcW w:w="902" w:type="dxa"/>
            <w:vAlign w:val="center"/>
          </w:tcPr>
          <w:p>
            <w:pPr>
              <w:spacing w:line="360" w:lineRule="auto"/>
              <w:jc w:val="center"/>
              <w:rPr>
                <w:rFonts w:ascii="Times New Roman" w:hAnsi="Times New Roman"/>
                <w:color w:val="auto"/>
                <w:sz w:val="24"/>
                <w:highlight w:val="none"/>
              </w:rPr>
            </w:pPr>
            <w:r>
              <w:rPr>
                <w:rFonts w:ascii="Times New Roman" w:hAnsi="Times New Roman"/>
                <w:color w:val="auto"/>
                <w:sz w:val="24"/>
                <w:highlight w:val="none"/>
              </w:rPr>
              <w:t>2021年9月</w:t>
            </w:r>
          </w:p>
        </w:tc>
      </w:tr>
    </w:tbl>
    <w:p>
      <w:pPr>
        <w:rPr>
          <w:rFonts w:ascii="Times New Roman" w:hAnsi="Times New Roman"/>
          <w:color w:val="auto"/>
          <w:highlight w:val="none"/>
        </w:rPr>
      </w:pPr>
    </w:p>
    <w:p>
      <w:pPr>
        <w:pStyle w:val="5"/>
        <w:rPr>
          <w:rFonts w:ascii="Times New Roman" w:hAnsi="Times New Roman" w:eastAsia="宋体"/>
          <w:bCs/>
          <w:color w:val="auto"/>
          <w:highlight w:val="none"/>
        </w:rPr>
      </w:pPr>
      <w:bookmarkStart w:id="162" w:name="_Toc13734"/>
      <w:bookmarkStart w:id="163" w:name="_Toc9327"/>
      <w:bookmarkStart w:id="164" w:name="_Toc12835"/>
      <w:bookmarkStart w:id="165" w:name="_Toc12373"/>
      <w:bookmarkStart w:id="166" w:name="_Toc16169"/>
      <w:bookmarkStart w:id="167" w:name="_Toc29753"/>
      <w:r>
        <w:rPr>
          <w:rFonts w:ascii="Times New Roman" w:hAnsi="Times New Roman" w:eastAsia="宋体"/>
          <w:bCs/>
          <w:color w:val="auto"/>
          <w:highlight w:val="none"/>
        </w:rPr>
        <w:t>4.3 行动三：生态保护，守护县城生态安全</w:t>
      </w:r>
      <w:bookmarkEnd w:id="162"/>
      <w:bookmarkEnd w:id="163"/>
      <w:bookmarkEnd w:id="164"/>
      <w:bookmarkEnd w:id="165"/>
      <w:bookmarkEnd w:id="166"/>
      <w:bookmarkEnd w:id="167"/>
    </w:p>
    <w:p>
      <w:pPr>
        <w:pStyle w:val="6"/>
        <w:rPr>
          <w:rFonts w:ascii="Times New Roman" w:hAnsi="Times New Roman"/>
          <w:color w:val="auto"/>
          <w:highlight w:val="none"/>
        </w:rPr>
      </w:pPr>
      <w:bookmarkStart w:id="168" w:name="_Toc31694"/>
      <w:bookmarkStart w:id="169" w:name="_Toc60776353"/>
      <w:r>
        <w:rPr>
          <w:rFonts w:ascii="Times New Roman" w:hAnsi="Times New Roman"/>
          <w:color w:val="auto"/>
          <w:highlight w:val="none"/>
        </w:rPr>
        <w:t>4.3.1 生物保护，维护县城生物多样性</w:t>
      </w:r>
      <w:bookmarkEnd w:id="168"/>
      <w:bookmarkEnd w:id="169"/>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为更好地维护县城生物多样性，海丰县需摸清县城生物多样性家底，积极推广应用乡土适生植物。主要包括：</w:t>
      </w:r>
    </w:p>
    <w:p>
      <w:pPr>
        <w:numPr>
          <w:ilvl w:val="0"/>
          <w:numId w:val="7"/>
        </w:num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古树名木普查和</w:t>
      </w:r>
      <w:r>
        <w:rPr>
          <w:rFonts w:ascii="Times New Roman" w:hAnsi="Times New Roman"/>
          <w:color w:val="auto"/>
          <w:kern w:val="0"/>
          <w:sz w:val="28"/>
          <w:szCs w:val="28"/>
          <w:highlight w:val="none"/>
        </w:rPr>
        <w:t>后备资源</w:t>
      </w:r>
      <w:r>
        <w:rPr>
          <w:rFonts w:ascii="Times New Roman" w:hAnsi="Times New Roman"/>
          <w:color w:val="auto"/>
          <w:sz w:val="28"/>
          <w:szCs w:val="28"/>
          <w:highlight w:val="none"/>
        </w:rPr>
        <w:t>保护</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海丰县已于2018年完成县域范围内的古树名木进行了普查，查明现存古树名木共计11科、14属、14种，共144株。其中一级古树0株，占总数的0%，二级古树14株，占总数9.72%，三级古树130株，占总数90.28%；分布于城区的古树7株，占4.86%，分布于农村的古树共137株，占95.14%。部分古树名木已完成挂牌。规划对县城范围内的古树名木和后备资源进行补充调查，完成全部的古树名木和</w:t>
      </w:r>
      <w:r>
        <w:rPr>
          <w:rFonts w:ascii="Times New Roman" w:hAnsi="Times New Roman"/>
          <w:color w:val="auto"/>
          <w:kern w:val="0"/>
          <w:sz w:val="28"/>
          <w:szCs w:val="28"/>
          <w:highlight w:val="none"/>
        </w:rPr>
        <w:t>后备资源挂牌保护工作，并明确责任保护单位或责任保护人，签订合同和责任书。</w:t>
      </w:r>
    </w:p>
    <w:p>
      <w:pPr>
        <w:numPr>
          <w:ilvl w:val="0"/>
          <w:numId w:val="7"/>
        </w:num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生物资源普查和保护</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对不小于县域范围内的野生高等维管束植物（蕨类、裸子植物、被子植物）和野生动物（兽类、鸟类、鱼类、两栖爬行类）进行普查，摸清动植物资源家底，提交普查报告，为生物资源保护工作提供基础数据。</w:t>
      </w:r>
    </w:p>
    <w:p>
      <w:pPr>
        <w:numPr>
          <w:ilvl w:val="0"/>
          <w:numId w:val="7"/>
        </w:num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种质资源库建设</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建设种质资源库是保障县城生物资源安全的重要手段。海丰县应充分利用4个保护区、综合公园及生产苗圃，建立乡土、适生植物种质资源库，保护具有海丰特色的乡土、适生植物。</w:t>
      </w:r>
    </w:p>
    <w:p>
      <w:pPr>
        <w:numPr>
          <w:ilvl w:val="0"/>
          <w:numId w:val="7"/>
        </w:num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乡土植物使用</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乡土植物，是指在没有人为影响的条件下，经过长期物种选择与演替后，对特定地区生态环境具有高度适应性的自然植物区系的总称。在县城的园林绿化建设过程中积极推广应用乡土植物，不盲目引进外来植物，既美化了县城，又维护了县城的生态安全。规划在县城公园绿地、广场绿地等绿地建设过程中积极推广乡土植物，丰富植物品种，提高县城生物多样性。特别是推广应用乡土木本植物，确保县城乡土木本植物指数不小于0.70。</w:t>
      </w:r>
    </w:p>
    <w:p>
      <w:pPr>
        <w:numPr>
          <w:ilvl w:val="0"/>
          <w:numId w:val="7"/>
        </w:num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湿地资源普查和建立湿地保护管理机构</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湿地，被誉为是地球之肾，具有保护生物多样性，调节径流、改善水质、调节小气候、以及提供食物及工业原料、提供旅游资源等作用。海丰县具有丰富的湿地资源，全县共有湿地16634.54公顷，其中国际重要湿地8586.32公顷，一般湿地8048公顷。为摸清海丰县湿地家底以及进行更好的管理，规划建设以下内容：</w:t>
      </w:r>
    </w:p>
    <w:p>
      <w:pPr>
        <w:ind w:firstLine="562" w:firstLineChars="200"/>
        <w:rPr>
          <w:rFonts w:ascii="Times New Roman" w:hAnsi="Times New Roman"/>
          <w:color w:val="auto"/>
          <w:sz w:val="28"/>
          <w:szCs w:val="28"/>
          <w:highlight w:val="none"/>
        </w:rPr>
      </w:pPr>
      <w:r>
        <w:rPr>
          <w:rFonts w:ascii="Times New Roman" w:hAnsi="Times New Roman"/>
          <w:b/>
          <w:bCs/>
          <w:color w:val="auto"/>
          <w:sz w:val="28"/>
          <w:szCs w:val="28"/>
          <w:highlight w:val="none"/>
        </w:rPr>
        <w:t>湿地资源普查。</w:t>
      </w:r>
      <w:r>
        <w:rPr>
          <w:rFonts w:ascii="Times New Roman" w:hAnsi="Times New Roman"/>
          <w:color w:val="auto"/>
          <w:sz w:val="28"/>
          <w:szCs w:val="28"/>
          <w:highlight w:val="none"/>
        </w:rPr>
        <w:t>对规划区范围内的湿地资源进行普查，主要按照《全国湿地资源调查与监测技术规程》（林湿发[2008]265号）要求，调查湿地面积、湿地型、分布、水环境、湿地植物群落和植被、湿地野生植物、湿地野生动物、湿地保护与管理等内容。</w:t>
      </w:r>
    </w:p>
    <w:p>
      <w:pPr>
        <w:ind w:firstLine="562" w:firstLineChars="200"/>
        <w:rPr>
          <w:rFonts w:ascii="Times New Roman" w:hAnsi="Times New Roman"/>
          <w:color w:val="auto"/>
          <w:sz w:val="28"/>
          <w:szCs w:val="28"/>
          <w:highlight w:val="none"/>
        </w:rPr>
      </w:pPr>
      <w:r>
        <w:rPr>
          <w:rFonts w:ascii="Times New Roman" w:hAnsi="Times New Roman"/>
          <w:b/>
          <w:bCs/>
          <w:color w:val="auto"/>
          <w:sz w:val="28"/>
          <w:szCs w:val="28"/>
          <w:highlight w:val="none"/>
        </w:rPr>
        <w:t>建立湿地保护管理机构</w:t>
      </w:r>
      <w:r>
        <w:rPr>
          <w:rFonts w:ascii="Times New Roman" w:hAnsi="Times New Roman"/>
          <w:color w:val="auto"/>
          <w:sz w:val="28"/>
          <w:szCs w:val="28"/>
          <w:highlight w:val="none"/>
        </w:rPr>
        <w:t>。建设海丰县湿地保护管理机构，明确保护管理职责，落实管理资金。</w:t>
      </w:r>
    </w:p>
    <w:p>
      <w:pPr>
        <w:jc w:val="center"/>
        <w:rPr>
          <w:rFonts w:ascii="Times New Roman" w:hAnsi="Times New Roman"/>
          <w:color w:val="auto"/>
          <w:sz w:val="28"/>
          <w:szCs w:val="28"/>
          <w:highlight w:val="none"/>
        </w:rPr>
      </w:pPr>
      <w:r>
        <w:rPr>
          <w:rFonts w:ascii="Times New Roman" w:hAnsi="Times New Roman"/>
          <w:b/>
          <w:bCs/>
          <w:color w:val="auto"/>
          <w:sz w:val="28"/>
          <w:szCs w:val="28"/>
          <w:highlight w:val="none"/>
        </w:rPr>
        <w:t>表4-3</w:t>
      </w:r>
      <w:r>
        <w:rPr>
          <w:rFonts w:hint="eastAsia" w:ascii="Times New Roman" w:hAnsi="Times New Roman"/>
          <w:b/>
          <w:bCs/>
          <w:color w:val="auto"/>
          <w:sz w:val="28"/>
          <w:szCs w:val="28"/>
          <w:highlight w:val="none"/>
        </w:rPr>
        <w:t>-1</w:t>
      </w:r>
      <w:r>
        <w:rPr>
          <w:rFonts w:ascii="Times New Roman" w:hAnsi="Times New Roman"/>
          <w:b/>
          <w:bCs/>
          <w:color w:val="auto"/>
          <w:sz w:val="28"/>
          <w:szCs w:val="28"/>
          <w:highlight w:val="none"/>
        </w:rPr>
        <w:t xml:space="preserve"> </w:t>
      </w:r>
      <w:r>
        <w:rPr>
          <w:rFonts w:hint="eastAsia" w:ascii="Times New Roman" w:hAnsi="Times New Roman"/>
          <w:b/>
          <w:bCs/>
          <w:color w:val="auto"/>
          <w:sz w:val="28"/>
          <w:szCs w:val="28"/>
          <w:highlight w:val="none"/>
        </w:rPr>
        <w:t xml:space="preserve"> </w:t>
      </w:r>
      <w:r>
        <w:rPr>
          <w:rFonts w:ascii="Times New Roman" w:hAnsi="Times New Roman"/>
          <w:b/>
          <w:bCs/>
          <w:color w:val="auto"/>
          <w:sz w:val="28"/>
          <w:szCs w:val="28"/>
          <w:highlight w:val="none"/>
        </w:rPr>
        <w:t>海丰县生物保护多样性保护行动方案</w:t>
      </w:r>
    </w:p>
    <w:tbl>
      <w:tblPr>
        <w:tblStyle w:val="20"/>
        <w:tblW w:w="85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6"/>
        <w:gridCol w:w="1306"/>
        <w:gridCol w:w="2451"/>
        <w:gridCol w:w="1746"/>
        <w:gridCol w:w="870"/>
        <w:gridCol w:w="870"/>
        <w:gridCol w:w="8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406"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序号</w:t>
            </w:r>
          </w:p>
        </w:tc>
        <w:tc>
          <w:tcPr>
            <w:tcW w:w="1306"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项目</w:t>
            </w:r>
          </w:p>
        </w:tc>
        <w:tc>
          <w:tcPr>
            <w:tcW w:w="2451"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内容</w:t>
            </w:r>
          </w:p>
        </w:tc>
        <w:tc>
          <w:tcPr>
            <w:tcW w:w="1746"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责任单位</w:t>
            </w:r>
          </w:p>
        </w:tc>
        <w:tc>
          <w:tcPr>
            <w:tcW w:w="870"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性质</w:t>
            </w:r>
          </w:p>
        </w:tc>
        <w:tc>
          <w:tcPr>
            <w:tcW w:w="870"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对应考核指标</w:t>
            </w:r>
          </w:p>
        </w:tc>
        <w:tc>
          <w:tcPr>
            <w:tcW w:w="871"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完成时间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1</w:t>
            </w:r>
          </w:p>
        </w:tc>
        <w:tc>
          <w:tcPr>
            <w:tcW w:w="1306" w:type="dxa"/>
            <w:vAlign w:val="center"/>
          </w:tcPr>
          <w:p>
            <w:pPr>
              <w:spacing w:line="300" w:lineRule="exact"/>
              <w:rPr>
                <w:rFonts w:ascii="Times New Roman" w:hAnsi="Times New Roman"/>
                <w:color w:val="auto"/>
                <w:kern w:val="0"/>
                <w:sz w:val="24"/>
                <w:highlight w:val="none"/>
              </w:rPr>
            </w:pPr>
            <w:r>
              <w:rPr>
                <w:rFonts w:ascii="Times New Roman" w:hAnsi="Times New Roman"/>
                <w:color w:val="auto"/>
                <w:kern w:val="0"/>
                <w:sz w:val="24"/>
                <w:highlight w:val="none"/>
              </w:rPr>
              <w:t>古树名木和后备资源保护</w:t>
            </w:r>
          </w:p>
        </w:tc>
        <w:tc>
          <w:tcPr>
            <w:tcW w:w="2451" w:type="dxa"/>
            <w:vAlign w:val="center"/>
          </w:tcPr>
          <w:p>
            <w:pPr>
              <w:spacing w:line="300" w:lineRule="exact"/>
              <w:rPr>
                <w:rFonts w:ascii="Times New Roman" w:hAnsi="Times New Roman"/>
                <w:color w:val="auto"/>
                <w:sz w:val="24"/>
                <w:highlight w:val="none"/>
              </w:rPr>
            </w:pPr>
            <w:r>
              <w:rPr>
                <w:rFonts w:hint="default" w:ascii="Times New Roman" w:hAnsi="Times New Roman" w:cs="Times New Roman"/>
                <w:color w:val="auto"/>
                <w:sz w:val="24"/>
                <w:highlight w:val="none"/>
              </w:rPr>
              <w:t>①</w:t>
            </w:r>
            <w:r>
              <w:rPr>
                <w:rFonts w:ascii="Times New Roman" w:hAnsi="Times New Roman"/>
                <w:color w:val="auto"/>
                <w:sz w:val="24"/>
                <w:highlight w:val="none"/>
              </w:rPr>
              <w:t>严禁移植古树名木,古树名木保护率100%；</w:t>
            </w:r>
          </w:p>
          <w:p>
            <w:pPr>
              <w:spacing w:line="300" w:lineRule="exact"/>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完成树龄超过50年（含）以上古树名木后备资源普查、建档、挂牌并确定保护责任单位或责任人。</w:t>
            </w:r>
          </w:p>
        </w:tc>
        <w:tc>
          <w:tcPr>
            <w:tcW w:w="1746" w:type="dxa"/>
            <w:vAlign w:val="center"/>
          </w:tcPr>
          <w:p>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县林业局</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25</w:t>
            </w:r>
          </w:p>
        </w:tc>
        <w:tc>
          <w:tcPr>
            <w:tcW w:w="871" w:type="dxa"/>
            <w:vAlign w:val="center"/>
          </w:tcPr>
          <w:p>
            <w:pPr>
              <w:jc w:val="center"/>
              <w:rPr>
                <w:rFonts w:ascii="Times New Roman" w:hAnsi="Times New Roman"/>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lang w:eastAsia="zh-CN"/>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lang w:eastAsia="zh-CN"/>
              </w:rPr>
              <w:t>6</w:t>
            </w:r>
            <w:r>
              <w:rPr>
                <w:rFonts w:ascii="Times New Roman" w:hAnsi="Times New Roman"/>
                <w:bCs/>
                <w:color w:val="auto"/>
                <w:kern w:val="0"/>
                <w:sz w:val="24"/>
                <w:highlight w:val="none"/>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2</w:t>
            </w:r>
          </w:p>
        </w:tc>
        <w:tc>
          <w:tcPr>
            <w:tcW w:w="13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生物资源普查</w:t>
            </w:r>
          </w:p>
        </w:tc>
        <w:tc>
          <w:tcPr>
            <w:tcW w:w="2451" w:type="dxa"/>
            <w:vAlign w:val="center"/>
          </w:tcPr>
          <w:p>
            <w:pPr>
              <w:spacing w:line="300" w:lineRule="exact"/>
              <w:rPr>
                <w:rFonts w:ascii="Times New Roman" w:hAnsi="Times New Roman"/>
                <w:color w:val="auto"/>
                <w:sz w:val="24"/>
                <w:highlight w:val="none"/>
              </w:rPr>
            </w:pPr>
            <w:r>
              <w:rPr>
                <w:rFonts w:hint="default" w:ascii="Times New Roman" w:hAnsi="Times New Roman" w:cs="Times New Roman"/>
                <w:color w:val="auto"/>
                <w:sz w:val="24"/>
                <w:highlight w:val="none"/>
              </w:rPr>
              <w:t>①</w:t>
            </w:r>
            <w:r>
              <w:rPr>
                <w:rFonts w:ascii="Times New Roman" w:hAnsi="Times New Roman"/>
                <w:color w:val="auto"/>
                <w:sz w:val="24"/>
                <w:highlight w:val="none"/>
              </w:rPr>
              <w:t>已完成不小于县域范围的生物物种资源普查；</w:t>
            </w:r>
          </w:p>
          <w:p>
            <w:pPr>
              <w:spacing w:line="300" w:lineRule="exact"/>
              <w:rPr>
                <w:rFonts w:ascii="Times New Roman" w:hAnsi="Times New Roman"/>
                <w:color w:val="auto"/>
                <w:sz w:val="24"/>
                <w:highlight w:val="none"/>
              </w:rPr>
            </w:pPr>
            <w:r>
              <w:rPr>
                <w:rFonts w:hint="default" w:ascii="Times New Roman" w:hAnsi="Times New Roman" w:cs="Times New Roman"/>
                <w:color w:val="auto"/>
                <w:sz w:val="24"/>
                <w:highlight w:val="none"/>
              </w:rPr>
              <w:t>②</w:t>
            </w:r>
            <w:r>
              <w:rPr>
                <w:rFonts w:ascii="Times New Roman" w:hAnsi="Times New Roman"/>
                <w:color w:val="auto"/>
                <w:sz w:val="24"/>
                <w:highlight w:val="none"/>
              </w:rPr>
              <w:t>生物物种总量保持合理增长，重要物种及其栖息地得到有效保护。</w:t>
            </w:r>
          </w:p>
        </w:tc>
        <w:tc>
          <w:tcPr>
            <w:tcW w:w="1746" w:type="dxa"/>
            <w:vAlign w:val="center"/>
          </w:tcPr>
          <w:p>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县林业局</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31</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2021年</w:t>
            </w:r>
            <w:r>
              <w:rPr>
                <w:rFonts w:hint="eastAsia" w:ascii="Times New Roman" w:hAnsi="Times New Roman"/>
                <w:bCs/>
                <w:color w:val="auto"/>
                <w:kern w:val="0"/>
                <w:sz w:val="24"/>
                <w:highlight w:val="none"/>
                <w:lang w:val="en-US" w:eastAsia="zh-CN"/>
              </w:rPr>
              <w:t>8</w:t>
            </w:r>
            <w:r>
              <w:rPr>
                <w:rFonts w:ascii="Times New Roman" w:hAnsi="Times New Roman"/>
                <w:bCs/>
                <w:color w:val="auto"/>
                <w:kern w:val="0"/>
                <w:sz w:val="24"/>
                <w:highlight w:val="none"/>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3</w:t>
            </w:r>
          </w:p>
        </w:tc>
        <w:tc>
          <w:tcPr>
            <w:tcW w:w="1306" w:type="dxa"/>
            <w:vAlign w:val="center"/>
          </w:tcPr>
          <w:p>
            <w:pPr>
              <w:spacing w:line="300" w:lineRule="exact"/>
              <w:rPr>
                <w:rFonts w:ascii="Times New Roman" w:hAnsi="Times New Roman"/>
                <w:color w:val="auto"/>
                <w:kern w:val="0"/>
                <w:sz w:val="24"/>
                <w:highlight w:val="none"/>
              </w:rPr>
            </w:pPr>
            <w:r>
              <w:rPr>
                <w:rFonts w:ascii="Times New Roman" w:hAnsi="Times New Roman"/>
                <w:color w:val="auto"/>
                <w:sz w:val="24"/>
                <w:highlight w:val="none"/>
              </w:rPr>
              <w:t>种质资源库建设</w:t>
            </w:r>
          </w:p>
        </w:tc>
        <w:tc>
          <w:tcPr>
            <w:tcW w:w="2451" w:type="dxa"/>
            <w:vAlign w:val="center"/>
          </w:tcPr>
          <w:p>
            <w:pPr>
              <w:spacing w:line="300" w:lineRule="exact"/>
              <w:rPr>
                <w:rFonts w:ascii="Times New Roman" w:hAnsi="Times New Roman"/>
                <w:color w:val="auto"/>
                <w:kern w:val="0"/>
                <w:sz w:val="24"/>
                <w:highlight w:val="none"/>
              </w:rPr>
            </w:pPr>
            <w:r>
              <w:rPr>
                <w:rFonts w:ascii="Times New Roman" w:hAnsi="Times New Roman"/>
                <w:color w:val="auto"/>
                <w:sz w:val="24"/>
                <w:highlight w:val="none"/>
              </w:rPr>
              <w:t>结合风景名胜区、植物专类园、综合公园、生产苗圃等建立乡土、适生植物种质资源库，并开展相应的引种驯化研究</w:t>
            </w:r>
            <w:r>
              <w:rPr>
                <w:rFonts w:hint="eastAsia" w:ascii="Times New Roman" w:hAnsi="Times New Roman"/>
                <w:color w:val="auto"/>
                <w:sz w:val="24"/>
                <w:highlight w:val="none"/>
              </w:rPr>
              <w:t>。</w:t>
            </w:r>
          </w:p>
        </w:tc>
        <w:tc>
          <w:tcPr>
            <w:tcW w:w="1746" w:type="dxa"/>
            <w:vAlign w:val="center"/>
          </w:tcPr>
          <w:p>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县林业局</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32</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lang w:eastAsia="zh-CN"/>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lang w:val="en-US" w:eastAsia="zh-CN"/>
              </w:rPr>
              <w:t>8</w:t>
            </w:r>
            <w:r>
              <w:rPr>
                <w:rFonts w:ascii="Times New Roman" w:hAnsi="Times New Roman"/>
                <w:bCs/>
                <w:color w:val="auto"/>
                <w:kern w:val="0"/>
                <w:sz w:val="24"/>
                <w:highlight w:val="none"/>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4</w:t>
            </w:r>
          </w:p>
        </w:tc>
        <w:tc>
          <w:tcPr>
            <w:tcW w:w="1306" w:type="dxa"/>
            <w:vAlign w:val="center"/>
          </w:tcPr>
          <w:p>
            <w:pPr>
              <w:spacing w:line="300" w:lineRule="exact"/>
              <w:jc w:val="left"/>
              <w:rPr>
                <w:rFonts w:ascii="Times New Roman" w:hAnsi="Times New Roman"/>
                <w:color w:val="auto"/>
                <w:kern w:val="0"/>
                <w:sz w:val="24"/>
                <w:highlight w:val="none"/>
              </w:rPr>
            </w:pPr>
            <w:r>
              <w:rPr>
                <w:rFonts w:ascii="Times New Roman" w:hAnsi="Times New Roman"/>
                <w:color w:val="auto"/>
                <w:sz w:val="24"/>
                <w:highlight w:val="none"/>
              </w:rPr>
              <w:t>乡土植物使用</w:t>
            </w:r>
          </w:p>
        </w:tc>
        <w:tc>
          <w:tcPr>
            <w:tcW w:w="2451" w:type="dxa"/>
            <w:vAlign w:val="center"/>
          </w:tcPr>
          <w:p>
            <w:pPr>
              <w:spacing w:line="300" w:lineRule="exact"/>
              <w:rPr>
                <w:rFonts w:ascii="Times New Roman" w:hAnsi="Times New Roman"/>
                <w:color w:val="auto"/>
                <w:sz w:val="24"/>
                <w:highlight w:val="none"/>
              </w:rPr>
            </w:pPr>
            <w:r>
              <w:rPr>
                <w:rFonts w:hint="default" w:ascii="Times New Roman" w:hAnsi="Times New Roman" w:cs="Times New Roman"/>
                <w:color w:val="auto"/>
                <w:sz w:val="24"/>
                <w:highlight w:val="none"/>
              </w:rPr>
              <w:t>①</w:t>
            </w:r>
            <w:r>
              <w:rPr>
                <w:rFonts w:ascii="Times New Roman" w:hAnsi="Times New Roman"/>
                <w:color w:val="auto"/>
                <w:sz w:val="24"/>
                <w:highlight w:val="none"/>
              </w:rPr>
              <w:t>积极推广应用乡土及适生植物，丰富地被植物品种；</w:t>
            </w:r>
          </w:p>
          <w:p>
            <w:pPr>
              <w:spacing w:line="300" w:lineRule="exact"/>
              <w:rPr>
                <w:rFonts w:ascii="Times New Roman" w:hAnsi="Times New Roman"/>
                <w:color w:val="auto"/>
                <w:kern w:val="0"/>
                <w:sz w:val="24"/>
                <w:highlight w:val="none"/>
              </w:rPr>
            </w:pPr>
            <w:r>
              <w:rPr>
                <w:rFonts w:hint="default" w:ascii="Times New Roman" w:hAnsi="Times New Roman" w:cs="Times New Roman"/>
                <w:color w:val="auto"/>
                <w:sz w:val="24"/>
                <w:highlight w:val="none"/>
              </w:rPr>
              <w:t>②</w:t>
            </w:r>
            <w:r>
              <w:rPr>
                <w:rFonts w:ascii="Times New Roman" w:hAnsi="Times New Roman"/>
                <w:color w:val="auto"/>
                <w:sz w:val="24"/>
                <w:highlight w:val="none"/>
              </w:rPr>
              <w:t>本地木本植物植物≥0.70。</w:t>
            </w:r>
          </w:p>
        </w:tc>
        <w:tc>
          <w:tcPr>
            <w:tcW w:w="1746" w:type="dxa"/>
            <w:vAlign w:val="center"/>
          </w:tcPr>
          <w:p>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县林业局</w:t>
            </w:r>
          </w:p>
        </w:tc>
        <w:tc>
          <w:tcPr>
            <w:tcW w:w="870" w:type="dxa"/>
            <w:vAlign w:val="center"/>
          </w:tcPr>
          <w:p>
            <w:pPr>
              <w:jc w:val="center"/>
              <w:rPr>
                <w:rFonts w:ascii="Times New Roman" w:hAnsi="Times New Roman"/>
                <w:color w:val="auto"/>
                <w:kern w:val="0"/>
                <w:sz w:val="24"/>
                <w:highlight w:val="none"/>
              </w:rPr>
            </w:pPr>
            <w:r>
              <w:rPr>
                <w:rFonts w:hint="eastAsia" w:ascii="Times New Roman" w:hAnsi="Times New Roman"/>
                <w:color w:val="auto"/>
                <w:kern w:val="0"/>
                <w:sz w:val="24"/>
                <w:highlight w:val="none"/>
                <w:lang w:bidi="ar"/>
              </w:rPr>
              <w:t>提升项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32</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lang w:eastAsia="zh-CN"/>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lang w:val="en-US" w:eastAsia="zh-CN"/>
              </w:rPr>
              <w:t>8</w:t>
            </w:r>
            <w:r>
              <w:rPr>
                <w:rFonts w:ascii="Times New Roman" w:hAnsi="Times New Roman"/>
                <w:bCs/>
                <w:color w:val="auto"/>
                <w:kern w:val="0"/>
                <w:sz w:val="24"/>
                <w:highlight w:val="none"/>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5</w:t>
            </w:r>
          </w:p>
        </w:tc>
        <w:tc>
          <w:tcPr>
            <w:tcW w:w="1306" w:type="dxa"/>
            <w:vAlign w:val="center"/>
          </w:tcPr>
          <w:p>
            <w:pPr>
              <w:spacing w:line="300" w:lineRule="exact"/>
              <w:jc w:val="left"/>
              <w:rPr>
                <w:rFonts w:ascii="Times New Roman" w:hAnsi="Times New Roman"/>
                <w:color w:val="auto"/>
                <w:sz w:val="24"/>
                <w:highlight w:val="none"/>
              </w:rPr>
            </w:pPr>
            <w:r>
              <w:rPr>
                <w:rFonts w:ascii="Times New Roman" w:hAnsi="Times New Roman"/>
                <w:color w:val="auto"/>
                <w:sz w:val="24"/>
                <w:highlight w:val="none"/>
              </w:rPr>
              <w:t>湿地资源普查</w:t>
            </w:r>
          </w:p>
        </w:tc>
        <w:tc>
          <w:tcPr>
            <w:tcW w:w="2451" w:type="dxa"/>
            <w:vAlign w:val="center"/>
          </w:tcPr>
          <w:p>
            <w:pPr>
              <w:spacing w:line="300" w:lineRule="exact"/>
              <w:rPr>
                <w:rFonts w:ascii="Times New Roman" w:hAnsi="Times New Roman"/>
                <w:color w:val="auto"/>
                <w:sz w:val="24"/>
                <w:highlight w:val="none"/>
              </w:rPr>
            </w:pPr>
            <w:r>
              <w:rPr>
                <w:rFonts w:ascii="Times New Roman" w:hAnsi="Times New Roman"/>
                <w:color w:val="auto"/>
                <w:sz w:val="24"/>
                <w:highlight w:val="none"/>
              </w:rPr>
              <w:t>完成规划区内湿地资源普查工作</w:t>
            </w:r>
          </w:p>
        </w:tc>
        <w:tc>
          <w:tcPr>
            <w:tcW w:w="1746" w:type="dxa"/>
            <w:vAlign w:val="center"/>
          </w:tcPr>
          <w:p>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县林业局</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33</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lang w:eastAsia="zh-CN"/>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lang w:eastAsia="zh-CN"/>
              </w:rPr>
              <w:t>6</w:t>
            </w:r>
            <w:r>
              <w:rPr>
                <w:rFonts w:ascii="Times New Roman" w:hAnsi="Times New Roman"/>
                <w:bCs/>
                <w:color w:val="auto"/>
                <w:kern w:val="0"/>
                <w:sz w:val="24"/>
                <w:highlight w:val="none"/>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6</w:t>
            </w:r>
          </w:p>
        </w:tc>
        <w:tc>
          <w:tcPr>
            <w:tcW w:w="1306" w:type="dxa"/>
            <w:vAlign w:val="center"/>
          </w:tcPr>
          <w:p>
            <w:pPr>
              <w:spacing w:line="300" w:lineRule="exact"/>
              <w:jc w:val="left"/>
              <w:rPr>
                <w:rFonts w:ascii="Times New Roman" w:hAnsi="Times New Roman"/>
                <w:color w:val="auto"/>
                <w:sz w:val="24"/>
                <w:highlight w:val="none"/>
              </w:rPr>
            </w:pPr>
            <w:r>
              <w:rPr>
                <w:rFonts w:ascii="Times New Roman" w:hAnsi="Times New Roman"/>
                <w:color w:val="auto"/>
                <w:sz w:val="24"/>
                <w:highlight w:val="none"/>
              </w:rPr>
              <w:t>建立湿地保护管理机构</w:t>
            </w:r>
          </w:p>
        </w:tc>
        <w:tc>
          <w:tcPr>
            <w:tcW w:w="2451" w:type="dxa"/>
            <w:vAlign w:val="center"/>
          </w:tcPr>
          <w:p>
            <w:pPr>
              <w:spacing w:line="300" w:lineRule="exact"/>
              <w:rPr>
                <w:rFonts w:ascii="Times New Roman" w:hAnsi="Times New Roman"/>
                <w:color w:val="auto"/>
                <w:sz w:val="24"/>
                <w:highlight w:val="none"/>
              </w:rPr>
            </w:pPr>
            <w:r>
              <w:rPr>
                <w:rFonts w:ascii="Times New Roman" w:hAnsi="Times New Roman"/>
                <w:color w:val="auto"/>
                <w:sz w:val="24"/>
                <w:highlight w:val="none"/>
              </w:rPr>
              <w:t>明确保护管理职责，落实管理资金</w:t>
            </w:r>
          </w:p>
        </w:tc>
        <w:tc>
          <w:tcPr>
            <w:tcW w:w="1746" w:type="dxa"/>
            <w:vAlign w:val="center"/>
          </w:tcPr>
          <w:p>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县林业局</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33</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lang w:eastAsia="zh-CN"/>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lang w:eastAsia="zh-CN"/>
              </w:rPr>
              <w:t>6</w:t>
            </w:r>
            <w:r>
              <w:rPr>
                <w:rFonts w:ascii="Times New Roman" w:hAnsi="Times New Roman"/>
                <w:bCs/>
                <w:color w:val="auto"/>
                <w:kern w:val="0"/>
                <w:sz w:val="24"/>
                <w:highlight w:val="none"/>
              </w:rPr>
              <w:t>月</w:t>
            </w:r>
          </w:p>
        </w:tc>
      </w:tr>
    </w:tbl>
    <w:p>
      <w:pPr>
        <w:rPr>
          <w:rFonts w:ascii="Times New Roman" w:hAnsi="Times New Roman"/>
          <w:color w:val="auto"/>
          <w:highlight w:val="none"/>
        </w:rPr>
      </w:pPr>
    </w:p>
    <w:p>
      <w:pPr>
        <w:pStyle w:val="6"/>
        <w:rPr>
          <w:rFonts w:ascii="Times New Roman" w:hAnsi="Times New Roman"/>
          <w:color w:val="auto"/>
          <w:highlight w:val="none"/>
        </w:rPr>
      </w:pPr>
      <w:bookmarkStart w:id="170" w:name="_Toc60776354"/>
      <w:bookmarkStart w:id="171" w:name="_Toc17626"/>
      <w:r>
        <w:rPr>
          <w:rFonts w:ascii="Times New Roman" w:hAnsi="Times New Roman"/>
          <w:color w:val="auto"/>
          <w:highlight w:val="none"/>
        </w:rPr>
        <w:t>4.3.2 绿水青山蓝天行动，坚持生态可持续发展</w:t>
      </w:r>
      <w:bookmarkEnd w:id="170"/>
      <w:bookmarkEnd w:id="171"/>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海丰县依山傍水，莲花山脉横贯县境北部，主峰莲花山海拔1337.3米。境内有黄江、赤石河二大水系。河流有黄江、赤石河、大液河和龙津河，均发源于县境西部及西北部山峰。其中，黄江河与龙津河流经县城，为县城主要的水系。矿产资源主要有锡精矿、钨矿、水晶矿、绿柱石等；建筑石料、沙、花岗岩和陶瓷粘土等蕴藏量丰富。</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据调查，海丰县生态环境整体良好，2019年空气质量优良天数达345天，远超广东省园林县城标准（≥292天）；山体得到较好的保护，森林质量有待提升；但县城水体污染问题比较严重。根据近几年水质监测结果，海丰县河流地表水水质不稳定。黄江河东溪水闸监测点水质在2018年3月至6月为Ⅴ类；海丰西闸监测点水质在2018年3月、6月为劣Ⅴ类，在12月为Ⅴ类；黄江河海丰西闸监测点水质在2019年1月至3月为Ⅴ类。此外，流经海丰县城区的龙津河污染严重。</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根据现状调查结果，结合《广东省园林城市系列标准》，规划在海丰开展绿水、青山、蓝天环境治理行动，主要包括：</w:t>
      </w:r>
    </w:p>
    <w:p>
      <w:pPr>
        <w:numPr>
          <w:ilvl w:val="0"/>
          <w:numId w:val="8"/>
        </w:numPr>
        <w:rPr>
          <w:rFonts w:ascii="Times New Roman" w:hAnsi="Times New Roman"/>
          <w:color w:val="auto"/>
          <w:sz w:val="28"/>
          <w:szCs w:val="28"/>
          <w:highlight w:val="none"/>
        </w:rPr>
      </w:pPr>
      <w:r>
        <w:rPr>
          <w:rFonts w:ascii="Times New Roman" w:hAnsi="Times New Roman"/>
          <w:color w:val="auto"/>
          <w:sz w:val="28"/>
          <w:szCs w:val="28"/>
          <w:highlight w:val="none"/>
        </w:rPr>
        <w:t>绿水行动</w:t>
      </w:r>
    </w:p>
    <w:p>
      <w:pPr>
        <w:ind w:firstLine="562" w:firstLineChars="200"/>
        <w:rPr>
          <w:rFonts w:ascii="Times New Roman" w:hAnsi="Times New Roman"/>
          <w:color w:val="auto"/>
          <w:sz w:val="28"/>
          <w:szCs w:val="28"/>
          <w:highlight w:val="none"/>
        </w:rPr>
      </w:pPr>
      <w:r>
        <w:rPr>
          <w:rFonts w:ascii="Times New Roman" w:hAnsi="Times New Roman"/>
          <w:b/>
          <w:bCs/>
          <w:color w:val="auto"/>
          <w:sz w:val="28"/>
          <w:szCs w:val="28"/>
          <w:highlight w:val="none"/>
        </w:rPr>
        <w:t>水体岸线绿化</w:t>
      </w:r>
      <w:r>
        <w:rPr>
          <w:rFonts w:ascii="Times New Roman" w:hAnsi="Times New Roman"/>
          <w:color w:val="auto"/>
          <w:sz w:val="28"/>
          <w:szCs w:val="28"/>
          <w:highlight w:val="none"/>
        </w:rPr>
        <w:t>。对规划区范围内的河流、水库进行专项整治，确保自然河流无截弯取直、筑坝截流、违法取沙现象，水体岸线自然化</w:t>
      </w:r>
      <w:r>
        <w:rPr>
          <w:rFonts w:hint="eastAsia" w:ascii="Times New Roman" w:hAnsi="Times New Roman"/>
          <w:color w:val="auto"/>
          <w:sz w:val="28"/>
          <w:szCs w:val="28"/>
          <w:highlight w:val="none"/>
        </w:rPr>
        <w:t>率</w:t>
      </w:r>
      <w:r>
        <w:rPr>
          <w:rFonts w:ascii="Times New Roman" w:hAnsi="Times New Roman"/>
          <w:color w:val="auto"/>
          <w:sz w:val="28"/>
          <w:szCs w:val="28"/>
          <w:highlight w:val="none"/>
        </w:rPr>
        <w:t>不小于80%。</w:t>
      </w:r>
    </w:p>
    <w:p>
      <w:pPr>
        <w:ind w:firstLine="562" w:firstLineChars="200"/>
        <w:rPr>
          <w:rFonts w:ascii="Times New Roman" w:hAnsi="Times New Roman"/>
          <w:color w:val="auto"/>
          <w:sz w:val="28"/>
          <w:szCs w:val="28"/>
          <w:highlight w:val="none"/>
        </w:rPr>
      </w:pPr>
      <w:r>
        <w:rPr>
          <w:rFonts w:ascii="Times New Roman" w:hAnsi="Times New Roman"/>
          <w:b/>
          <w:bCs/>
          <w:color w:val="auto"/>
          <w:sz w:val="28"/>
          <w:szCs w:val="28"/>
          <w:highlight w:val="none"/>
        </w:rPr>
        <w:t>地表水治理</w:t>
      </w:r>
      <w:r>
        <w:rPr>
          <w:rFonts w:ascii="Times New Roman" w:hAnsi="Times New Roman"/>
          <w:color w:val="auto"/>
          <w:sz w:val="28"/>
          <w:szCs w:val="28"/>
          <w:highlight w:val="none"/>
        </w:rPr>
        <w:t>。贯彻落实县委</w:t>
      </w:r>
      <w:r>
        <w:rPr>
          <w:rFonts w:hint="eastAsia" w:ascii="Times New Roman" w:hAnsi="Times New Roman"/>
          <w:color w:val="auto"/>
          <w:sz w:val="28"/>
          <w:szCs w:val="28"/>
          <w:highlight w:val="none"/>
          <w:lang w:eastAsia="zh-CN"/>
        </w:rPr>
        <w:t>、</w:t>
      </w:r>
      <w:r>
        <w:rPr>
          <w:rFonts w:ascii="Times New Roman" w:hAnsi="Times New Roman"/>
          <w:color w:val="auto"/>
          <w:sz w:val="28"/>
          <w:szCs w:val="28"/>
          <w:highlight w:val="none"/>
        </w:rPr>
        <w:t>县政府关于县城水环境治理的工作部署，重点整治公平、青年、红花地水库等饮用水源地和开展大湖鸟类保护区、黄江流域污染综合整治，推进龙津河水环境综合整治等重点水利工程，加大19条县城黑臭水体整治力度，确保地表水Ⅳ类及以上水体比例不小于60%，构建水生态修复项目库。</w:t>
      </w:r>
    </w:p>
    <w:p>
      <w:pPr>
        <w:ind w:firstLine="562" w:firstLineChars="200"/>
        <w:rPr>
          <w:rFonts w:ascii="Times New Roman" w:hAnsi="Times New Roman"/>
          <w:color w:val="auto"/>
          <w:sz w:val="28"/>
          <w:szCs w:val="28"/>
          <w:highlight w:val="none"/>
        </w:rPr>
      </w:pPr>
      <w:r>
        <w:rPr>
          <w:rFonts w:ascii="Times New Roman" w:hAnsi="Times New Roman"/>
          <w:b/>
          <w:bCs/>
          <w:color w:val="auto"/>
          <w:sz w:val="28"/>
          <w:szCs w:val="28"/>
          <w:highlight w:val="none"/>
        </w:rPr>
        <w:t>碧道建设</w:t>
      </w:r>
      <w:r>
        <w:rPr>
          <w:rFonts w:ascii="Times New Roman" w:hAnsi="Times New Roman"/>
          <w:color w:val="auto"/>
          <w:sz w:val="28"/>
          <w:szCs w:val="28"/>
          <w:highlight w:val="none"/>
        </w:rPr>
        <w:t>。以大液河至莲花山、龙津河、黄江河等河道纳入省“万里碧道”建设总体规划、汕尾市碧道建设总体规划为契机，加快海丰生态廊道建设，在2021年完成</w:t>
      </w:r>
      <w:r>
        <w:rPr>
          <w:rFonts w:hint="eastAsia" w:ascii="Times New Roman" w:hAnsi="Times New Roman"/>
          <w:color w:val="auto"/>
          <w:sz w:val="28"/>
          <w:szCs w:val="28"/>
          <w:highlight w:val="none"/>
          <w:lang w:val="en-US" w:eastAsia="zh-CN"/>
        </w:rPr>
        <w:t>8</w:t>
      </w:r>
      <w:r>
        <w:rPr>
          <w:rFonts w:ascii="Times New Roman" w:hAnsi="Times New Roman"/>
          <w:color w:val="auto"/>
          <w:sz w:val="28"/>
          <w:szCs w:val="28"/>
          <w:highlight w:val="none"/>
        </w:rPr>
        <w:t>公里黄江河碧道海丰县段-1、</w:t>
      </w:r>
      <w:r>
        <w:rPr>
          <w:rFonts w:hint="eastAsia" w:ascii="Times New Roman" w:hAnsi="Times New Roman"/>
          <w:color w:val="auto"/>
          <w:sz w:val="28"/>
          <w:szCs w:val="28"/>
          <w:highlight w:val="none"/>
          <w:lang w:val="en-US" w:eastAsia="zh-CN"/>
        </w:rPr>
        <w:t>13</w:t>
      </w:r>
      <w:r>
        <w:rPr>
          <w:rFonts w:ascii="Times New Roman" w:hAnsi="Times New Roman"/>
          <w:color w:val="auto"/>
          <w:sz w:val="28"/>
          <w:szCs w:val="28"/>
          <w:highlight w:val="none"/>
        </w:rPr>
        <w:t>公里龙津河碧道和1</w:t>
      </w:r>
      <w:r>
        <w:rPr>
          <w:rFonts w:hint="eastAsia" w:ascii="Times New Roman" w:hAnsi="Times New Roman"/>
          <w:color w:val="auto"/>
          <w:sz w:val="28"/>
          <w:szCs w:val="28"/>
          <w:highlight w:val="none"/>
          <w:lang w:val="en-US" w:eastAsia="zh-CN"/>
        </w:rPr>
        <w:t>8</w:t>
      </w:r>
      <w:r>
        <w:rPr>
          <w:rFonts w:ascii="Times New Roman" w:hAnsi="Times New Roman"/>
          <w:color w:val="auto"/>
          <w:sz w:val="28"/>
          <w:szCs w:val="28"/>
          <w:highlight w:val="none"/>
        </w:rPr>
        <w:t>公里大液河碧道的建设工作，在2024年完成55公里黄江河、龙津河、大液河、赤坑水碧道建设，构建具有海丰特色的爱国主义传承的红色长廊。</w:t>
      </w:r>
    </w:p>
    <w:p>
      <w:pPr>
        <w:numPr>
          <w:ilvl w:val="0"/>
          <w:numId w:val="8"/>
        </w:numPr>
        <w:rPr>
          <w:rFonts w:ascii="Times New Roman" w:hAnsi="Times New Roman"/>
          <w:color w:val="auto"/>
          <w:sz w:val="28"/>
          <w:szCs w:val="28"/>
          <w:highlight w:val="none"/>
        </w:rPr>
      </w:pPr>
      <w:r>
        <w:rPr>
          <w:rFonts w:ascii="Times New Roman" w:hAnsi="Times New Roman"/>
          <w:color w:val="auto"/>
          <w:sz w:val="28"/>
          <w:szCs w:val="28"/>
          <w:highlight w:val="none"/>
        </w:rPr>
        <w:t>青山行动</w:t>
      </w:r>
    </w:p>
    <w:p>
      <w:pPr>
        <w:ind w:firstLine="562" w:firstLineChars="200"/>
        <w:rPr>
          <w:rFonts w:ascii="Times New Roman" w:hAnsi="Times New Roman"/>
          <w:color w:val="auto"/>
          <w:sz w:val="28"/>
          <w:szCs w:val="28"/>
          <w:highlight w:val="none"/>
        </w:rPr>
      </w:pPr>
      <w:r>
        <w:rPr>
          <w:rFonts w:ascii="Times New Roman" w:hAnsi="Times New Roman"/>
          <w:b/>
          <w:bCs/>
          <w:color w:val="auto"/>
          <w:sz w:val="28"/>
          <w:szCs w:val="28"/>
          <w:highlight w:val="none"/>
        </w:rPr>
        <w:t>山体保护</w:t>
      </w:r>
      <w:r>
        <w:rPr>
          <w:rFonts w:ascii="Times New Roman" w:hAnsi="Times New Roman"/>
          <w:color w:val="auto"/>
          <w:sz w:val="28"/>
          <w:szCs w:val="28"/>
          <w:highlight w:val="none"/>
        </w:rPr>
        <w:t>。对规划区范围内的山体进行保护，确保山体保护完好，无违法违规开山取石、采矿及随意推山取平等现象，并对受损山体进行生态修复，构建山体生态修复项目库。</w:t>
      </w:r>
    </w:p>
    <w:p>
      <w:pPr>
        <w:ind w:firstLine="562" w:firstLineChars="200"/>
        <w:rPr>
          <w:rFonts w:ascii="Times New Roman" w:hAnsi="Times New Roman"/>
          <w:color w:val="auto"/>
          <w:sz w:val="28"/>
          <w:szCs w:val="28"/>
          <w:highlight w:val="none"/>
        </w:rPr>
      </w:pPr>
      <w:r>
        <w:rPr>
          <w:rFonts w:hint="eastAsia" w:ascii="Times New Roman" w:hAnsi="Times New Roman"/>
          <w:b/>
          <w:bCs/>
          <w:color w:val="auto"/>
          <w:sz w:val="28"/>
          <w:szCs w:val="28"/>
          <w:highlight w:val="none"/>
        </w:rPr>
        <w:t>森林质量提升</w:t>
      </w:r>
      <w:r>
        <w:rPr>
          <w:rFonts w:hint="eastAsia" w:ascii="Times New Roman" w:hAnsi="Times New Roman"/>
          <w:color w:val="auto"/>
          <w:sz w:val="28"/>
          <w:szCs w:val="28"/>
          <w:highlight w:val="none"/>
        </w:rPr>
        <w:t>。继续推进海丰县森林碳汇重点生态工程造林项目、森林碳汇林抚育、沿海防护林体系建设项目，并持续推进生物防火林带建设和林业有害生物治理。</w:t>
      </w:r>
    </w:p>
    <w:p>
      <w:pPr>
        <w:numPr>
          <w:ilvl w:val="0"/>
          <w:numId w:val="8"/>
        </w:numPr>
        <w:rPr>
          <w:rFonts w:ascii="Times New Roman" w:hAnsi="Times New Roman"/>
          <w:color w:val="auto"/>
          <w:sz w:val="28"/>
          <w:szCs w:val="28"/>
          <w:highlight w:val="none"/>
        </w:rPr>
      </w:pPr>
      <w:r>
        <w:rPr>
          <w:rFonts w:ascii="Times New Roman" w:hAnsi="Times New Roman"/>
          <w:color w:val="auto"/>
          <w:sz w:val="28"/>
          <w:szCs w:val="28"/>
          <w:highlight w:val="none"/>
        </w:rPr>
        <w:t>蓝天行动</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海丰县应继续贯彻落实县委</w:t>
      </w:r>
      <w:r>
        <w:rPr>
          <w:rFonts w:hint="eastAsia" w:ascii="Times New Roman" w:hAnsi="Times New Roman"/>
          <w:color w:val="auto"/>
          <w:sz w:val="28"/>
          <w:szCs w:val="28"/>
          <w:highlight w:val="none"/>
          <w:lang w:eastAsia="zh-CN"/>
        </w:rPr>
        <w:t>、</w:t>
      </w:r>
      <w:r>
        <w:rPr>
          <w:rFonts w:ascii="Times New Roman" w:hAnsi="Times New Roman"/>
          <w:color w:val="auto"/>
          <w:sz w:val="28"/>
          <w:szCs w:val="28"/>
          <w:highlight w:val="none"/>
        </w:rPr>
        <w:t>县政府关于大气环境治理的工作部署，坚决打好蓝天保卫战，持续开展</w:t>
      </w:r>
      <w:r>
        <w:rPr>
          <w:rFonts w:hint="eastAsia" w:ascii="Times New Roman" w:hAnsi="Times New Roman"/>
          <w:color w:val="auto"/>
          <w:sz w:val="28"/>
          <w:szCs w:val="28"/>
          <w:highlight w:val="none"/>
        </w:rPr>
        <w:t>“</w:t>
      </w:r>
      <w:r>
        <w:rPr>
          <w:rFonts w:ascii="Times New Roman" w:hAnsi="Times New Roman"/>
          <w:color w:val="auto"/>
          <w:sz w:val="28"/>
          <w:szCs w:val="28"/>
          <w:highlight w:val="none"/>
        </w:rPr>
        <w:t>散乱污</w:t>
      </w:r>
      <w:r>
        <w:rPr>
          <w:rFonts w:hint="eastAsia" w:ascii="Times New Roman" w:hAnsi="Times New Roman"/>
          <w:color w:val="auto"/>
          <w:sz w:val="28"/>
          <w:szCs w:val="28"/>
          <w:highlight w:val="none"/>
        </w:rPr>
        <w:t>”</w:t>
      </w:r>
      <w:r>
        <w:rPr>
          <w:rFonts w:ascii="Times New Roman" w:hAnsi="Times New Roman"/>
          <w:color w:val="auto"/>
          <w:sz w:val="28"/>
          <w:szCs w:val="28"/>
          <w:highlight w:val="none"/>
        </w:rPr>
        <w:t>工业企业（场所）综合整治，全面禁止露天焚烧，加快绿色公交全覆盖，落实挥发性有机物整治工作，提高全县空气质量综合指数。</w:t>
      </w:r>
    </w:p>
    <w:p>
      <w:pPr>
        <w:jc w:val="center"/>
        <w:rPr>
          <w:rFonts w:ascii="Times New Roman" w:hAnsi="Times New Roman"/>
          <w:color w:val="auto"/>
          <w:highlight w:val="none"/>
        </w:rPr>
      </w:pPr>
      <w:r>
        <w:rPr>
          <w:rFonts w:ascii="Times New Roman" w:hAnsi="Times New Roman"/>
          <w:b/>
          <w:bCs/>
          <w:color w:val="auto"/>
          <w:sz w:val="28"/>
          <w:szCs w:val="28"/>
          <w:highlight w:val="none"/>
        </w:rPr>
        <w:t>表4-</w:t>
      </w:r>
      <w:r>
        <w:rPr>
          <w:rFonts w:hint="eastAsia" w:ascii="Times New Roman" w:hAnsi="Times New Roman"/>
          <w:b/>
          <w:bCs/>
          <w:color w:val="auto"/>
          <w:sz w:val="28"/>
          <w:szCs w:val="28"/>
          <w:highlight w:val="none"/>
        </w:rPr>
        <w:t xml:space="preserve">3-2 </w:t>
      </w:r>
      <w:r>
        <w:rPr>
          <w:rFonts w:ascii="Times New Roman" w:hAnsi="Times New Roman"/>
          <w:b/>
          <w:bCs/>
          <w:color w:val="auto"/>
          <w:sz w:val="28"/>
          <w:szCs w:val="28"/>
          <w:highlight w:val="none"/>
        </w:rPr>
        <w:t xml:space="preserve"> 海丰县绿水青山行动方案</w:t>
      </w:r>
    </w:p>
    <w:tbl>
      <w:tblPr>
        <w:tblStyle w:val="20"/>
        <w:tblW w:w="85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6"/>
        <w:gridCol w:w="1306"/>
        <w:gridCol w:w="2451"/>
        <w:gridCol w:w="1746"/>
        <w:gridCol w:w="870"/>
        <w:gridCol w:w="870"/>
        <w:gridCol w:w="8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406"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序号</w:t>
            </w:r>
          </w:p>
        </w:tc>
        <w:tc>
          <w:tcPr>
            <w:tcW w:w="1306"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项目</w:t>
            </w:r>
          </w:p>
        </w:tc>
        <w:tc>
          <w:tcPr>
            <w:tcW w:w="2451"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内容</w:t>
            </w:r>
          </w:p>
        </w:tc>
        <w:tc>
          <w:tcPr>
            <w:tcW w:w="1746"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责任单位</w:t>
            </w:r>
          </w:p>
        </w:tc>
        <w:tc>
          <w:tcPr>
            <w:tcW w:w="870" w:type="dxa"/>
            <w:vAlign w:val="center"/>
          </w:tcPr>
          <w:p>
            <w:pPr>
              <w:jc w:val="center"/>
              <w:rPr>
                <w:rFonts w:ascii="Times New Roman" w:hAnsi="Times New Roman"/>
                <w:b/>
                <w:color w:val="auto"/>
                <w:kern w:val="0"/>
                <w:sz w:val="24"/>
                <w:highlight w:val="none"/>
              </w:rPr>
            </w:pPr>
            <w:r>
              <w:rPr>
                <w:rFonts w:hint="eastAsia" w:ascii="Times New Roman" w:hAnsi="Times New Roman"/>
                <w:b/>
                <w:color w:val="auto"/>
                <w:kern w:val="0"/>
                <w:sz w:val="24"/>
                <w:highlight w:val="none"/>
              </w:rPr>
              <w:t>性质</w:t>
            </w:r>
          </w:p>
        </w:tc>
        <w:tc>
          <w:tcPr>
            <w:tcW w:w="870"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对应考核指标</w:t>
            </w:r>
          </w:p>
        </w:tc>
        <w:tc>
          <w:tcPr>
            <w:tcW w:w="871"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完成时间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0" w:hRule="atLeast"/>
          <w:jc w:val="center"/>
        </w:trPr>
        <w:tc>
          <w:tcPr>
            <w:tcW w:w="4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1</w:t>
            </w:r>
          </w:p>
        </w:tc>
        <w:tc>
          <w:tcPr>
            <w:tcW w:w="1306" w:type="dxa"/>
            <w:vAlign w:val="center"/>
          </w:tcPr>
          <w:p>
            <w:pPr>
              <w:spacing w:line="300" w:lineRule="exact"/>
              <w:rPr>
                <w:rFonts w:ascii="Times New Roman" w:hAnsi="Times New Roman"/>
                <w:color w:val="auto"/>
                <w:kern w:val="0"/>
                <w:sz w:val="24"/>
                <w:highlight w:val="none"/>
              </w:rPr>
            </w:pPr>
            <w:r>
              <w:rPr>
                <w:rFonts w:ascii="Times New Roman" w:hAnsi="Times New Roman"/>
                <w:color w:val="auto"/>
                <w:kern w:val="0"/>
                <w:sz w:val="24"/>
                <w:highlight w:val="none"/>
              </w:rPr>
              <w:t>水体岸线绿化</w:t>
            </w:r>
          </w:p>
        </w:tc>
        <w:tc>
          <w:tcPr>
            <w:tcW w:w="2451" w:type="dxa"/>
            <w:vAlign w:val="center"/>
          </w:tcPr>
          <w:p>
            <w:pPr>
              <w:spacing w:line="300" w:lineRule="exact"/>
              <w:rPr>
                <w:rFonts w:ascii="Times New Roman" w:hAnsi="Times New Roman"/>
                <w:color w:val="auto"/>
                <w:kern w:val="0"/>
                <w:sz w:val="24"/>
                <w:highlight w:val="none"/>
              </w:rPr>
            </w:pPr>
            <w:r>
              <w:rPr>
                <w:rFonts w:ascii="Times New Roman" w:hAnsi="Times New Roman"/>
                <w:color w:val="auto"/>
                <w:kern w:val="0"/>
                <w:sz w:val="24"/>
                <w:highlight w:val="none"/>
              </w:rPr>
              <w:t>对规划区范围内的河流、水库进行专项整治，确保自然河流无截弯取直、筑坝截流、违法取沙现象，水体岸线自然化绿不小于80%。</w:t>
            </w:r>
          </w:p>
        </w:tc>
        <w:tc>
          <w:tcPr>
            <w:tcW w:w="1746" w:type="dxa"/>
            <w:vAlign w:val="center"/>
          </w:tcPr>
          <w:p>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县水务局</w:t>
            </w:r>
          </w:p>
          <w:p>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县自然资源局</w:t>
            </w:r>
          </w:p>
          <w:p>
            <w:pPr>
              <w:spacing w:line="300" w:lineRule="exact"/>
              <w:jc w:val="center"/>
              <w:rPr>
                <w:rFonts w:ascii="Times New Roman" w:hAnsi="Times New Roman"/>
                <w:color w:val="auto"/>
                <w:kern w:val="0"/>
                <w:sz w:val="24"/>
                <w:highlight w:val="none"/>
              </w:rPr>
            </w:pPr>
          </w:p>
        </w:tc>
        <w:tc>
          <w:tcPr>
            <w:tcW w:w="870" w:type="dxa"/>
            <w:vAlign w:val="center"/>
          </w:tcPr>
          <w:p>
            <w:pPr>
              <w:jc w:val="center"/>
              <w:rPr>
                <w:rFonts w:ascii="Times New Roman" w:hAnsi="Times New Roman"/>
                <w:color w:val="auto"/>
                <w:kern w:val="0"/>
                <w:sz w:val="24"/>
                <w:highlight w:val="none"/>
              </w:rPr>
            </w:pPr>
            <w:r>
              <w:rPr>
                <w:rFonts w:hint="eastAsia" w:ascii="Times New Roman" w:hAnsi="Times New Roman"/>
                <w:color w:val="auto"/>
                <w:kern w:val="0"/>
                <w:sz w:val="24"/>
                <w:highlight w:val="none"/>
                <w:lang w:bidi="ar"/>
              </w:rPr>
              <w:t>提升项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30</w:t>
            </w:r>
          </w:p>
        </w:tc>
        <w:tc>
          <w:tcPr>
            <w:tcW w:w="871" w:type="dxa"/>
            <w:vAlign w:val="center"/>
          </w:tcPr>
          <w:p>
            <w:pPr>
              <w:jc w:val="center"/>
              <w:rPr>
                <w:rFonts w:ascii="Times New Roman" w:hAnsi="Times New Roman"/>
                <w:color w:val="auto"/>
                <w:kern w:val="0"/>
                <w:sz w:val="24"/>
                <w:highlight w:val="none"/>
              </w:rPr>
            </w:pPr>
            <w:r>
              <w:rPr>
                <w:rFonts w:ascii="Times New Roman" w:hAnsi="Times New Roman"/>
                <w:bCs/>
                <w:color w:val="auto"/>
                <w:kern w:val="0"/>
                <w:sz w:val="24"/>
                <w:highlight w:val="none"/>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2</w:t>
            </w:r>
          </w:p>
        </w:tc>
        <w:tc>
          <w:tcPr>
            <w:tcW w:w="13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地表水治理</w:t>
            </w:r>
          </w:p>
        </w:tc>
        <w:tc>
          <w:tcPr>
            <w:tcW w:w="2451" w:type="dxa"/>
            <w:vAlign w:val="center"/>
          </w:tcPr>
          <w:p>
            <w:pPr>
              <w:spacing w:line="300" w:lineRule="exact"/>
              <w:rPr>
                <w:rFonts w:ascii="Times New Roman" w:hAnsi="Times New Roman"/>
                <w:color w:val="auto"/>
                <w:sz w:val="24"/>
                <w:highlight w:val="none"/>
              </w:rPr>
            </w:pPr>
            <w:r>
              <w:rPr>
                <w:rFonts w:hint="default" w:ascii="Times New Roman" w:hAnsi="Times New Roman" w:cs="Times New Roman"/>
                <w:color w:val="auto"/>
                <w:sz w:val="24"/>
                <w:highlight w:val="none"/>
              </w:rPr>
              <w:t>①</w:t>
            </w:r>
            <w:r>
              <w:rPr>
                <w:rFonts w:ascii="Times New Roman" w:hAnsi="Times New Roman"/>
                <w:color w:val="auto"/>
                <w:sz w:val="24"/>
                <w:highlight w:val="none"/>
              </w:rPr>
              <w:t>公平、青年、红花地水库、大湖鸟类保护区、黄江流域污染综合整治；</w:t>
            </w:r>
          </w:p>
          <w:p>
            <w:pPr>
              <w:spacing w:line="300" w:lineRule="exact"/>
              <w:rPr>
                <w:rFonts w:ascii="Times New Roman" w:hAnsi="Times New Roman"/>
                <w:color w:val="auto"/>
                <w:sz w:val="24"/>
                <w:highlight w:val="none"/>
              </w:rPr>
            </w:pPr>
            <w:r>
              <w:rPr>
                <w:rFonts w:hint="default" w:ascii="Times New Roman" w:hAnsi="Times New Roman" w:cs="Times New Roman"/>
                <w:color w:val="auto"/>
                <w:sz w:val="24"/>
                <w:highlight w:val="none"/>
              </w:rPr>
              <w:t>②</w:t>
            </w:r>
            <w:r>
              <w:rPr>
                <w:rFonts w:ascii="Times New Roman" w:hAnsi="Times New Roman"/>
                <w:color w:val="auto"/>
                <w:sz w:val="24"/>
                <w:highlight w:val="none"/>
              </w:rPr>
              <w:t>龙津河水环境综合整治等重点水利工程，19条县城黑臭水体整治；</w:t>
            </w:r>
          </w:p>
          <w:p>
            <w:pPr>
              <w:spacing w:line="300" w:lineRule="exact"/>
              <w:rPr>
                <w:rFonts w:ascii="Times New Roman" w:hAnsi="Times New Roman"/>
                <w:color w:val="auto"/>
                <w:sz w:val="24"/>
                <w:highlight w:val="none"/>
              </w:rPr>
            </w:pPr>
            <w:r>
              <w:rPr>
                <w:rFonts w:hint="default" w:ascii="Times New Roman" w:hAnsi="Times New Roman" w:cs="Times New Roman"/>
                <w:color w:val="auto"/>
                <w:sz w:val="24"/>
                <w:highlight w:val="none"/>
              </w:rPr>
              <w:t>③</w:t>
            </w:r>
            <w:r>
              <w:rPr>
                <w:rFonts w:ascii="Times New Roman" w:hAnsi="Times New Roman"/>
                <w:color w:val="auto"/>
                <w:sz w:val="24"/>
                <w:highlight w:val="none"/>
              </w:rPr>
              <w:t>确保地表水Ⅳ类及以上水体比例≥60%，构建水生态修复项目库。</w:t>
            </w:r>
          </w:p>
        </w:tc>
        <w:tc>
          <w:tcPr>
            <w:tcW w:w="1746" w:type="dxa"/>
            <w:vAlign w:val="center"/>
          </w:tcPr>
          <w:p>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县水务局</w:t>
            </w:r>
          </w:p>
          <w:p>
            <w:pPr>
              <w:spacing w:line="300" w:lineRule="exact"/>
              <w:jc w:val="center"/>
              <w:rPr>
                <w:rFonts w:ascii="Times New Roman" w:hAnsi="Times New Roman"/>
                <w:color w:val="auto"/>
                <w:kern w:val="0"/>
                <w:sz w:val="24"/>
                <w:highlight w:val="none"/>
              </w:rPr>
            </w:pPr>
            <w:r>
              <w:rPr>
                <w:rFonts w:hint="eastAsia" w:ascii="Times New Roman" w:hAnsi="Times New Roman"/>
                <w:color w:val="auto"/>
                <w:kern w:val="0"/>
                <w:sz w:val="24"/>
                <w:highlight w:val="none"/>
                <w:lang w:val="en-US" w:eastAsia="zh-CN"/>
              </w:rPr>
              <w:t>市</w:t>
            </w:r>
            <w:r>
              <w:rPr>
                <w:rFonts w:hint="eastAsia" w:ascii="Times New Roman" w:hAnsi="Times New Roman"/>
                <w:color w:val="auto"/>
                <w:kern w:val="0"/>
                <w:sz w:val="24"/>
                <w:highlight w:val="none"/>
                <w:lang w:eastAsia="zh-CN"/>
              </w:rPr>
              <w:t>生态环境局</w:t>
            </w:r>
            <w:r>
              <w:rPr>
                <w:rFonts w:ascii="Times New Roman" w:hAnsi="Times New Roman"/>
                <w:color w:val="auto"/>
                <w:kern w:val="0"/>
                <w:sz w:val="24"/>
                <w:highlight w:val="none"/>
              </w:rPr>
              <w:t>海丰分局</w:t>
            </w:r>
          </w:p>
        </w:tc>
        <w:tc>
          <w:tcPr>
            <w:tcW w:w="870" w:type="dxa"/>
            <w:vAlign w:val="center"/>
          </w:tcPr>
          <w:p>
            <w:pPr>
              <w:jc w:val="center"/>
              <w:rPr>
                <w:rFonts w:ascii="Times New Roman" w:hAnsi="Times New Roman"/>
                <w:color w:val="auto"/>
                <w:kern w:val="0"/>
                <w:sz w:val="24"/>
                <w:highlight w:val="none"/>
              </w:rPr>
            </w:pPr>
            <w:r>
              <w:rPr>
                <w:rFonts w:hint="eastAsia" w:ascii="Times New Roman" w:hAnsi="Times New Roman"/>
                <w:color w:val="auto"/>
                <w:kern w:val="0"/>
                <w:sz w:val="24"/>
                <w:highlight w:val="none"/>
                <w:lang w:bidi="ar"/>
              </w:rPr>
              <w:t>提升项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30、35</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2021年6月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3</w:t>
            </w:r>
          </w:p>
        </w:tc>
        <w:tc>
          <w:tcPr>
            <w:tcW w:w="1306" w:type="dxa"/>
            <w:vAlign w:val="center"/>
          </w:tcPr>
          <w:p>
            <w:pPr>
              <w:spacing w:line="300" w:lineRule="exact"/>
              <w:rPr>
                <w:rFonts w:ascii="Times New Roman" w:hAnsi="Times New Roman"/>
                <w:color w:val="auto"/>
                <w:kern w:val="0"/>
                <w:sz w:val="24"/>
                <w:highlight w:val="none"/>
              </w:rPr>
            </w:pPr>
            <w:r>
              <w:rPr>
                <w:rFonts w:ascii="Times New Roman" w:hAnsi="Times New Roman"/>
                <w:color w:val="auto"/>
                <w:sz w:val="24"/>
                <w:highlight w:val="none"/>
              </w:rPr>
              <w:t>碧道建设</w:t>
            </w:r>
          </w:p>
        </w:tc>
        <w:tc>
          <w:tcPr>
            <w:tcW w:w="2451" w:type="dxa"/>
            <w:vAlign w:val="center"/>
          </w:tcPr>
          <w:p>
            <w:pPr>
              <w:spacing w:line="300" w:lineRule="exact"/>
              <w:rPr>
                <w:rFonts w:ascii="Times New Roman" w:hAnsi="Times New Roman"/>
                <w:color w:val="auto"/>
                <w:kern w:val="0"/>
                <w:sz w:val="24"/>
                <w:highlight w:val="none"/>
              </w:rPr>
            </w:pPr>
            <w:r>
              <w:rPr>
                <w:rFonts w:ascii="Times New Roman" w:hAnsi="Times New Roman"/>
                <w:color w:val="auto"/>
                <w:sz w:val="24"/>
                <w:highlight w:val="none"/>
              </w:rPr>
              <w:t>完成</w:t>
            </w:r>
            <w:r>
              <w:rPr>
                <w:rFonts w:hint="eastAsia" w:ascii="Times New Roman" w:hAnsi="Times New Roman"/>
                <w:color w:val="auto"/>
                <w:sz w:val="24"/>
                <w:highlight w:val="none"/>
                <w:lang w:val="en-US" w:eastAsia="zh-CN"/>
              </w:rPr>
              <w:t>8</w:t>
            </w:r>
            <w:r>
              <w:rPr>
                <w:rFonts w:ascii="Times New Roman" w:hAnsi="Times New Roman"/>
                <w:color w:val="auto"/>
                <w:sz w:val="24"/>
                <w:highlight w:val="none"/>
              </w:rPr>
              <w:t>公里黄江河碧道海丰县段-1、1</w:t>
            </w:r>
            <w:r>
              <w:rPr>
                <w:rFonts w:hint="eastAsia" w:ascii="Times New Roman" w:hAnsi="Times New Roman"/>
                <w:color w:val="auto"/>
                <w:sz w:val="24"/>
                <w:highlight w:val="none"/>
                <w:lang w:val="en-US" w:eastAsia="zh-CN"/>
              </w:rPr>
              <w:t>3</w:t>
            </w:r>
            <w:r>
              <w:rPr>
                <w:rFonts w:ascii="Times New Roman" w:hAnsi="Times New Roman"/>
                <w:color w:val="auto"/>
                <w:sz w:val="24"/>
                <w:highlight w:val="none"/>
              </w:rPr>
              <w:t>公里龙津河碧道和1</w:t>
            </w:r>
            <w:r>
              <w:rPr>
                <w:rFonts w:hint="eastAsia" w:ascii="Times New Roman" w:hAnsi="Times New Roman"/>
                <w:color w:val="auto"/>
                <w:sz w:val="24"/>
                <w:highlight w:val="none"/>
                <w:lang w:val="en-US" w:eastAsia="zh-CN"/>
              </w:rPr>
              <w:t>8</w:t>
            </w:r>
            <w:r>
              <w:rPr>
                <w:rFonts w:ascii="Times New Roman" w:hAnsi="Times New Roman"/>
                <w:color w:val="auto"/>
                <w:sz w:val="24"/>
                <w:highlight w:val="none"/>
              </w:rPr>
              <w:t>公里大液河碧道建设</w:t>
            </w:r>
          </w:p>
        </w:tc>
        <w:tc>
          <w:tcPr>
            <w:tcW w:w="1746" w:type="dxa"/>
            <w:vAlign w:val="center"/>
          </w:tcPr>
          <w:p>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县水务局</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提升项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30</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2021年</w:t>
            </w:r>
            <w:r>
              <w:rPr>
                <w:rFonts w:hint="eastAsia" w:ascii="Times New Roman" w:hAnsi="Times New Roman"/>
                <w:bCs/>
                <w:color w:val="auto"/>
                <w:kern w:val="0"/>
                <w:sz w:val="24"/>
                <w:highlight w:val="none"/>
                <w:lang w:eastAsia="zh-CN"/>
              </w:rPr>
              <w:t>9</w:t>
            </w:r>
            <w:r>
              <w:rPr>
                <w:rFonts w:ascii="Times New Roman" w:hAnsi="Times New Roman"/>
                <w:bCs/>
                <w:color w:val="auto"/>
                <w:kern w:val="0"/>
                <w:sz w:val="24"/>
                <w:highlight w:val="none"/>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4</w:t>
            </w:r>
          </w:p>
        </w:tc>
        <w:tc>
          <w:tcPr>
            <w:tcW w:w="1306" w:type="dxa"/>
            <w:vAlign w:val="center"/>
          </w:tcPr>
          <w:p>
            <w:pPr>
              <w:spacing w:line="300" w:lineRule="exact"/>
              <w:jc w:val="left"/>
              <w:rPr>
                <w:rFonts w:ascii="Times New Roman" w:hAnsi="Times New Roman"/>
                <w:color w:val="auto"/>
                <w:kern w:val="0"/>
                <w:sz w:val="24"/>
                <w:highlight w:val="none"/>
              </w:rPr>
            </w:pPr>
            <w:r>
              <w:rPr>
                <w:rFonts w:ascii="Times New Roman" w:hAnsi="Times New Roman"/>
                <w:color w:val="auto"/>
                <w:sz w:val="24"/>
                <w:highlight w:val="none"/>
              </w:rPr>
              <w:t>山体保护</w:t>
            </w:r>
          </w:p>
        </w:tc>
        <w:tc>
          <w:tcPr>
            <w:tcW w:w="2451" w:type="dxa"/>
            <w:vAlign w:val="center"/>
          </w:tcPr>
          <w:p>
            <w:pPr>
              <w:spacing w:line="300" w:lineRule="exact"/>
              <w:rPr>
                <w:rFonts w:ascii="Times New Roman" w:hAnsi="Times New Roman"/>
                <w:color w:val="auto"/>
                <w:kern w:val="0"/>
                <w:sz w:val="24"/>
                <w:highlight w:val="none"/>
              </w:rPr>
            </w:pPr>
            <w:r>
              <w:rPr>
                <w:rFonts w:ascii="Times New Roman" w:hAnsi="Times New Roman"/>
                <w:color w:val="auto"/>
                <w:sz w:val="24"/>
                <w:highlight w:val="none"/>
              </w:rPr>
              <w:t>山体无违法违规开山取石、采矿及随意推山取平等现象，并对受损山体进行生态修复，构建山体生态修复项目库</w:t>
            </w:r>
          </w:p>
        </w:tc>
        <w:tc>
          <w:tcPr>
            <w:tcW w:w="1746" w:type="dxa"/>
            <w:vAlign w:val="center"/>
          </w:tcPr>
          <w:p>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县自然资源局</w:t>
            </w:r>
          </w:p>
        </w:tc>
        <w:tc>
          <w:tcPr>
            <w:tcW w:w="870" w:type="dxa"/>
            <w:vAlign w:val="center"/>
          </w:tcPr>
          <w:p>
            <w:pPr>
              <w:jc w:val="center"/>
              <w:rPr>
                <w:rFonts w:ascii="Times New Roman" w:hAnsi="Times New Roman"/>
                <w:color w:val="auto"/>
                <w:kern w:val="0"/>
                <w:sz w:val="24"/>
                <w:highlight w:val="none"/>
              </w:rPr>
            </w:pPr>
            <w:r>
              <w:rPr>
                <w:rFonts w:hint="eastAsia" w:ascii="Times New Roman" w:hAnsi="Times New Roman"/>
                <w:color w:val="auto"/>
                <w:kern w:val="0"/>
                <w:sz w:val="24"/>
                <w:highlight w:val="none"/>
                <w:lang w:bidi="ar"/>
              </w:rPr>
              <w:t>提升项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30</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lang w:eastAsia="zh-CN"/>
              </w:rPr>
              <w:t>9</w:t>
            </w:r>
            <w:r>
              <w:rPr>
                <w:rFonts w:ascii="Times New Roman" w:hAnsi="Times New Roman"/>
                <w:bCs/>
                <w:color w:val="auto"/>
                <w:kern w:val="0"/>
                <w:sz w:val="24"/>
                <w:highlight w:val="none"/>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8" w:hRule="atLeast"/>
          <w:jc w:val="center"/>
        </w:trPr>
        <w:tc>
          <w:tcPr>
            <w:tcW w:w="4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5</w:t>
            </w:r>
          </w:p>
        </w:tc>
        <w:tc>
          <w:tcPr>
            <w:tcW w:w="1306" w:type="dxa"/>
            <w:vAlign w:val="center"/>
          </w:tcPr>
          <w:p>
            <w:pPr>
              <w:spacing w:line="300" w:lineRule="exact"/>
              <w:jc w:val="left"/>
              <w:rPr>
                <w:rFonts w:ascii="Times New Roman" w:hAnsi="Times New Roman"/>
                <w:color w:val="auto"/>
                <w:sz w:val="24"/>
                <w:highlight w:val="none"/>
              </w:rPr>
            </w:pPr>
            <w:r>
              <w:rPr>
                <w:rFonts w:ascii="Times New Roman" w:hAnsi="Times New Roman"/>
                <w:color w:val="auto"/>
                <w:sz w:val="24"/>
                <w:highlight w:val="none"/>
              </w:rPr>
              <w:t>森林质量提升</w:t>
            </w:r>
          </w:p>
        </w:tc>
        <w:tc>
          <w:tcPr>
            <w:tcW w:w="2451" w:type="dxa"/>
            <w:vAlign w:val="center"/>
          </w:tcPr>
          <w:p>
            <w:pPr>
              <w:spacing w:line="300" w:lineRule="exact"/>
              <w:rPr>
                <w:rFonts w:ascii="Times New Roman" w:hAnsi="Times New Roman"/>
                <w:color w:val="auto"/>
                <w:sz w:val="24"/>
                <w:highlight w:val="none"/>
              </w:rPr>
            </w:pPr>
            <w:r>
              <w:rPr>
                <w:rFonts w:hint="eastAsia" w:ascii="Times New Roman" w:hAnsi="Times New Roman"/>
                <w:color w:val="auto"/>
                <w:sz w:val="24"/>
                <w:highlight w:val="none"/>
              </w:rPr>
              <w:t>继续推进海丰县森林碳汇重点生态工程造林项目、森林碳汇林抚育、沿海防护林体系建设项目，并持续推进生物防火林带建设和林业有害生物治理。</w:t>
            </w:r>
          </w:p>
        </w:tc>
        <w:tc>
          <w:tcPr>
            <w:tcW w:w="1746" w:type="dxa"/>
            <w:vAlign w:val="center"/>
          </w:tcPr>
          <w:p>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县林业局</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提升项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30</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2021年6月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1" w:hRule="atLeast"/>
          <w:jc w:val="center"/>
        </w:trPr>
        <w:tc>
          <w:tcPr>
            <w:tcW w:w="4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6</w:t>
            </w:r>
          </w:p>
        </w:tc>
        <w:tc>
          <w:tcPr>
            <w:tcW w:w="1306" w:type="dxa"/>
            <w:vAlign w:val="center"/>
          </w:tcPr>
          <w:p>
            <w:pPr>
              <w:spacing w:line="300" w:lineRule="exact"/>
              <w:jc w:val="left"/>
              <w:rPr>
                <w:rFonts w:ascii="Times New Roman" w:hAnsi="Times New Roman"/>
                <w:color w:val="auto"/>
                <w:sz w:val="24"/>
                <w:highlight w:val="none"/>
              </w:rPr>
            </w:pPr>
            <w:r>
              <w:rPr>
                <w:rFonts w:ascii="Times New Roman" w:hAnsi="Times New Roman"/>
                <w:color w:val="auto"/>
                <w:sz w:val="24"/>
                <w:highlight w:val="none"/>
              </w:rPr>
              <w:t>蓝天行动</w:t>
            </w:r>
          </w:p>
        </w:tc>
        <w:tc>
          <w:tcPr>
            <w:tcW w:w="2451" w:type="dxa"/>
            <w:vAlign w:val="center"/>
          </w:tcPr>
          <w:p>
            <w:pPr>
              <w:spacing w:line="300" w:lineRule="exact"/>
              <w:rPr>
                <w:rFonts w:ascii="Times New Roman" w:hAnsi="Times New Roman"/>
                <w:color w:val="auto"/>
                <w:sz w:val="24"/>
                <w:highlight w:val="none"/>
              </w:rPr>
            </w:pPr>
            <w:r>
              <w:rPr>
                <w:rFonts w:ascii="Times New Roman" w:hAnsi="Times New Roman"/>
                <w:color w:val="auto"/>
                <w:sz w:val="24"/>
                <w:highlight w:val="none"/>
              </w:rPr>
              <w:t>持续开展</w:t>
            </w:r>
            <w:r>
              <w:rPr>
                <w:rFonts w:hint="eastAsia" w:ascii="Times New Roman" w:hAnsi="Times New Roman"/>
                <w:color w:val="auto"/>
                <w:sz w:val="24"/>
                <w:highlight w:val="none"/>
              </w:rPr>
              <w:t>“</w:t>
            </w:r>
            <w:r>
              <w:rPr>
                <w:rFonts w:ascii="Times New Roman" w:hAnsi="Times New Roman"/>
                <w:color w:val="auto"/>
                <w:sz w:val="24"/>
                <w:highlight w:val="none"/>
              </w:rPr>
              <w:t>散乱污</w:t>
            </w:r>
            <w:r>
              <w:rPr>
                <w:rFonts w:hint="eastAsia" w:ascii="Times New Roman" w:hAnsi="Times New Roman"/>
                <w:color w:val="auto"/>
                <w:sz w:val="24"/>
                <w:highlight w:val="none"/>
              </w:rPr>
              <w:t>”</w:t>
            </w:r>
            <w:r>
              <w:rPr>
                <w:rFonts w:ascii="Times New Roman" w:hAnsi="Times New Roman"/>
                <w:color w:val="auto"/>
                <w:sz w:val="24"/>
                <w:highlight w:val="none"/>
              </w:rPr>
              <w:t>工业企业（场所）综合整治，全面禁止露天焚烧，加快绿色公交、新能源出租车全覆盖，落实挥发性有机物整治工作。</w:t>
            </w:r>
          </w:p>
        </w:tc>
        <w:tc>
          <w:tcPr>
            <w:tcW w:w="1746" w:type="dxa"/>
            <w:vAlign w:val="center"/>
          </w:tcPr>
          <w:p>
            <w:pPr>
              <w:spacing w:line="300" w:lineRule="exact"/>
              <w:jc w:val="center"/>
              <w:rPr>
                <w:rFonts w:ascii="Times New Roman" w:hAnsi="Times New Roman"/>
                <w:color w:val="auto"/>
                <w:kern w:val="0"/>
                <w:sz w:val="24"/>
                <w:highlight w:val="none"/>
              </w:rPr>
            </w:pPr>
            <w:r>
              <w:rPr>
                <w:rFonts w:hint="eastAsia" w:ascii="Times New Roman" w:hAnsi="Times New Roman"/>
                <w:color w:val="auto"/>
                <w:kern w:val="0"/>
                <w:sz w:val="24"/>
                <w:highlight w:val="none"/>
                <w:lang w:val="en-US" w:eastAsia="zh-CN"/>
              </w:rPr>
              <w:t>市</w:t>
            </w:r>
            <w:r>
              <w:rPr>
                <w:rFonts w:hint="eastAsia" w:ascii="Times New Roman" w:hAnsi="Times New Roman"/>
                <w:color w:val="auto"/>
                <w:kern w:val="0"/>
                <w:sz w:val="24"/>
                <w:highlight w:val="none"/>
                <w:lang w:eastAsia="zh-CN"/>
              </w:rPr>
              <w:t>生态环境局</w:t>
            </w:r>
            <w:r>
              <w:rPr>
                <w:rFonts w:ascii="Times New Roman" w:hAnsi="Times New Roman"/>
                <w:color w:val="auto"/>
                <w:kern w:val="0"/>
                <w:sz w:val="24"/>
                <w:highlight w:val="none"/>
              </w:rPr>
              <w:t>海丰分局</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提升项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34</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2021年1月</w:t>
            </w:r>
          </w:p>
        </w:tc>
      </w:tr>
    </w:tbl>
    <w:p>
      <w:pPr>
        <w:rPr>
          <w:rFonts w:ascii="Times New Roman" w:hAnsi="Times New Roman"/>
          <w:color w:val="auto"/>
          <w:highlight w:val="none"/>
        </w:rPr>
      </w:pPr>
    </w:p>
    <w:p>
      <w:pPr>
        <w:pStyle w:val="5"/>
        <w:rPr>
          <w:rFonts w:ascii="Times New Roman" w:hAnsi="Times New Roman" w:eastAsia="宋体"/>
          <w:bCs/>
          <w:color w:val="auto"/>
          <w:highlight w:val="none"/>
        </w:rPr>
      </w:pPr>
      <w:bookmarkStart w:id="172" w:name="_Toc31542"/>
      <w:bookmarkStart w:id="173" w:name="_Toc15037"/>
      <w:bookmarkStart w:id="174" w:name="_Toc15319"/>
      <w:bookmarkStart w:id="175" w:name="_Toc21123"/>
      <w:bookmarkStart w:id="176" w:name="_Toc10408"/>
      <w:bookmarkStart w:id="177" w:name="_Toc8773"/>
      <w:r>
        <w:rPr>
          <w:rFonts w:ascii="Times New Roman" w:hAnsi="Times New Roman" w:eastAsia="宋体"/>
          <w:bCs/>
          <w:color w:val="auto"/>
          <w:highlight w:val="none"/>
        </w:rPr>
        <w:t>4.4 行动四：城市管理，创建环保、便捷县城</w:t>
      </w:r>
      <w:bookmarkEnd w:id="172"/>
      <w:bookmarkEnd w:id="173"/>
      <w:bookmarkEnd w:id="174"/>
      <w:bookmarkEnd w:id="175"/>
      <w:bookmarkEnd w:id="176"/>
      <w:bookmarkEnd w:id="177"/>
    </w:p>
    <w:p>
      <w:pPr>
        <w:pStyle w:val="6"/>
        <w:rPr>
          <w:rFonts w:ascii="Times New Roman" w:hAnsi="Times New Roman"/>
          <w:color w:val="auto"/>
          <w:highlight w:val="none"/>
        </w:rPr>
      </w:pPr>
      <w:bookmarkStart w:id="178" w:name="_Toc60776356"/>
      <w:bookmarkStart w:id="179" w:name="_Toc8261"/>
      <w:r>
        <w:rPr>
          <w:rFonts w:ascii="Times New Roman" w:hAnsi="Times New Roman"/>
          <w:color w:val="auto"/>
          <w:highlight w:val="none"/>
        </w:rPr>
        <w:t>4.4.1 县城美化，提升县容县貌</w:t>
      </w:r>
      <w:bookmarkEnd w:id="178"/>
      <w:bookmarkEnd w:id="179"/>
    </w:p>
    <w:p>
      <w:pPr>
        <w:rPr>
          <w:rFonts w:ascii="Times New Roman" w:hAnsi="Times New Roman"/>
          <w:b/>
          <w:bCs/>
          <w:color w:val="auto"/>
          <w:sz w:val="28"/>
          <w:szCs w:val="28"/>
          <w:highlight w:val="none"/>
        </w:rPr>
      </w:pPr>
      <w:r>
        <w:rPr>
          <w:rFonts w:hint="eastAsia" w:ascii="Times New Roman" w:hAnsi="Times New Roman"/>
          <w:b/>
          <w:bCs/>
          <w:color w:val="auto"/>
          <w:sz w:val="28"/>
          <w:szCs w:val="28"/>
          <w:highlight w:val="none"/>
        </w:rPr>
        <w:t>（</w:t>
      </w:r>
      <w:r>
        <w:rPr>
          <w:rFonts w:ascii="Times New Roman" w:hAnsi="Times New Roman"/>
          <w:b/>
          <w:bCs/>
          <w:color w:val="auto"/>
          <w:sz w:val="28"/>
          <w:szCs w:val="28"/>
          <w:highlight w:val="none"/>
        </w:rPr>
        <w:t>1</w:t>
      </w:r>
      <w:r>
        <w:rPr>
          <w:rFonts w:hint="eastAsia" w:ascii="Times New Roman" w:hAnsi="Times New Roman"/>
          <w:b/>
          <w:bCs/>
          <w:color w:val="auto"/>
          <w:sz w:val="28"/>
          <w:szCs w:val="28"/>
          <w:highlight w:val="none"/>
        </w:rPr>
        <w:t>）加强污水处理能力</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2019年，海丰县的年污水排放量为2501.6万吨，处理量约为2286万吨，污水处理率为91.4%。污水处理率已经达到广东省园林县城标准（85%）。为使“县城污水处理”成为海丰县创建省园林县城中一项特色指标，海丰县应加快县城污水处理厂提标升级工作以及第二污水处理厂和梅陇镇区污水收集管网建设工作，进一步加强污水处理能力。</w:t>
      </w:r>
    </w:p>
    <w:p>
      <w:pPr>
        <w:rPr>
          <w:rFonts w:ascii="Times New Roman" w:hAnsi="Times New Roman"/>
          <w:b/>
          <w:bCs/>
          <w:color w:val="auto"/>
          <w:sz w:val="28"/>
          <w:szCs w:val="28"/>
          <w:highlight w:val="none"/>
        </w:rPr>
      </w:pPr>
      <w:r>
        <w:rPr>
          <w:rFonts w:hint="eastAsia" w:ascii="Times New Roman" w:hAnsi="Times New Roman"/>
          <w:b/>
          <w:bCs/>
          <w:color w:val="auto"/>
          <w:sz w:val="28"/>
          <w:szCs w:val="28"/>
          <w:highlight w:val="none"/>
        </w:rPr>
        <w:t>（</w:t>
      </w:r>
      <w:r>
        <w:rPr>
          <w:rFonts w:ascii="Times New Roman" w:hAnsi="Times New Roman"/>
          <w:b/>
          <w:bCs/>
          <w:color w:val="auto"/>
          <w:sz w:val="28"/>
          <w:szCs w:val="28"/>
          <w:highlight w:val="none"/>
        </w:rPr>
        <w:t>2</w:t>
      </w:r>
      <w:r>
        <w:rPr>
          <w:rFonts w:hint="eastAsia" w:ascii="Times New Roman" w:hAnsi="Times New Roman"/>
          <w:b/>
          <w:bCs/>
          <w:color w:val="auto"/>
          <w:sz w:val="28"/>
          <w:szCs w:val="28"/>
          <w:highlight w:val="none"/>
        </w:rPr>
        <w:t>）加强生活垃圾处理能力</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2019年，海丰县生活垃圾清运量为169628.19吨，全部进行无害化处理。其中运往三峰处理58261.84吨，运往陆丰处理111366.35吨，处理率100%。海丰县生活垃圾无害化处理率已达到广东省园林县城标准，应进一步进行提质工作，主要内容有：</w:t>
      </w:r>
    </w:p>
    <w:p>
      <w:pPr>
        <w:ind w:firstLine="562" w:firstLineChars="200"/>
        <w:rPr>
          <w:rFonts w:ascii="Times New Roman" w:hAnsi="Times New Roman"/>
          <w:color w:val="auto"/>
          <w:sz w:val="28"/>
          <w:szCs w:val="28"/>
          <w:highlight w:val="none"/>
        </w:rPr>
      </w:pPr>
      <w:r>
        <w:rPr>
          <w:rFonts w:ascii="Times New Roman" w:hAnsi="Times New Roman"/>
          <w:b/>
          <w:bCs/>
          <w:color w:val="auto"/>
          <w:sz w:val="28"/>
          <w:szCs w:val="28"/>
          <w:highlight w:val="none"/>
        </w:rPr>
        <w:t>继续完善生活垃圾收运处理体系</w:t>
      </w:r>
      <w:r>
        <w:rPr>
          <w:rFonts w:ascii="Times New Roman" w:hAnsi="Times New Roman"/>
          <w:color w:val="auto"/>
          <w:sz w:val="28"/>
          <w:szCs w:val="28"/>
          <w:highlight w:val="none"/>
        </w:rPr>
        <w:t>。贯彻落实县委</w:t>
      </w:r>
      <w:r>
        <w:rPr>
          <w:rFonts w:hint="eastAsia" w:ascii="Times New Roman" w:hAnsi="Times New Roman"/>
          <w:color w:val="auto"/>
          <w:sz w:val="28"/>
          <w:szCs w:val="28"/>
          <w:highlight w:val="none"/>
          <w:lang w:eastAsia="zh-CN"/>
        </w:rPr>
        <w:t>、</w:t>
      </w:r>
      <w:r>
        <w:rPr>
          <w:rFonts w:ascii="Times New Roman" w:hAnsi="Times New Roman"/>
          <w:color w:val="auto"/>
          <w:sz w:val="28"/>
          <w:szCs w:val="28"/>
          <w:highlight w:val="none"/>
        </w:rPr>
        <w:t>县政府关于生活垃圾处理的工作部署，全面完成垃圾收集“一县一场、一镇一站、一村一点”建设，继续完善“县统筹镇、镇统筹村”的农村生活垃圾收运处理体系。</w:t>
      </w:r>
    </w:p>
    <w:p>
      <w:pPr>
        <w:ind w:firstLine="562" w:firstLineChars="200"/>
        <w:rPr>
          <w:rFonts w:ascii="Times New Roman" w:hAnsi="Times New Roman"/>
          <w:color w:val="auto"/>
          <w:sz w:val="28"/>
          <w:szCs w:val="28"/>
          <w:highlight w:val="none"/>
        </w:rPr>
      </w:pPr>
      <w:r>
        <w:rPr>
          <w:rFonts w:ascii="Times New Roman" w:hAnsi="Times New Roman"/>
          <w:b/>
          <w:bCs/>
          <w:color w:val="auto"/>
          <w:sz w:val="28"/>
          <w:szCs w:val="28"/>
          <w:highlight w:val="none"/>
        </w:rPr>
        <w:t>继续加强垃圾分类工作力度</w:t>
      </w:r>
      <w:r>
        <w:rPr>
          <w:rFonts w:ascii="Times New Roman" w:hAnsi="Times New Roman"/>
          <w:color w:val="auto"/>
          <w:sz w:val="28"/>
          <w:szCs w:val="28"/>
          <w:highlight w:val="none"/>
        </w:rPr>
        <w:t>。为推动</w:t>
      </w:r>
      <w:r>
        <w:rPr>
          <w:rFonts w:hint="eastAsia" w:ascii="Times New Roman" w:hAnsi="Times New Roman"/>
          <w:color w:val="auto"/>
          <w:sz w:val="28"/>
          <w:szCs w:val="28"/>
          <w:highlight w:val="none"/>
          <w:lang w:eastAsia="zh-CN"/>
        </w:rPr>
        <w:t>创建广东省园林县城</w:t>
      </w:r>
      <w:r>
        <w:rPr>
          <w:rFonts w:ascii="Times New Roman" w:hAnsi="Times New Roman"/>
          <w:color w:val="auto"/>
          <w:sz w:val="28"/>
          <w:szCs w:val="28"/>
          <w:highlight w:val="none"/>
        </w:rPr>
        <w:t>深入开展，建设干净整洁县城，2020年8月海丰县启动了垃圾分类工作。目前，已在县城三镇共建智能垃圾分类点8个，垃圾分类驿站21个，设置分类垃圾分类投放点240个，摆放分类垃圾桶960个，并在各垃圾驿站张贴了垃圾分类表，方便群众正确实施垃圾分类，垃圾分类效果良好。规划在县城范围内全面开展生活垃圾分类，回收有用资源，减少垃圾处理量，实现县城公共机构生活垃圾分类全覆盖。</w:t>
      </w:r>
    </w:p>
    <w:p>
      <w:pPr>
        <w:rPr>
          <w:rFonts w:ascii="Times New Roman" w:hAnsi="Times New Roman"/>
          <w:b/>
          <w:bCs/>
          <w:color w:val="auto"/>
          <w:sz w:val="28"/>
          <w:szCs w:val="28"/>
          <w:highlight w:val="none"/>
        </w:rPr>
      </w:pPr>
      <w:r>
        <w:rPr>
          <w:rFonts w:hint="eastAsia" w:ascii="Times New Roman" w:hAnsi="Times New Roman"/>
          <w:b/>
          <w:bCs/>
          <w:color w:val="auto"/>
          <w:sz w:val="28"/>
          <w:szCs w:val="28"/>
          <w:highlight w:val="none"/>
        </w:rPr>
        <w:t>（</w:t>
      </w:r>
      <w:r>
        <w:rPr>
          <w:rFonts w:ascii="Times New Roman" w:hAnsi="Times New Roman"/>
          <w:b/>
          <w:bCs/>
          <w:color w:val="auto"/>
          <w:sz w:val="28"/>
          <w:szCs w:val="28"/>
          <w:highlight w:val="none"/>
        </w:rPr>
        <w:t>3</w:t>
      </w:r>
      <w:r>
        <w:rPr>
          <w:rFonts w:hint="eastAsia" w:ascii="Times New Roman" w:hAnsi="Times New Roman"/>
          <w:b/>
          <w:bCs/>
          <w:color w:val="auto"/>
          <w:sz w:val="28"/>
          <w:szCs w:val="28"/>
          <w:highlight w:val="none"/>
        </w:rPr>
        <w:t>）加强县城秩序管理</w:t>
      </w:r>
    </w:p>
    <w:p>
      <w:pPr>
        <w:ind w:firstLine="562" w:firstLineChars="200"/>
        <w:rPr>
          <w:rFonts w:ascii="Times New Roman" w:hAnsi="Times New Roman"/>
          <w:color w:val="auto"/>
          <w:sz w:val="28"/>
          <w:szCs w:val="28"/>
          <w:highlight w:val="none"/>
        </w:rPr>
      </w:pPr>
      <w:r>
        <w:rPr>
          <w:rFonts w:ascii="Times New Roman" w:hAnsi="Times New Roman"/>
          <w:b/>
          <w:bCs/>
          <w:color w:val="auto"/>
          <w:sz w:val="28"/>
          <w:szCs w:val="28"/>
          <w:highlight w:val="none"/>
        </w:rPr>
        <w:t>继续推进“门前三包”工作</w:t>
      </w:r>
      <w:r>
        <w:rPr>
          <w:rFonts w:ascii="Times New Roman" w:hAnsi="Times New Roman"/>
          <w:color w:val="auto"/>
          <w:sz w:val="28"/>
          <w:szCs w:val="28"/>
          <w:highlight w:val="none"/>
        </w:rPr>
        <w:t>。2018年海丰县开始实行包环境卫生、包秩序、包绿化的“门前三包”工作。目前已和县城海珠社区、新桥社区等社区共7386户签订门前三包协议（责任告知书），做好责任区域内的环境卫生、秩序、绿化工作，取得良好的效果。为保证创广东园林县城期间县城保持整洁有序，海丰县需推进“门前三包”工作，确保县城商铺店面装饰、广告规范，无违章乱建、占道经营、乱丢弃、乱张贴、乱排放等现象。贯彻落实县委</w:t>
      </w:r>
      <w:r>
        <w:rPr>
          <w:rFonts w:hint="eastAsia" w:ascii="Times New Roman" w:hAnsi="Times New Roman"/>
          <w:color w:val="auto"/>
          <w:sz w:val="28"/>
          <w:szCs w:val="28"/>
          <w:highlight w:val="none"/>
          <w:lang w:eastAsia="zh-CN"/>
        </w:rPr>
        <w:t>、</w:t>
      </w:r>
      <w:r>
        <w:rPr>
          <w:rFonts w:ascii="Times New Roman" w:hAnsi="Times New Roman"/>
          <w:color w:val="auto"/>
          <w:sz w:val="28"/>
          <w:szCs w:val="28"/>
          <w:highlight w:val="none"/>
        </w:rPr>
        <w:t>县政府关于</w:t>
      </w:r>
      <w:r>
        <w:rPr>
          <w:rFonts w:hint="eastAsia" w:ascii="Times New Roman" w:hAnsi="Times New Roman"/>
          <w:color w:val="auto"/>
          <w:sz w:val="28"/>
          <w:szCs w:val="28"/>
          <w:highlight w:val="none"/>
          <w:lang w:eastAsia="zh-CN"/>
        </w:rPr>
        <w:t>创建广东省园林县城</w:t>
      </w:r>
      <w:r>
        <w:rPr>
          <w:rFonts w:ascii="Times New Roman" w:hAnsi="Times New Roman"/>
          <w:color w:val="auto"/>
          <w:sz w:val="28"/>
          <w:szCs w:val="28"/>
          <w:highlight w:val="none"/>
        </w:rPr>
        <w:t>工作部署，加快县城23万平方米主次干道和26万平方米背街小巷的硬底化建设，持续推进农贸市场、食品行业、“五小行业”、交通秩序、环境卫生等重点领域治理。</w:t>
      </w:r>
    </w:p>
    <w:p>
      <w:pPr>
        <w:ind w:firstLine="562" w:firstLineChars="200"/>
        <w:rPr>
          <w:rFonts w:ascii="Times New Roman" w:hAnsi="Times New Roman"/>
          <w:color w:val="auto"/>
          <w:sz w:val="28"/>
          <w:szCs w:val="28"/>
          <w:highlight w:val="none"/>
        </w:rPr>
      </w:pPr>
      <w:r>
        <w:rPr>
          <w:rFonts w:ascii="Times New Roman" w:hAnsi="Times New Roman"/>
          <w:b/>
          <w:bCs/>
          <w:color w:val="auto"/>
          <w:sz w:val="28"/>
          <w:szCs w:val="28"/>
          <w:highlight w:val="none"/>
        </w:rPr>
        <w:t>加强交通与停车管理</w:t>
      </w:r>
      <w:r>
        <w:rPr>
          <w:rFonts w:ascii="Times New Roman" w:hAnsi="Times New Roman"/>
          <w:color w:val="auto"/>
          <w:sz w:val="28"/>
          <w:szCs w:val="28"/>
          <w:highlight w:val="none"/>
        </w:rPr>
        <w:t>。深入开展交通整治，加强对无牌无证摩托车、三轮车的监管工作，确保县城交通安全管理有序。贯彻落实县委</w:t>
      </w:r>
      <w:r>
        <w:rPr>
          <w:rFonts w:hint="eastAsia" w:ascii="Times New Roman" w:hAnsi="Times New Roman"/>
          <w:color w:val="auto"/>
          <w:sz w:val="28"/>
          <w:szCs w:val="28"/>
          <w:highlight w:val="none"/>
          <w:lang w:eastAsia="zh-CN"/>
        </w:rPr>
        <w:t>、</w:t>
      </w:r>
      <w:bookmarkStart w:id="523" w:name="_GoBack"/>
      <w:bookmarkEnd w:id="523"/>
      <w:r>
        <w:rPr>
          <w:rFonts w:ascii="Times New Roman" w:hAnsi="Times New Roman"/>
          <w:color w:val="auto"/>
          <w:sz w:val="28"/>
          <w:szCs w:val="28"/>
          <w:highlight w:val="none"/>
        </w:rPr>
        <w:t>县政府工作部署，加快在县城建设2个公共停车场</w:t>
      </w:r>
      <w:r>
        <w:rPr>
          <w:rFonts w:hint="eastAsia" w:ascii="Times New Roman" w:hAnsi="Times New Roman"/>
          <w:color w:val="auto"/>
          <w:sz w:val="28"/>
          <w:szCs w:val="28"/>
          <w:highlight w:val="none"/>
          <w:lang w:val="en-US" w:eastAsia="zh-CN"/>
        </w:rPr>
        <w:t>约</w:t>
      </w:r>
      <w:r>
        <w:rPr>
          <w:rFonts w:ascii="Times New Roman" w:hAnsi="Times New Roman"/>
          <w:color w:val="auto"/>
          <w:sz w:val="28"/>
          <w:szCs w:val="28"/>
          <w:highlight w:val="none"/>
        </w:rPr>
        <w:t>1万个停车位</w:t>
      </w:r>
      <w:r>
        <w:rPr>
          <w:rFonts w:hint="eastAsia" w:ascii="Times New Roman" w:hAnsi="Times New Roman"/>
          <w:color w:val="auto"/>
          <w:sz w:val="28"/>
          <w:szCs w:val="28"/>
          <w:highlight w:val="none"/>
          <w:lang w:eastAsia="zh-CN"/>
        </w:rPr>
        <w:t>，</w:t>
      </w:r>
      <w:r>
        <w:rPr>
          <w:rFonts w:hint="eastAsia" w:ascii="Times New Roman" w:hAnsi="Times New Roman"/>
          <w:color w:val="auto"/>
          <w:sz w:val="28"/>
          <w:szCs w:val="28"/>
          <w:highlight w:val="none"/>
          <w:lang w:val="en-US" w:eastAsia="zh-CN"/>
        </w:rPr>
        <w:t>20个临时公共停车场，约3000个停车位</w:t>
      </w:r>
      <w:r>
        <w:rPr>
          <w:rFonts w:ascii="Times New Roman" w:hAnsi="Times New Roman"/>
          <w:color w:val="auto"/>
          <w:sz w:val="28"/>
          <w:szCs w:val="28"/>
          <w:highlight w:val="none"/>
        </w:rPr>
        <w:t>。</w:t>
      </w:r>
    </w:p>
    <w:p>
      <w:pPr>
        <w:jc w:val="center"/>
        <w:rPr>
          <w:rFonts w:ascii="Times New Roman" w:hAnsi="Times New Roman"/>
          <w:color w:val="auto"/>
          <w:sz w:val="28"/>
          <w:szCs w:val="28"/>
          <w:highlight w:val="none"/>
        </w:rPr>
      </w:pPr>
      <w:r>
        <w:rPr>
          <w:rFonts w:ascii="Times New Roman" w:hAnsi="Times New Roman"/>
          <w:b/>
          <w:bCs/>
          <w:color w:val="auto"/>
          <w:sz w:val="28"/>
          <w:szCs w:val="28"/>
          <w:highlight w:val="none"/>
        </w:rPr>
        <w:t>表4-</w:t>
      </w:r>
      <w:r>
        <w:rPr>
          <w:rFonts w:hint="eastAsia" w:ascii="Times New Roman" w:hAnsi="Times New Roman"/>
          <w:b/>
          <w:bCs/>
          <w:color w:val="auto"/>
          <w:sz w:val="28"/>
          <w:szCs w:val="28"/>
          <w:highlight w:val="none"/>
        </w:rPr>
        <w:t>4-1</w:t>
      </w:r>
      <w:r>
        <w:rPr>
          <w:rFonts w:ascii="Times New Roman" w:hAnsi="Times New Roman"/>
          <w:b/>
          <w:bCs/>
          <w:color w:val="auto"/>
          <w:sz w:val="28"/>
          <w:szCs w:val="28"/>
          <w:highlight w:val="none"/>
        </w:rPr>
        <w:t xml:space="preserve"> 海丰县城市美化行动方案</w:t>
      </w:r>
    </w:p>
    <w:tbl>
      <w:tblPr>
        <w:tblStyle w:val="20"/>
        <w:tblW w:w="85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6"/>
        <w:gridCol w:w="1306"/>
        <w:gridCol w:w="2451"/>
        <w:gridCol w:w="1746"/>
        <w:gridCol w:w="870"/>
        <w:gridCol w:w="870"/>
        <w:gridCol w:w="8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406"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序号</w:t>
            </w:r>
          </w:p>
        </w:tc>
        <w:tc>
          <w:tcPr>
            <w:tcW w:w="1306"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项目</w:t>
            </w:r>
          </w:p>
        </w:tc>
        <w:tc>
          <w:tcPr>
            <w:tcW w:w="2451"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内容</w:t>
            </w:r>
          </w:p>
        </w:tc>
        <w:tc>
          <w:tcPr>
            <w:tcW w:w="1746"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责任单位</w:t>
            </w:r>
          </w:p>
        </w:tc>
        <w:tc>
          <w:tcPr>
            <w:tcW w:w="870" w:type="dxa"/>
            <w:vAlign w:val="center"/>
          </w:tcPr>
          <w:p>
            <w:pPr>
              <w:jc w:val="center"/>
              <w:rPr>
                <w:rFonts w:ascii="Times New Roman" w:hAnsi="Times New Roman"/>
                <w:b/>
                <w:color w:val="auto"/>
                <w:kern w:val="0"/>
                <w:sz w:val="24"/>
                <w:highlight w:val="none"/>
              </w:rPr>
            </w:pPr>
            <w:r>
              <w:rPr>
                <w:rFonts w:hint="eastAsia" w:ascii="Times New Roman" w:hAnsi="Times New Roman"/>
                <w:b/>
                <w:color w:val="auto"/>
                <w:kern w:val="0"/>
                <w:sz w:val="24"/>
                <w:highlight w:val="none"/>
              </w:rPr>
              <w:t>性质</w:t>
            </w:r>
          </w:p>
        </w:tc>
        <w:tc>
          <w:tcPr>
            <w:tcW w:w="870"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对应考核指标</w:t>
            </w:r>
          </w:p>
        </w:tc>
        <w:tc>
          <w:tcPr>
            <w:tcW w:w="871"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完成时间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9" w:hRule="atLeast"/>
          <w:jc w:val="center"/>
        </w:trPr>
        <w:tc>
          <w:tcPr>
            <w:tcW w:w="406" w:type="dxa"/>
            <w:vMerge w:val="restart"/>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1</w:t>
            </w:r>
          </w:p>
        </w:tc>
        <w:tc>
          <w:tcPr>
            <w:tcW w:w="1306" w:type="dxa"/>
            <w:vMerge w:val="restart"/>
            <w:vAlign w:val="center"/>
          </w:tcPr>
          <w:p>
            <w:pPr>
              <w:spacing w:line="300" w:lineRule="exact"/>
              <w:rPr>
                <w:rFonts w:ascii="Times New Roman" w:hAnsi="Times New Roman"/>
                <w:color w:val="auto"/>
                <w:kern w:val="0"/>
                <w:sz w:val="24"/>
                <w:highlight w:val="none"/>
              </w:rPr>
            </w:pPr>
            <w:r>
              <w:rPr>
                <w:rFonts w:ascii="Times New Roman" w:hAnsi="Times New Roman"/>
                <w:color w:val="auto"/>
                <w:kern w:val="0"/>
                <w:sz w:val="24"/>
                <w:highlight w:val="none"/>
              </w:rPr>
              <w:t>加强污水处理能力</w:t>
            </w:r>
          </w:p>
        </w:tc>
        <w:tc>
          <w:tcPr>
            <w:tcW w:w="2451" w:type="dxa"/>
            <w:vAlign w:val="center"/>
          </w:tcPr>
          <w:p>
            <w:pPr>
              <w:spacing w:line="300" w:lineRule="exact"/>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快县城污水处理厂提标升级工作以及第二污水处理厂和梅陇镇区污水收集管网建设工作；</w:t>
            </w:r>
          </w:p>
        </w:tc>
        <w:tc>
          <w:tcPr>
            <w:tcW w:w="1746" w:type="dxa"/>
            <w:vAlign w:val="center"/>
          </w:tcPr>
          <w:p>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县水务局</w:t>
            </w:r>
          </w:p>
          <w:p>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提升项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38</w:t>
            </w:r>
          </w:p>
        </w:tc>
        <w:tc>
          <w:tcPr>
            <w:tcW w:w="871"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1" w:hRule="atLeast"/>
          <w:jc w:val="center"/>
        </w:trPr>
        <w:tc>
          <w:tcPr>
            <w:tcW w:w="406" w:type="dxa"/>
            <w:vMerge w:val="continue"/>
            <w:vAlign w:val="center"/>
          </w:tcPr>
          <w:p>
            <w:pPr>
              <w:jc w:val="center"/>
              <w:rPr>
                <w:rFonts w:ascii="Times New Roman" w:hAnsi="Times New Roman"/>
                <w:color w:val="auto"/>
                <w:kern w:val="0"/>
                <w:sz w:val="24"/>
                <w:highlight w:val="none"/>
              </w:rPr>
            </w:pPr>
          </w:p>
        </w:tc>
        <w:tc>
          <w:tcPr>
            <w:tcW w:w="1306" w:type="dxa"/>
            <w:vMerge w:val="continue"/>
            <w:vAlign w:val="center"/>
          </w:tcPr>
          <w:p>
            <w:pPr>
              <w:spacing w:line="300" w:lineRule="exact"/>
              <w:rPr>
                <w:rFonts w:ascii="Times New Roman" w:hAnsi="Times New Roman"/>
                <w:color w:val="auto"/>
                <w:kern w:val="0"/>
                <w:sz w:val="24"/>
                <w:highlight w:val="none"/>
              </w:rPr>
            </w:pPr>
          </w:p>
        </w:tc>
        <w:tc>
          <w:tcPr>
            <w:tcW w:w="2451" w:type="dxa"/>
            <w:vAlign w:val="center"/>
          </w:tcPr>
          <w:p>
            <w:pPr>
              <w:spacing w:line="300" w:lineRule="exact"/>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确保县城污水处理率≥85%。</w:t>
            </w:r>
          </w:p>
          <w:p>
            <w:pPr>
              <w:spacing w:line="300" w:lineRule="exact"/>
              <w:rPr>
                <w:rFonts w:ascii="Times New Roman" w:hAnsi="Times New Roman"/>
                <w:color w:val="auto"/>
                <w:kern w:val="0"/>
                <w:sz w:val="24"/>
                <w:highlight w:val="none"/>
              </w:rPr>
            </w:pPr>
          </w:p>
        </w:tc>
        <w:tc>
          <w:tcPr>
            <w:tcW w:w="1746" w:type="dxa"/>
            <w:vAlign w:val="center"/>
          </w:tcPr>
          <w:p>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w:t>
            </w:r>
          </w:p>
          <w:p>
            <w:pPr>
              <w:spacing w:line="300" w:lineRule="exact"/>
              <w:jc w:val="center"/>
              <w:rPr>
                <w:rFonts w:ascii="Times New Roman" w:hAnsi="Times New Roman"/>
                <w:color w:val="auto"/>
                <w:kern w:val="0"/>
                <w:sz w:val="24"/>
                <w:highlight w:val="none"/>
              </w:rPr>
            </w:pPr>
          </w:p>
        </w:tc>
        <w:tc>
          <w:tcPr>
            <w:tcW w:w="870" w:type="dxa"/>
            <w:vAlign w:val="center"/>
          </w:tcPr>
          <w:p>
            <w:pPr>
              <w:jc w:val="center"/>
              <w:rPr>
                <w:rFonts w:ascii="Times New Roman" w:hAnsi="Times New Roman"/>
                <w:color w:val="auto"/>
                <w:kern w:val="0"/>
                <w:sz w:val="24"/>
                <w:highlight w:val="none"/>
              </w:rPr>
            </w:pPr>
            <w:r>
              <w:rPr>
                <w:rFonts w:hint="eastAsia" w:ascii="Times New Roman" w:hAnsi="Times New Roman"/>
                <w:color w:val="auto"/>
                <w:kern w:val="0"/>
                <w:sz w:val="24"/>
                <w:highlight w:val="none"/>
                <w:lang w:bidi="ar"/>
              </w:rPr>
              <w:t>提升项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38</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lang w:eastAsia="zh-CN"/>
              </w:rPr>
              <w:t>9</w:t>
            </w:r>
            <w:r>
              <w:rPr>
                <w:rFonts w:ascii="Times New Roman" w:hAnsi="Times New Roman"/>
                <w:bCs/>
                <w:color w:val="auto"/>
                <w:kern w:val="0"/>
                <w:sz w:val="24"/>
                <w:highlight w:val="none"/>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2</w:t>
            </w:r>
          </w:p>
        </w:tc>
        <w:tc>
          <w:tcPr>
            <w:tcW w:w="13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加强生活垃圾处理能力</w:t>
            </w:r>
          </w:p>
        </w:tc>
        <w:tc>
          <w:tcPr>
            <w:tcW w:w="2451" w:type="dxa"/>
            <w:vAlign w:val="center"/>
          </w:tcPr>
          <w:p>
            <w:pPr>
              <w:spacing w:line="300" w:lineRule="exact"/>
              <w:rPr>
                <w:rFonts w:ascii="Times New Roman" w:hAnsi="Times New Roman"/>
                <w:color w:val="auto"/>
                <w:sz w:val="24"/>
                <w:highlight w:val="none"/>
              </w:rPr>
            </w:pPr>
            <w:r>
              <w:rPr>
                <w:rFonts w:hint="default" w:ascii="Times New Roman" w:hAnsi="Times New Roman" w:cs="Times New Roman"/>
                <w:color w:val="auto"/>
                <w:sz w:val="24"/>
                <w:highlight w:val="none"/>
              </w:rPr>
              <w:t>①</w:t>
            </w:r>
            <w:r>
              <w:rPr>
                <w:rFonts w:ascii="Times New Roman" w:hAnsi="Times New Roman"/>
                <w:color w:val="auto"/>
                <w:kern w:val="0"/>
                <w:sz w:val="24"/>
                <w:highlight w:val="none"/>
              </w:rPr>
              <w:t>完善生活垃圾收运处理体系</w:t>
            </w:r>
            <w:r>
              <w:rPr>
                <w:rFonts w:ascii="Times New Roman" w:hAnsi="Times New Roman"/>
                <w:color w:val="auto"/>
                <w:sz w:val="24"/>
                <w:highlight w:val="none"/>
              </w:rPr>
              <w:t>；</w:t>
            </w:r>
          </w:p>
          <w:p>
            <w:pPr>
              <w:spacing w:line="300" w:lineRule="exact"/>
              <w:rPr>
                <w:rFonts w:ascii="Times New Roman" w:hAnsi="Times New Roman"/>
                <w:color w:val="auto"/>
                <w:sz w:val="24"/>
                <w:highlight w:val="none"/>
              </w:rPr>
            </w:pPr>
            <w:r>
              <w:rPr>
                <w:rFonts w:hint="default" w:ascii="Times New Roman" w:hAnsi="Times New Roman" w:cs="Times New Roman"/>
                <w:color w:val="auto"/>
                <w:sz w:val="24"/>
                <w:highlight w:val="none"/>
              </w:rPr>
              <w:t>②</w:t>
            </w:r>
            <w:r>
              <w:rPr>
                <w:rFonts w:ascii="Times New Roman" w:hAnsi="Times New Roman"/>
                <w:color w:val="auto"/>
                <w:sz w:val="24"/>
                <w:highlight w:val="none"/>
              </w:rPr>
              <w:t>加强垃圾分类工作力度；</w:t>
            </w:r>
          </w:p>
          <w:p>
            <w:pPr>
              <w:spacing w:line="300" w:lineRule="exact"/>
              <w:rPr>
                <w:rFonts w:ascii="Times New Roman" w:hAnsi="Times New Roman"/>
                <w:color w:val="auto"/>
                <w:sz w:val="24"/>
                <w:highlight w:val="none"/>
              </w:rPr>
            </w:pPr>
            <w:r>
              <w:rPr>
                <w:rFonts w:hint="default" w:ascii="Times New Roman" w:hAnsi="Times New Roman" w:cs="Times New Roman"/>
                <w:color w:val="auto"/>
                <w:sz w:val="24"/>
                <w:highlight w:val="none"/>
              </w:rPr>
              <w:t>③</w:t>
            </w:r>
            <w:r>
              <w:rPr>
                <w:rFonts w:ascii="Times New Roman" w:hAnsi="Times New Roman"/>
                <w:color w:val="auto"/>
                <w:sz w:val="24"/>
                <w:highlight w:val="none"/>
              </w:rPr>
              <w:t>确保县城生活垃圾无害化处理率≥90%。</w:t>
            </w:r>
          </w:p>
        </w:tc>
        <w:tc>
          <w:tcPr>
            <w:tcW w:w="1746" w:type="dxa"/>
            <w:vAlign w:val="center"/>
          </w:tcPr>
          <w:p>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w:t>
            </w:r>
          </w:p>
        </w:tc>
        <w:tc>
          <w:tcPr>
            <w:tcW w:w="870" w:type="dxa"/>
            <w:vAlign w:val="center"/>
          </w:tcPr>
          <w:p>
            <w:pPr>
              <w:jc w:val="center"/>
              <w:rPr>
                <w:rFonts w:ascii="Times New Roman" w:hAnsi="Times New Roman"/>
                <w:color w:val="auto"/>
                <w:kern w:val="0"/>
                <w:sz w:val="24"/>
                <w:highlight w:val="none"/>
              </w:rPr>
            </w:pPr>
            <w:r>
              <w:rPr>
                <w:rFonts w:hint="eastAsia" w:ascii="Times New Roman" w:hAnsi="Times New Roman"/>
                <w:color w:val="auto"/>
                <w:kern w:val="0"/>
                <w:sz w:val="24"/>
                <w:highlight w:val="none"/>
                <w:lang w:bidi="ar"/>
              </w:rPr>
              <w:t>提升项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30、35</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2021年6月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3</w:t>
            </w:r>
          </w:p>
        </w:tc>
        <w:tc>
          <w:tcPr>
            <w:tcW w:w="1306" w:type="dxa"/>
            <w:vAlign w:val="center"/>
          </w:tcPr>
          <w:p>
            <w:pPr>
              <w:spacing w:line="300" w:lineRule="exact"/>
              <w:rPr>
                <w:rFonts w:ascii="Times New Roman" w:hAnsi="Times New Roman"/>
                <w:color w:val="auto"/>
                <w:kern w:val="0"/>
                <w:sz w:val="24"/>
                <w:highlight w:val="none"/>
              </w:rPr>
            </w:pPr>
            <w:r>
              <w:rPr>
                <w:rFonts w:ascii="Times New Roman" w:hAnsi="Times New Roman"/>
                <w:color w:val="auto"/>
                <w:kern w:val="0"/>
                <w:sz w:val="24"/>
                <w:highlight w:val="none"/>
              </w:rPr>
              <w:t>加强县城秩序管理</w:t>
            </w:r>
          </w:p>
        </w:tc>
        <w:tc>
          <w:tcPr>
            <w:tcW w:w="2451" w:type="dxa"/>
            <w:vAlign w:val="center"/>
          </w:tcPr>
          <w:p>
            <w:pPr>
              <w:spacing w:line="300" w:lineRule="exact"/>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继续推进</w:t>
            </w:r>
            <w:r>
              <w:rPr>
                <w:rFonts w:hint="eastAsia" w:ascii="Times New Roman" w:hAnsi="Times New Roman"/>
                <w:color w:val="auto"/>
                <w:kern w:val="0"/>
                <w:sz w:val="24"/>
                <w:highlight w:val="none"/>
              </w:rPr>
              <w:t>“</w:t>
            </w:r>
            <w:r>
              <w:rPr>
                <w:rFonts w:ascii="Times New Roman" w:hAnsi="Times New Roman"/>
                <w:color w:val="auto"/>
                <w:kern w:val="0"/>
                <w:sz w:val="24"/>
                <w:highlight w:val="none"/>
              </w:rPr>
              <w:t>门前三包</w:t>
            </w:r>
            <w:r>
              <w:rPr>
                <w:rFonts w:hint="eastAsia" w:ascii="Times New Roman" w:hAnsi="Times New Roman"/>
                <w:color w:val="auto"/>
                <w:kern w:val="0"/>
                <w:sz w:val="24"/>
                <w:highlight w:val="none"/>
              </w:rPr>
              <w:t>”</w:t>
            </w:r>
            <w:r>
              <w:rPr>
                <w:rFonts w:ascii="Times New Roman" w:hAnsi="Times New Roman"/>
                <w:color w:val="auto"/>
                <w:kern w:val="0"/>
                <w:sz w:val="24"/>
                <w:highlight w:val="none"/>
              </w:rPr>
              <w:t>工作；</w:t>
            </w:r>
          </w:p>
          <w:p>
            <w:pPr>
              <w:spacing w:line="300" w:lineRule="exact"/>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sz w:val="24"/>
                <w:highlight w:val="none"/>
              </w:rPr>
              <w:t>加强交通与停车管理</w:t>
            </w:r>
            <w:r>
              <w:rPr>
                <w:rFonts w:hint="eastAsia" w:ascii="Times New Roman" w:hAnsi="Times New Roman"/>
                <w:color w:val="auto"/>
                <w:kern w:val="0"/>
                <w:sz w:val="24"/>
                <w:highlight w:val="none"/>
              </w:rPr>
              <w:t>。</w:t>
            </w:r>
          </w:p>
        </w:tc>
        <w:tc>
          <w:tcPr>
            <w:tcW w:w="1746" w:type="dxa"/>
            <w:vAlign w:val="center"/>
          </w:tcPr>
          <w:p>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w:t>
            </w:r>
          </w:p>
        </w:tc>
        <w:tc>
          <w:tcPr>
            <w:tcW w:w="870" w:type="dxa"/>
            <w:vAlign w:val="center"/>
          </w:tcPr>
          <w:p>
            <w:pPr>
              <w:jc w:val="center"/>
              <w:rPr>
                <w:rFonts w:ascii="Times New Roman" w:hAnsi="Times New Roman"/>
                <w:color w:val="auto"/>
                <w:kern w:val="0"/>
                <w:sz w:val="24"/>
                <w:highlight w:val="none"/>
              </w:rPr>
            </w:pPr>
            <w:r>
              <w:rPr>
                <w:rFonts w:hint="eastAsia" w:ascii="Times New Roman" w:hAnsi="Times New Roman"/>
                <w:color w:val="auto"/>
                <w:kern w:val="0"/>
                <w:sz w:val="24"/>
                <w:highlight w:val="none"/>
                <w:lang w:bidi="ar"/>
              </w:rPr>
              <w:t>提升项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36</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2021年6月</w:t>
            </w:r>
          </w:p>
        </w:tc>
      </w:tr>
    </w:tbl>
    <w:p>
      <w:pPr>
        <w:pStyle w:val="6"/>
        <w:rPr>
          <w:rFonts w:ascii="Times New Roman" w:hAnsi="Times New Roman"/>
          <w:color w:val="auto"/>
          <w:highlight w:val="none"/>
        </w:rPr>
      </w:pPr>
      <w:bookmarkStart w:id="180" w:name="_Toc60776357"/>
      <w:bookmarkStart w:id="181" w:name="_Toc25516"/>
      <w:r>
        <w:rPr>
          <w:rFonts w:ascii="Times New Roman" w:hAnsi="Times New Roman"/>
          <w:color w:val="auto"/>
          <w:highlight w:val="none"/>
        </w:rPr>
        <w:t>4.4.2 便捷县城，加强便民设施建设</w:t>
      </w:r>
      <w:bookmarkEnd w:id="180"/>
      <w:bookmarkEnd w:id="181"/>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加强便民设施建设管理，为市民提供一个方便快捷的园林县城。规划主要内容有：</w:t>
      </w:r>
    </w:p>
    <w:p>
      <w:pPr>
        <w:rPr>
          <w:rFonts w:ascii="Times New Roman" w:hAnsi="Times New Roman"/>
          <w:color w:val="auto"/>
          <w:sz w:val="28"/>
          <w:szCs w:val="28"/>
          <w:highlight w:val="none"/>
        </w:rPr>
      </w:pPr>
      <w:r>
        <w:rPr>
          <w:rFonts w:ascii="Times New Roman" w:hAnsi="Times New Roman"/>
          <w:color w:val="auto"/>
          <w:sz w:val="28"/>
          <w:szCs w:val="28"/>
          <w:highlight w:val="none"/>
        </w:rPr>
        <w:t>（1）无障碍设施建设管理</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按照《无障碍设计规范（GB50763-2012）》要求建设和管理无障碍设施，确保县城建成区内主要道路、公园、公共建筑等公共场所均设有无障碍设施，且维护管理状况良好。</w:t>
      </w:r>
    </w:p>
    <w:p>
      <w:pPr>
        <w:rPr>
          <w:rFonts w:ascii="Times New Roman" w:hAnsi="Times New Roman"/>
          <w:color w:val="auto"/>
          <w:sz w:val="28"/>
          <w:szCs w:val="28"/>
          <w:highlight w:val="none"/>
        </w:rPr>
      </w:pPr>
      <w:r>
        <w:rPr>
          <w:rFonts w:ascii="Times New Roman" w:hAnsi="Times New Roman"/>
          <w:color w:val="auto"/>
          <w:sz w:val="28"/>
          <w:szCs w:val="28"/>
          <w:highlight w:val="none"/>
        </w:rPr>
        <w:t>（2）公厕建设管理</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按照《城市环境卫生设施设置规范（GB50337）》、《环境卫生设施设置标准（CJJ 27）》及《城市公共厕所设计标准（CJJ14-2016）》标准建设和管理公厕（Ⅱ类标准），确保县城公厕设施密度≥3座/平方公里（县城建成区面积23平方公里，公厕数量应不少于</w:t>
      </w:r>
      <w:r>
        <w:rPr>
          <w:rFonts w:hint="eastAsia" w:ascii="Times New Roman" w:hAnsi="Times New Roman"/>
          <w:color w:val="auto"/>
          <w:sz w:val="28"/>
          <w:szCs w:val="28"/>
          <w:highlight w:val="none"/>
          <w:lang w:val="en-US" w:eastAsia="zh-CN"/>
        </w:rPr>
        <w:t>83</w:t>
      </w:r>
      <w:r>
        <w:rPr>
          <w:rFonts w:ascii="Times New Roman" w:hAnsi="Times New Roman"/>
          <w:color w:val="auto"/>
          <w:sz w:val="28"/>
          <w:szCs w:val="28"/>
          <w:highlight w:val="none"/>
        </w:rPr>
        <w:t>座），设置间距应满足《城市环境卫生设施设置规范》相关要求。</w:t>
      </w:r>
    </w:p>
    <w:p>
      <w:pPr>
        <w:jc w:val="center"/>
        <w:rPr>
          <w:rFonts w:ascii="Times New Roman" w:hAnsi="Times New Roman"/>
          <w:color w:val="auto"/>
          <w:sz w:val="28"/>
          <w:szCs w:val="28"/>
          <w:highlight w:val="none"/>
        </w:rPr>
      </w:pPr>
      <w:r>
        <w:rPr>
          <w:rFonts w:ascii="Times New Roman" w:hAnsi="Times New Roman"/>
          <w:b/>
          <w:bCs/>
          <w:color w:val="auto"/>
          <w:sz w:val="28"/>
          <w:szCs w:val="28"/>
          <w:highlight w:val="none"/>
        </w:rPr>
        <w:t>表4-</w:t>
      </w:r>
      <w:r>
        <w:rPr>
          <w:rFonts w:hint="eastAsia" w:ascii="Times New Roman" w:hAnsi="Times New Roman"/>
          <w:b/>
          <w:bCs/>
          <w:color w:val="auto"/>
          <w:sz w:val="28"/>
          <w:szCs w:val="28"/>
          <w:highlight w:val="none"/>
        </w:rPr>
        <w:t>4-2</w:t>
      </w:r>
      <w:r>
        <w:rPr>
          <w:rFonts w:ascii="Times New Roman" w:hAnsi="Times New Roman"/>
          <w:b/>
          <w:bCs/>
          <w:color w:val="auto"/>
          <w:sz w:val="28"/>
          <w:szCs w:val="28"/>
          <w:highlight w:val="none"/>
        </w:rPr>
        <w:t xml:space="preserve"> </w:t>
      </w:r>
      <w:r>
        <w:rPr>
          <w:rFonts w:hint="eastAsia" w:ascii="Times New Roman" w:hAnsi="Times New Roman"/>
          <w:b/>
          <w:bCs/>
          <w:color w:val="auto"/>
          <w:sz w:val="28"/>
          <w:szCs w:val="28"/>
          <w:highlight w:val="none"/>
        </w:rPr>
        <w:t xml:space="preserve"> </w:t>
      </w:r>
      <w:r>
        <w:rPr>
          <w:rFonts w:ascii="Times New Roman" w:hAnsi="Times New Roman"/>
          <w:b/>
          <w:bCs/>
          <w:color w:val="auto"/>
          <w:sz w:val="28"/>
          <w:szCs w:val="28"/>
          <w:highlight w:val="none"/>
        </w:rPr>
        <w:t>海丰县便捷县城行动方案</w:t>
      </w:r>
    </w:p>
    <w:tbl>
      <w:tblPr>
        <w:tblStyle w:val="20"/>
        <w:tblW w:w="85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6"/>
        <w:gridCol w:w="1306"/>
        <w:gridCol w:w="2451"/>
        <w:gridCol w:w="1746"/>
        <w:gridCol w:w="870"/>
        <w:gridCol w:w="870"/>
        <w:gridCol w:w="8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406"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序号</w:t>
            </w:r>
          </w:p>
        </w:tc>
        <w:tc>
          <w:tcPr>
            <w:tcW w:w="1306"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项目</w:t>
            </w:r>
          </w:p>
        </w:tc>
        <w:tc>
          <w:tcPr>
            <w:tcW w:w="2451"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内容</w:t>
            </w:r>
          </w:p>
        </w:tc>
        <w:tc>
          <w:tcPr>
            <w:tcW w:w="1746"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责任单位</w:t>
            </w:r>
          </w:p>
        </w:tc>
        <w:tc>
          <w:tcPr>
            <w:tcW w:w="870" w:type="dxa"/>
            <w:vAlign w:val="center"/>
          </w:tcPr>
          <w:p>
            <w:pPr>
              <w:jc w:val="center"/>
              <w:rPr>
                <w:rFonts w:ascii="Times New Roman" w:hAnsi="Times New Roman"/>
                <w:b/>
                <w:color w:val="auto"/>
                <w:kern w:val="0"/>
                <w:sz w:val="24"/>
                <w:highlight w:val="none"/>
              </w:rPr>
            </w:pPr>
            <w:r>
              <w:rPr>
                <w:rFonts w:hint="eastAsia" w:ascii="Times New Roman" w:hAnsi="Times New Roman"/>
                <w:b/>
                <w:color w:val="auto"/>
                <w:kern w:val="0"/>
                <w:sz w:val="24"/>
                <w:highlight w:val="none"/>
              </w:rPr>
              <w:t>性质</w:t>
            </w:r>
          </w:p>
        </w:tc>
        <w:tc>
          <w:tcPr>
            <w:tcW w:w="870"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对应考核指标</w:t>
            </w:r>
          </w:p>
        </w:tc>
        <w:tc>
          <w:tcPr>
            <w:tcW w:w="871"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完成时间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1</w:t>
            </w:r>
          </w:p>
        </w:tc>
        <w:tc>
          <w:tcPr>
            <w:tcW w:w="1306" w:type="dxa"/>
            <w:vAlign w:val="center"/>
          </w:tcPr>
          <w:p>
            <w:pPr>
              <w:spacing w:line="300" w:lineRule="exact"/>
              <w:jc w:val="left"/>
              <w:rPr>
                <w:rFonts w:ascii="Times New Roman" w:hAnsi="Times New Roman"/>
                <w:color w:val="auto"/>
                <w:kern w:val="0"/>
                <w:sz w:val="24"/>
                <w:highlight w:val="none"/>
              </w:rPr>
            </w:pPr>
            <w:r>
              <w:rPr>
                <w:rFonts w:ascii="Times New Roman" w:hAnsi="Times New Roman"/>
                <w:color w:val="auto"/>
                <w:kern w:val="0"/>
                <w:sz w:val="24"/>
                <w:highlight w:val="none"/>
              </w:rPr>
              <w:t>无障碍设施建设管理</w:t>
            </w:r>
          </w:p>
        </w:tc>
        <w:tc>
          <w:tcPr>
            <w:tcW w:w="2451" w:type="dxa"/>
            <w:vAlign w:val="center"/>
          </w:tcPr>
          <w:p>
            <w:pPr>
              <w:spacing w:line="300" w:lineRule="exact"/>
              <w:rPr>
                <w:rFonts w:ascii="Times New Roman" w:hAnsi="Times New Roman"/>
                <w:color w:val="auto"/>
                <w:kern w:val="0"/>
                <w:sz w:val="24"/>
                <w:highlight w:val="none"/>
              </w:rPr>
            </w:pPr>
            <w:r>
              <w:rPr>
                <w:rFonts w:ascii="Times New Roman" w:hAnsi="Times New Roman"/>
                <w:color w:val="auto"/>
                <w:kern w:val="0"/>
                <w:sz w:val="24"/>
                <w:highlight w:val="none"/>
              </w:rPr>
              <w:t>确保县城建成区内主要道路、公园、公共建筑等公共场所均设有无障碍设施，且维护管理状况良好。</w:t>
            </w:r>
          </w:p>
        </w:tc>
        <w:tc>
          <w:tcPr>
            <w:tcW w:w="1746" w:type="dxa"/>
            <w:vAlign w:val="center"/>
          </w:tcPr>
          <w:p>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w:t>
            </w:r>
          </w:p>
        </w:tc>
        <w:tc>
          <w:tcPr>
            <w:tcW w:w="870" w:type="dxa"/>
            <w:vAlign w:val="center"/>
          </w:tcPr>
          <w:p>
            <w:pPr>
              <w:jc w:val="center"/>
              <w:rPr>
                <w:rFonts w:ascii="Times New Roman" w:hAnsi="Times New Roman"/>
                <w:color w:val="auto"/>
                <w:kern w:val="0"/>
                <w:sz w:val="24"/>
                <w:highlight w:val="none"/>
              </w:rPr>
            </w:pPr>
            <w:r>
              <w:rPr>
                <w:rFonts w:hint="eastAsia" w:ascii="Times New Roman" w:hAnsi="Times New Roman"/>
                <w:color w:val="auto"/>
                <w:kern w:val="0"/>
                <w:sz w:val="24"/>
                <w:highlight w:val="none"/>
                <w:lang w:bidi="ar"/>
              </w:rPr>
              <w:t>提升项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43</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3" w:hRule="atLeast"/>
          <w:jc w:val="center"/>
        </w:trPr>
        <w:tc>
          <w:tcPr>
            <w:tcW w:w="4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2</w:t>
            </w:r>
          </w:p>
        </w:tc>
        <w:tc>
          <w:tcPr>
            <w:tcW w:w="1306" w:type="dxa"/>
            <w:vAlign w:val="center"/>
          </w:tcPr>
          <w:p>
            <w:pPr>
              <w:spacing w:line="300" w:lineRule="exact"/>
              <w:jc w:val="left"/>
              <w:rPr>
                <w:rFonts w:ascii="Times New Roman" w:hAnsi="Times New Roman"/>
                <w:color w:val="auto"/>
                <w:sz w:val="24"/>
                <w:highlight w:val="none"/>
              </w:rPr>
            </w:pPr>
            <w:r>
              <w:rPr>
                <w:rFonts w:ascii="Times New Roman" w:hAnsi="Times New Roman"/>
                <w:color w:val="auto"/>
                <w:sz w:val="24"/>
                <w:highlight w:val="none"/>
              </w:rPr>
              <w:t>公厕建设管理</w:t>
            </w:r>
          </w:p>
        </w:tc>
        <w:tc>
          <w:tcPr>
            <w:tcW w:w="2451" w:type="dxa"/>
            <w:vAlign w:val="center"/>
          </w:tcPr>
          <w:p>
            <w:pPr>
              <w:spacing w:line="300" w:lineRule="exact"/>
              <w:rPr>
                <w:rFonts w:ascii="Times New Roman" w:hAnsi="Times New Roman"/>
                <w:color w:val="auto"/>
                <w:sz w:val="24"/>
                <w:highlight w:val="none"/>
              </w:rPr>
            </w:pPr>
            <w:r>
              <w:rPr>
                <w:rFonts w:hint="default" w:ascii="Times New Roman" w:hAnsi="Times New Roman" w:cs="Times New Roman"/>
                <w:color w:val="auto"/>
                <w:sz w:val="24"/>
                <w:highlight w:val="none"/>
              </w:rPr>
              <w:t>①</w:t>
            </w:r>
            <w:r>
              <w:rPr>
                <w:rFonts w:ascii="Times New Roman" w:hAnsi="Times New Roman"/>
                <w:color w:val="auto"/>
                <w:sz w:val="24"/>
                <w:highlight w:val="none"/>
              </w:rPr>
              <w:t>按照相关规范对建设和管理县城公厕；</w:t>
            </w:r>
          </w:p>
          <w:p>
            <w:pPr>
              <w:spacing w:line="300" w:lineRule="exact"/>
              <w:rPr>
                <w:rFonts w:ascii="Times New Roman" w:hAnsi="Times New Roman"/>
                <w:color w:val="auto"/>
                <w:sz w:val="24"/>
                <w:highlight w:val="none"/>
              </w:rPr>
            </w:pPr>
            <w:r>
              <w:rPr>
                <w:rFonts w:hint="default" w:ascii="Times New Roman" w:hAnsi="Times New Roman" w:cs="Times New Roman"/>
                <w:color w:val="auto"/>
                <w:sz w:val="24"/>
                <w:highlight w:val="none"/>
              </w:rPr>
              <w:t>②</w:t>
            </w:r>
            <w:r>
              <w:rPr>
                <w:rFonts w:ascii="Times New Roman" w:hAnsi="Times New Roman"/>
                <w:color w:val="auto"/>
                <w:sz w:val="24"/>
                <w:highlight w:val="none"/>
              </w:rPr>
              <w:t>Ⅱ类标准以上公厕密度≥3座/平方公里。</w:t>
            </w:r>
          </w:p>
        </w:tc>
        <w:tc>
          <w:tcPr>
            <w:tcW w:w="1746" w:type="dxa"/>
            <w:vAlign w:val="center"/>
          </w:tcPr>
          <w:p>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w:t>
            </w:r>
          </w:p>
          <w:p>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县城三镇</w:t>
            </w:r>
          </w:p>
          <w:p>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县公用事业事务中心</w:t>
            </w:r>
          </w:p>
        </w:tc>
        <w:tc>
          <w:tcPr>
            <w:tcW w:w="870" w:type="dxa"/>
            <w:vAlign w:val="center"/>
          </w:tcPr>
          <w:p>
            <w:pPr>
              <w:jc w:val="center"/>
              <w:rPr>
                <w:rFonts w:ascii="Times New Roman" w:hAnsi="Times New Roman"/>
                <w:color w:val="auto"/>
                <w:kern w:val="0"/>
                <w:sz w:val="24"/>
                <w:highlight w:val="none"/>
              </w:rPr>
            </w:pPr>
            <w:r>
              <w:rPr>
                <w:rFonts w:hint="eastAsia" w:ascii="Times New Roman" w:hAnsi="Times New Roman"/>
                <w:color w:val="auto"/>
                <w:kern w:val="0"/>
                <w:sz w:val="24"/>
                <w:highlight w:val="none"/>
                <w:lang w:bidi="ar"/>
              </w:rPr>
              <w:t>提升项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36</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2021年6月</w:t>
            </w:r>
          </w:p>
        </w:tc>
      </w:tr>
    </w:tbl>
    <w:p>
      <w:pPr>
        <w:pStyle w:val="6"/>
        <w:rPr>
          <w:rFonts w:ascii="Times New Roman" w:hAnsi="Times New Roman"/>
          <w:color w:val="auto"/>
          <w:highlight w:val="none"/>
        </w:rPr>
      </w:pPr>
      <w:bookmarkStart w:id="182" w:name="_Toc60776358"/>
      <w:bookmarkStart w:id="183" w:name="_Toc8364"/>
      <w:r>
        <w:rPr>
          <w:rFonts w:ascii="Times New Roman" w:hAnsi="Times New Roman"/>
          <w:color w:val="auto"/>
          <w:highlight w:val="none"/>
        </w:rPr>
        <w:t>4.4.3 低碳县城，加强绿色设施建设</w:t>
      </w:r>
      <w:bookmarkEnd w:id="182"/>
      <w:bookmarkEnd w:id="183"/>
    </w:p>
    <w:p>
      <w:pPr>
        <w:rPr>
          <w:rFonts w:ascii="Times New Roman" w:hAnsi="Times New Roman"/>
          <w:b/>
          <w:bCs/>
          <w:color w:val="auto"/>
          <w:sz w:val="28"/>
          <w:szCs w:val="28"/>
          <w:highlight w:val="none"/>
        </w:rPr>
      </w:pPr>
      <w:r>
        <w:rPr>
          <w:rFonts w:hint="eastAsia" w:ascii="Times New Roman" w:hAnsi="Times New Roman"/>
          <w:b/>
          <w:bCs/>
          <w:color w:val="auto"/>
          <w:sz w:val="28"/>
          <w:szCs w:val="28"/>
          <w:highlight w:val="none"/>
        </w:rPr>
        <w:t>（</w:t>
      </w:r>
      <w:r>
        <w:rPr>
          <w:rFonts w:ascii="Times New Roman" w:hAnsi="Times New Roman"/>
          <w:b/>
          <w:bCs/>
          <w:color w:val="auto"/>
          <w:sz w:val="28"/>
          <w:szCs w:val="28"/>
          <w:highlight w:val="none"/>
        </w:rPr>
        <w:t>1</w:t>
      </w:r>
      <w:r>
        <w:rPr>
          <w:rFonts w:hint="eastAsia" w:ascii="Times New Roman" w:hAnsi="Times New Roman"/>
          <w:b/>
          <w:bCs/>
          <w:color w:val="auto"/>
          <w:sz w:val="28"/>
          <w:szCs w:val="28"/>
          <w:highlight w:val="none"/>
        </w:rPr>
        <w:t>）绿道建设规划</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县城绿道建设应符合《绿道规划设计导则》、《广东省绿道建设管理规定》（粤府令第191号）、《广东省城市绿道规划设计指引》的函（粤建规函[2011]460号）等相关标准规范要求，且维护管理良好。根据海丰县绿道建设现状，规划内容如下：</w:t>
      </w:r>
    </w:p>
    <w:p>
      <w:pPr>
        <w:ind w:firstLine="562" w:firstLineChars="200"/>
        <w:rPr>
          <w:rFonts w:ascii="Times New Roman" w:hAnsi="Times New Roman"/>
          <w:color w:val="auto"/>
          <w:sz w:val="28"/>
          <w:szCs w:val="28"/>
          <w:highlight w:val="none"/>
        </w:rPr>
      </w:pPr>
      <w:r>
        <w:rPr>
          <w:rFonts w:ascii="Times New Roman" w:hAnsi="Times New Roman"/>
          <w:b/>
          <w:bCs/>
          <w:color w:val="auto"/>
          <w:sz w:val="28"/>
          <w:szCs w:val="28"/>
          <w:highlight w:val="none"/>
        </w:rPr>
        <w:t>新建绿道</w:t>
      </w:r>
      <w:r>
        <w:rPr>
          <w:rFonts w:ascii="Times New Roman" w:hAnsi="Times New Roman"/>
          <w:color w:val="auto"/>
          <w:sz w:val="28"/>
          <w:szCs w:val="28"/>
          <w:highlight w:val="none"/>
        </w:rPr>
        <w:t>。海丰县“龙津河水环境综合整治工程”项目计划建设总长度4.6公里的休闲绿道。其中连接青年水库副坝至龙津河段的渠道左岸岸顶休闲绿道宽3米，长度为2.6公里；龙津河从湿地公园至青年公园拦河坝河段两岸岸顶休闲绿道宽3米，长度为2公里。新建绿道应根据相关绿道建设规范，配备完善的标识系统、绿道配套服务设施以及交通衔接系统等基础设施。</w:t>
      </w:r>
    </w:p>
    <w:p>
      <w:pPr>
        <w:ind w:firstLine="562" w:firstLineChars="200"/>
        <w:rPr>
          <w:rFonts w:ascii="Times New Roman" w:hAnsi="Times New Roman"/>
          <w:color w:val="auto"/>
          <w:sz w:val="28"/>
          <w:szCs w:val="28"/>
          <w:highlight w:val="none"/>
        </w:rPr>
      </w:pPr>
      <w:r>
        <w:rPr>
          <w:rFonts w:ascii="Times New Roman" w:hAnsi="Times New Roman"/>
          <w:b/>
          <w:bCs/>
          <w:color w:val="auto"/>
          <w:sz w:val="28"/>
          <w:szCs w:val="28"/>
          <w:highlight w:val="none"/>
        </w:rPr>
        <w:t>改造、提升现有绿道</w:t>
      </w:r>
      <w:r>
        <w:rPr>
          <w:rFonts w:ascii="Times New Roman" w:hAnsi="Times New Roman"/>
          <w:color w:val="auto"/>
          <w:sz w:val="28"/>
          <w:szCs w:val="28"/>
          <w:highlight w:val="none"/>
        </w:rPr>
        <w:t>。青年水库绿道长约880米，宽约2.5米，沿青年水库下游出水河流而建，设有行车道和慢行道。目前绿道存在缺乏绿道标识等附属设施、部分路边破损，两旁植被侵入等问题，需要根据绿道建设相关标准进行改造提升，完善标识系统、绿道配套服务设施以及交通衔接系统，修复受损路面，清理两旁植被，将青年水库绿道打造成海丰县田园风光滨水绿道。</w:t>
      </w:r>
    </w:p>
    <w:p>
      <w:pPr>
        <w:ind w:firstLine="562" w:firstLineChars="200"/>
        <w:rPr>
          <w:rFonts w:ascii="Times New Roman" w:hAnsi="Times New Roman"/>
          <w:color w:val="auto"/>
          <w:sz w:val="28"/>
          <w:szCs w:val="28"/>
          <w:highlight w:val="none"/>
        </w:rPr>
      </w:pPr>
      <w:r>
        <w:rPr>
          <w:rFonts w:ascii="Times New Roman" w:hAnsi="Times New Roman"/>
          <w:b/>
          <w:bCs/>
          <w:color w:val="auto"/>
          <w:sz w:val="28"/>
          <w:szCs w:val="28"/>
          <w:highlight w:val="none"/>
        </w:rPr>
        <w:t>落实省绿道规划建设</w:t>
      </w:r>
      <w:r>
        <w:rPr>
          <w:rFonts w:ascii="Times New Roman" w:hAnsi="Times New Roman"/>
          <w:color w:val="auto"/>
          <w:sz w:val="28"/>
          <w:szCs w:val="28"/>
          <w:highlight w:val="none"/>
        </w:rPr>
        <w:t>。《广东省绿道网建设总体规划》规划建设广东省2号、10号线绿道。其中2号线绿道途经海丰县红宫红场旧址、彭湃烈士故居、公平大地度假村、海丰公平大湖省级自然保护区，总长度为49公里（汕尾海丰湿地线，SW-02），规划建设郊野型绿道，充分利用现状道路，适当建设湿地观景栈道，便于开展生态考察和观景活动；可选择视线较好的节点设置眺望台，并采用草滩、砾石滩、湿生林木滩地等生态驳岸处理方法，营造多样化的亲水体验空间。10号线绿道途径莲花山森林公园、莲花山度假村、鸡鸣寺、埔仔洞温泉，总长度约73公里，规划建设生态型绿道，以生态保育为主，适当开展森林探险、生态体验等活动。</w:t>
      </w:r>
    </w:p>
    <w:p>
      <w:pPr>
        <w:spacing w:line="360" w:lineRule="auto"/>
        <w:rPr>
          <w:rFonts w:ascii="Times New Roman" w:hAnsi="Times New Roman"/>
          <w:color w:val="auto"/>
          <w:sz w:val="24"/>
          <w:highlight w:val="none"/>
        </w:rPr>
      </w:pPr>
      <w:r>
        <w:rPr>
          <w:rFonts w:ascii="Times New Roman" w:hAnsi="Times New Roman"/>
          <w:color w:val="auto"/>
          <w:sz w:val="24"/>
          <w:highlight w:val="none"/>
        </w:rPr>
        <w:drawing>
          <wp:inline distT="0" distB="0" distL="114300" distR="114300">
            <wp:extent cx="2209165" cy="2989580"/>
            <wp:effectExtent l="0" t="0" r="635" b="7620"/>
            <wp:docPr id="2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descr="IMG_256"/>
                    <pic:cNvPicPr>
                      <a:picLocks noChangeAspect="1"/>
                    </pic:cNvPicPr>
                  </pic:nvPicPr>
                  <pic:blipFill>
                    <a:blip r:embed="rId26"/>
                    <a:srcRect l="13772" t="2625" r="24476" b="6958"/>
                    <a:stretch>
                      <a:fillRect/>
                    </a:stretch>
                  </pic:blipFill>
                  <pic:spPr>
                    <a:xfrm>
                      <a:off x="0" y="0"/>
                      <a:ext cx="2209165" cy="2989580"/>
                    </a:xfrm>
                    <a:prstGeom prst="rect">
                      <a:avLst/>
                    </a:prstGeom>
                    <a:noFill/>
                    <a:ln w="9525">
                      <a:noFill/>
                    </a:ln>
                  </pic:spPr>
                </pic:pic>
              </a:graphicData>
            </a:graphic>
          </wp:inline>
        </w:drawing>
      </w:r>
      <w:r>
        <w:rPr>
          <w:rFonts w:ascii="Times New Roman" w:hAnsi="Times New Roman"/>
          <w:color w:val="auto"/>
          <w:sz w:val="24"/>
          <w:highlight w:val="none"/>
        </w:rPr>
        <w:t xml:space="preserve">  </w:t>
      </w:r>
      <w:r>
        <w:rPr>
          <w:rFonts w:ascii="Times New Roman" w:hAnsi="Times New Roman"/>
          <w:color w:val="auto"/>
          <w:sz w:val="24"/>
          <w:highlight w:val="none"/>
        </w:rPr>
        <w:drawing>
          <wp:inline distT="0" distB="0" distL="114300" distR="114300">
            <wp:extent cx="2633980" cy="2897505"/>
            <wp:effectExtent l="0" t="0" r="7620" b="10795"/>
            <wp:docPr id="24"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6" descr="IMG_256"/>
                    <pic:cNvPicPr>
                      <a:picLocks noChangeAspect="1"/>
                    </pic:cNvPicPr>
                  </pic:nvPicPr>
                  <pic:blipFill>
                    <a:blip r:embed="rId27"/>
                    <a:srcRect t="9355" b="10806"/>
                    <a:stretch>
                      <a:fillRect/>
                    </a:stretch>
                  </pic:blipFill>
                  <pic:spPr>
                    <a:xfrm>
                      <a:off x="0" y="0"/>
                      <a:ext cx="2633980" cy="2897505"/>
                    </a:xfrm>
                    <a:prstGeom prst="rect">
                      <a:avLst/>
                    </a:prstGeom>
                    <a:noFill/>
                    <a:ln w="9525">
                      <a:noFill/>
                    </a:ln>
                  </pic:spPr>
                </pic:pic>
              </a:graphicData>
            </a:graphic>
          </wp:inline>
        </w:drawing>
      </w:r>
    </w:p>
    <w:p>
      <w:pPr>
        <w:jc w:val="center"/>
        <w:rPr>
          <w:rFonts w:ascii="Times New Roman" w:hAnsi="Times New Roman"/>
          <w:b/>
          <w:bCs/>
          <w:color w:val="auto"/>
          <w:sz w:val="28"/>
          <w:szCs w:val="28"/>
          <w:highlight w:val="none"/>
        </w:rPr>
      </w:pPr>
      <w:r>
        <w:rPr>
          <w:rFonts w:ascii="Times New Roman" w:hAnsi="Times New Roman"/>
          <w:b/>
          <w:bCs/>
          <w:color w:val="auto"/>
          <w:sz w:val="28"/>
          <w:szCs w:val="28"/>
          <w:highlight w:val="none"/>
        </w:rPr>
        <w:t>图4-</w:t>
      </w:r>
      <w:r>
        <w:rPr>
          <w:rFonts w:hint="eastAsia" w:ascii="Times New Roman" w:hAnsi="Times New Roman"/>
          <w:b/>
          <w:bCs/>
          <w:color w:val="auto"/>
          <w:sz w:val="28"/>
          <w:szCs w:val="28"/>
          <w:highlight w:val="none"/>
        </w:rPr>
        <w:t>4-1</w:t>
      </w:r>
      <w:r>
        <w:rPr>
          <w:rFonts w:ascii="Times New Roman" w:hAnsi="Times New Roman"/>
          <w:b/>
          <w:bCs/>
          <w:color w:val="auto"/>
          <w:sz w:val="28"/>
          <w:szCs w:val="28"/>
          <w:highlight w:val="none"/>
        </w:rPr>
        <w:t xml:space="preserve"> 广东省绿道系统标识</w:t>
      </w:r>
    </w:p>
    <w:p>
      <w:pPr>
        <w:pStyle w:val="2"/>
        <w:ind w:left="0" w:leftChars="0" w:firstLine="0" w:firstLineChars="0"/>
        <w:rPr>
          <w:rFonts w:ascii="Times New Roman" w:hAnsi="Times New Roman"/>
          <w:color w:val="auto"/>
          <w:szCs w:val="28"/>
          <w:highlight w:val="none"/>
        </w:rPr>
      </w:pPr>
      <w:r>
        <w:rPr>
          <w:rFonts w:ascii="Times New Roman" w:hAnsi="Times New Roman"/>
          <w:color w:val="auto"/>
          <w:szCs w:val="28"/>
          <w:highlight w:val="none"/>
        </w:rPr>
        <w:drawing>
          <wp:inline distT="0" distB="0" distL="114300" distR="114300">
            <wp:extent cx="2628265" cy="1971040"/>
            <wp:effectExtent l="0" t="0" r="635" b="10160"/>
            <wp:docPr id="1" name="图片 1" descr="95a0ace2ac3444fbc37a2207be3dd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95a0ace2ac3444fbc37a2207be3dd72"/>
                    <pic:cNvPicPr>
                      <a:picLocks noChangeAspect="1"/>
                    </pic:cNvPicPr>
                  </pic:nvPicPr>
                  <pic:blipFill>
                    <a:blip r:embed="rId28"/>
                    <a:stretch>
                      <a:fillRect/>
                    </a:stretch>
                  </pic:blipFill>
                  <pic:spPr>
                    <a:xfrm>
                      <a:off x="0" y="0"/>
                      <a:ext cx="2628265" cy="1971040"/>
                    </a:xfrm>
                    <a:prstGeom prst="rect">
                      <a:avLst/>
                    </a:prstGeom>
                  </pic:spPr>
                </pic:pic>
              </a:graphicData>
            </a:graphic>
          </wp:inline>
        </w:drawing>
      </w:r>
      <w:r>
        <w:rPr>
          <w:rFonts w:hint="default" w:ascii="Times New Roman" w:hAnsi="Times New Roman"/>
          <w:color w:val="auto"/>
          <w:szCs w:val="28"/>
          <w:highlight w:val="none"/>
        </w:rPr>
        <w:t xml:space="preserve"> </w:t>
      </w:r>
      <w:r>
        <w:rPr>
          <w:rFonts w:ascii="Times New Roman" w:hAnsi="Times New Roman" w:eastAsia="宋体" w:cs="Times New Roman"/>
          <w:color w:val="auto"/>
          <w:sz w:val="24"/>
          <w:highlight w:val="none"/>
        </w:rPr>
        <w:drawing>
          <wp:inline distT="0" distB="0" distL="114300" distR="114300">
            <wp:extent cx="2360930" cy="1990090"/>
            <wp:effectExtent l="0" t="0" r="1270" b="10160"/>
            <wp:docPr id="6"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descr="IMG_256"/>
                    <pic:cNvPicPr>
                      <a:picLocks noChangeAspect="1"/>
                    </pic:cNvPicPr>
                  </pic:nvPicPr>
                  <pic:blipFill>
                    <a:blip r:embed="rId29"/>
                    <a:srcRect t="28051" r="43092"/>
                    <a:stretch>
                      <a:fillRect/>
                    </a:stretch>
                  </pic:blipFill>
                  <pic:spPr>
                    <a:xfrm>
                      <a:off x="0" y="0"/>
                      <a:ext cx="2360930" cy="1990090"/>
                    </a:xfrm>
                    <a:prstGeom prst="rect">
                      <a:avLst/>
                    </a:prstGeom>
                    <a:noFill/>
                    <a:ln w="9525">
                      <a:noFill/>
                    </a:ln>
                  </pic:spPr>
                </pic:pic>
              </a:graphicData>
            </a:graphic>
          </wp:inline>
        </w:drawing>
      </w:r>
    </w:p>
    <w:p>
      <w:pPr>
        <w:pStyle w:val="2"/>
        <w:ind w:left="0" w:leftChars="0" w:firstLine="0" w:firstLineChars="0"/>
        <w:jc w:val="center"/>
        <w:rPr>
          <w:rFonts w:ascii="Times New Roman" w:hAnsi="Times New Roman" w:cs="Times New Roman" w:eastAsiaTheme="minorEastAsia"/>
          <w:b/>
          <w:bCs/>
          <w:color w:val="auto"/>
          <w:szCs w:val="28"/>
          <w:highlight w:val="none"/>
        </w:rPr>
      </w:pPr>
      <w:r>
        <w:rPr>
          <w:rFonts w:hint="default" w:ascii="Times New Roman" w:hAnsi="Times New Roman" w:cs="Times New Roman" w:eastAsiaTheme="minorEastAsia"/>
          <w:b/>
          <w:bCs/>
          <w:color w:val="auto"/>
          <w:szCs w:val="28"/>
          <w:highlight w:val="none"/>
        </w:rPr>
        <w:t>图4-4-2 海丰县青年水库绿道现状（左）和意向图（右）</w:t>
      </w:r>
    </w:p>
    <w:p>
      <w:pPr>
        <w:rPr>
          <w:rFonts w:ascii="Times New Roman" w:hAnsi="Times New Roman"/>
          <w:color w:val="auto"/>
          <w:sz w:val="28"/>
          <w:szCs w:val="28"/>
          <w:highlight w:val="none"/>
        </w:rPr>
      </w:pPr>
      <w:r>
        <w:rPr>
          <w:rFonts w:ascii="Times New Roman" w:hAnsi="Times New Roman"/>
          <w:color w:val="auto"/>
          <w:sz w:val="28"/>
          <w:szCs w:val="28"/>
          <w:highlight w:val="none"/>
        </w:rPr>
        <w:t>（</w:t>
      </w:r>
      <w:r>
        <w:rPr>
          <w:rFonts w:hint="eastAsia" w:ascii="Times New Roman" w:hAnsi="Times New Roman"/>
          <w:color w:val="auto"/>
          <w:sz w:val="28"/>
          <w:szCs w:val="28"/>
          <w:highlight w:val="none"/>
        </w:rPr>
        <w:t>2</w:t>
      </w:r>
      <w:r>
        <w:rPr>
          <w:rFonts w:ascii="Times New Roman" w:hAnsi="Times New Roman"/>
          <w:color w:val="auto"/>
          <w:sz w:val="28"/>
          <w:szCs w:val="28"/>
          <w:highlight w:val="none"/>
        </w:rPr>
        <w:t>）林荫路建设规划</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林荫路是指绿化覆盖率达到90%以上的人行道、自行车道。海丰县现状林荫路2</w:t>
      </w:r>
      <w:r>
        <w:rPr>
          <w:rFonts w:hint="eastAsia" w:ascii="Times New Roman" w:hAnsi="Times New Roman"/>
          <w:color w:val="auto"/>
          <w:sz w:val="28"/>
          <w:szCs w:val="28"/>
          <w:highlight w:val="none"/>
        </w:rPr>
        <w:t>5</w:t>
      </w:r>
      <w:r>
        <w:rPr>
          <w:rFonts w:ascii="Times New Roman" w:hAnsi="Times New Roman"/>
          <w:color w:val="auto"/>
          <w:sz w:val="28"/>
          <w:szCs w:val="28"/>
          <w:highlight w:val="none"/>
        </w:rPr>
        <w:t>条，长度为16616米，林荫路推广率仅25%，距离广东省园林县城标准（70%）还有很大的差距。海丰县林荫路推广绿低的原因有如下两个方面：</w:t>
      </w:r>
      <w:r>
        <w:rPr>
          <w:rFonts w:hint="default" w:ascii="Times New Roman" w:hAnsi="Times New Roman" w:cs="Times New Roman"/>
          <w:color w:val="auto"/>
          <w:sz w:val="28"/>
          <w:szCs w:val="28"/>
          <w:highlight w:val="none"/>
        </w:rPr>
        <w:t>①</w:t>
      </w:r>
      <w:r>
        <w:rPr>
          <w:rFonts w:ascii="Times New Roman" w:hAnsi="Times New Roman"/>
          <w:color w:val="auto"/>
          <w:sz w:val="28"/>
          <w:szCs w:val="28"/>
          <w:highlight w:val="none"/>
        </w:rPr>
        <w:t>部分新改造路行道树为新栽种，树冠较小，如广富路、红城大道、二环路、海丽大道、海紫路等</w:t>
      </w:r>
      <w:r>
        <w:rPr>
          <w:rFonts w:hint="eastAsia" w:ascii="Times New Roman" w:hAnsi="Times New Roman"/>
          <w:color w:val="auto"/>
          <w:sz w:val="28"/>
          <w:szCs w:val="28"/>
          <w:highlight w:val="none"/>
        </w:rPr>
        <w:t>31条道路；</w:t>
      </w:r>
      <w:r>
        <w:rPr>
          <w:rFonts w:hint="default" w:ascii="Times New Roman" w:hAnsi="Times New Roman" w:cs="Times New Roman"/>
          <w:color w:val="auto"/>
          <w:sz w:val="28"/>
          <w:szCs w:val="28"/>
          <w:highlight w:val="none"/>
        </w:rPr>
        <w:t>②</w:t>
      </w:r>
      <w:r>
        <w:rPr>
          <w:rFonts w:ascii="Times New Roman" w:hAnsi="Times New Roman"/>
          <w:color w:val="auto"/>
          <w:sz w:val="28"/>
          <w:szCs w:val="28"/>
          <w:highlight w:val="none"/>
        </w:rPr>
        <w:t>部分城区道路缺乏园林绿化，如叠翠路、金碧路、新园十巷、供电路、富城一路、海联路等6</w:t>
      </w:r>
      <w:r>
        <w:rPr>
          <w:rFonts w:hint="eastAsia" w:ascii="Times New Roman" w:hAnsi="Times New Roman"/>
          <w:color w:val="auto"/>
          <w:sz w:val="28"/>
          <w:szCs w:val="28"/>
          <w:highlight w:val="none"/>
        </w:rPr>
        <w:t>6</w:t>
      </w:r>
      <w:r>
        <w:rPr>
          <w:rFonts w:ascii="Times New Roman" w:hAnsi="Times New Roman"/>
          <w:color w:val="auto"/>
          <w:sz w:val="28"/>
          <w:szCs w:val="28"/>
          <w:highlight w:val="none"/>
        </w:rPr>
        <w:t>条道路；</w:t>
      </w:r>
      <w:r>
        <w:rPr>
          <w:rFonts w:hint="default" w:ascii="Times New Roman" w:hAnsi="Times New Roman" w:cs="Times New Roman"/>
          <w:color w:val="auto"/>
          <w:sz w:val="28"/>
          <w:szCs w:val="28"/>
          <w:highlight w:val="none"/>
        </w:rPr>
        <w:t xml:space="preserve"> </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林荫路的建设在短时间内不能达到预期效果，是一项长期工程。因此，海丰县林荫路的建设是一项提质增量工程，主要内容有：</w:t>
      </w:r>
    </w:p>
    <w:p>
      <w:pPr>
        <w:ind w:firstLine="562" w:firstLineChars="200"/>
        <w:rPr>
          <w:rFonts w:ascii="Times New Roman" w:hAnsi="Times New Roman"/>
          <w:color w:val="auto"/>
          <w:sz w:val="28"/>
          <w:szCs w:val="28"/>
          <w:highlight w:val="none"/>
        </w:rPr>
      </w:pPr>
      <w:r>
        <w:rPr>
          <w:rFonts w:ascii="Times New Roman" w:hAnsi="Times New Roman"/>
          <w:b/>
          <w:bCs/>
          <w:color w:val="auto"/>
          <w:sz w:val="28"/>
          <w:szCs w:val="28"/>
          <w:highlight w:val="none"/>
        </w:rPr>
        <w:t>提质工程</w:t>
      </w:r>
      <w:r>
        <w:rPr>
          <w:rFonts w:ascii="Times New Roman" w:hAnsi="Times New Roman"/>
          <w:color w:val="auto"/>
          <w:sz w:val="28"/>
          <w:szCs w:val="28"/>
          <w:highlight w:val="none"/>
        </w:rPr>
        <w:t>。规划对县城的林荫路和有行道树的非林荫路实行提质工程。主要是对现状2</w:t>
      </w:r>
      <w:r>
        <w:rPr>
          <w:rFonts w:hint="eastAsia" w:ascii="Times New Roman" w:hAnsi="Times New Roman"/>
          <w:color w:val="auto"/>
          <w:sz w:val="28"/>
          <w:szCs w:val="28"/>
          <w:highlight w:val="none"/>
        </w:rPr>
        <w:t>5</w:t>
      </w:r>
      <w:r>
        <w:rPr>
          <w:rFonts w:ascii="Times New Roman" w:hAnsi="Times New Roman"/>
          <w:color w:val="auto"/>
          <w:sz w:val="28"/>
          <w:szCs w:val="28"/>
          <w:highlight w:val="none"/>
        </w:rPr>
        <w:t>条林荫路的行道树进行修剪、病虫害防治、清理死树及补植；对</w:t>
      </w:r>
      <w:r>
        <w:rPr>
          <w:rFonts w:hint="eastAsia" w:ascii="Times New Roman" w:hAnsi="Times New Roman"/>
          <w:color w:val="auto"/>
          <w:sz w:val="28"/>
          <w:szCs w:val="28"/>
          <w:highlight w:val="none"/>
        </w:rPr>
        <w:t>21</w:t>
      </w:r>
      <w:r>
        <w:rPr>
          <w:rFonts w:ascii="Times New Roman" w:hAnsi="Times New Roman"/>
          <w:color w:val="auto"/>
          <w:sz w:val="28"/>
          <w:szCs w:val="28"/>
          <w:highlight w:val="none"/>
        </w:rPr>
        <w:t>条有行道树的非林荫路进行抚育，主要是定期浇水施肥、病虫害防治、清理死树及补植。</w:t>
      </w:r>
    </w:p>
    <w:p>
      <w:pPr>
        <w:jc w:val="center"/>
        <w:rPr>
          <w:rFonts w:ascii="Times New Roman" w:hAnsi="Times New Roman"/>
          <w:color w:val="auto"/>
          <w:sz w:val="28"/>
          <w:szCs w:val="28"/>
          <w:highlight w:val="none"/>
        </w:rPr>
      </w:pPr>
      <w:r>
        <w:rPr>
          <w:rFonts w:ascii="Times New Roman" w:hAnsi="Times New Roman"/>
          <w:b/>
          <w:bCs/>
          <w:color w:val="auto"/>
          <w:sz w:val="28"/>
          <w:szCs w:val="28"/>
          <w:highlight w:val="none"/>
        </w:rPr>
        <w:t>表</w:t>
      </w:r>
      <w:r>
        <w:rPr>
          <w:rFonts w:hint="eastAsia" w:ascii="Times New Roman" w:hAnsi="Times New Roman"/>
          <w:b/>
          <w:bCs/>
          <w:color w:val="auto"/>
          <w:sz w:val="28"/>
          <w:szCs w:val="28"/>
          <w:highlight w:val="none"/>
        </w:rPr>
        <w:t>4-4-3</w:t>
      </w:r>
      <w:r>
        <w:rPr>
          <w:rFonts w:ascii="Times New Roman" w:hAnsi="Times New Roman"/>
          <w:b/>
          <w:bCs/>
          <w:color w:val="auto"/>
          <w:sz w:val="28"/>
          <w:szCs w:val="28"/>
          <w:highlight w:val="none"/>
        </w:rPr>
        <w:t xml:space="preserve">  海丰县林荫路提质工程行动</w:t>
      </w:r>
    </w:p>
    <w:tbl>
      <w:tblPr>
        <w:tblStyle w:val="20"/>
        <w:tblW w:w="884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62"/>
        <w:gridCol w:w="1422"/>
        <w:gridCol w:w="1550"/>
        <w:gridCol w:w="1422"/>
        <w:gridCol w:w="2315"/>
        <w:gridCol w:w="562"/>
        <w:gridCol w:w="10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blHeader/>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b/>
                <w:bCs/>
                <w:color w:val="auto"/>
                <w:sz w:val="24"/>
                <w:highlight w:val="none"/>
              </w:rPr>
            </w:pPr>
            <w:r>
              <w:rPr>
                <w:rFonts w:ascii="Times New Roman" w:hAnsi="Times New Roman"/>
                <w:b/>
                <w:bCs/>
                <w:color w:val="auto"/>
                <w:kern w:val="0"/>
                <w:sz w:val="24"/>
                <w:highlight w:val="none"/>
                <w:lang w:bidi="ar"/>
              </w:rPr>
              <w:t>序号</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b/>
                <w:bCs/>
                <w:color w:val="auto"/>
                <w:sz w:val="24"/>
                <w:highlight w:val="none"/>
              </w:rPr>
            </w:pPr>
            <w:r>
              <w:rPr>
                <w:rFonts w:ascii="Times New Roman" w:hAnsi="Times New Roman"/>
                <w:b/>
                <w:bCs/>
                <w:color w:val="auto"/>
                <w:kern w:val="0"/>
                <w:sz w:val="24"/>
                <w:highlight w:val="none"/>
                <w:lang w:bidi="ar"/>
              </w:rPr>
              <w:t>道路名称</w:t>
            </w:r>
          </w:p>
        </w:tc>
        <w:tc>
          <w:tcPr>
            <w:tcW w:w="1550" w:type="dxa"/>
            <w:shd w:val="clear" w:color="auto" w:fill="auto"/>
            <w:noWrap/>
            <w:tcMar>
              <w:top w:w="10" w:type="dxa"/>
              <w:left w:w="10" w:type="dxa"/>
              <w:right w:w="10" w:type="dxa"/>
            </w:tcMar>
            <w:vAlign w:val="center"/>
          </w:tcPr>
          <w:p>
            <w:pPr>
              <w:widowControl/>
              <w:jc w:val="center"/>
              <w:textAlignment w:val="center"/>
              <w:rPr>
                <w:rFonts w:ascii="Times New Roman" w:hAnsi="Times New Roman"/>
                <w:b/>
                <w:bCs/>
                <w:color w:val="auto"/>
                <w:sz w:val="24"/>
                <w:highlight w:val="none"/>
              </w:rPr>
            </w:pPr>
            <w:r>
              <w:rPr>
                <w:rFonts w:ascii="Times New Roman" w:hAnsi="Times New Roman"/>
                <w:b/>
                <w:bCs/>
                <w:color w:val="auto"/>
                <w:kern w:val="0"/>
                <w:sz w:val="24"/>
                <w:highlight w:val="none"/>
                <w:lang w:bidi="ar"/>
              </w:rPr>
              <w:t>起点</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b/>
                <w:bCs/>
                <w:color w:val="auto"/>
                <w:sz w:val="24"/>
                <w:highlight w:val="none"/>
              </w:rPr>
            </w:pPr>
            <w:r>
              <w:rPr>
                <w:rFonts w:ascii="Times New Roman" w:hAnsi="Times New Roman"/>
                <w:b/>
                <w:bCs/>
                <w:color w:val="auto"/>
                <w:kern w:val="0"/>
                <w:sz w:val="24"/>
                <w:highlight w:val="none"/>
                <w:lang w:bidi="ar"/>
              </w:rPr>
              <w:t>终点</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b/>
                <w:bCs/>
                <w:color w:val="auto"/>
                <w:sz w:val="24"/>
                <w:highlight w:val="none"/>
              </w:rPr>
            </w:pPr>
            <w:r>
              <w:rPr>
                <w:rFonts w:ascii="Times New Roman" w:hAnsi="Times New Roman"/>
                <w:b/>
                <w:bCs/>
                <w:color w:val="auto"/>
                <w:kern w:val="0"/>
                <w:sz w:val="24"/>
                <w:highlight w:val="none"/>
                <w:lang w:bidi="ar"/>
              </w:rPr>
              <w:t>改造方式</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b/>
                <w:bCs/>
                <w:color w:val="auto"/>
                <w:sz w:val="24"/>
                <w:highlight w:val="none"/>
              </w:rPr>
            </w:pPr>
            <w:r>
              <w:rPr>
                <w:rFonts w:ascii="Times New Roman" w:hAnsi="Times New Roman"/>
                <w:b/>
                <w:bCs/>
                <w:color w:val="auto"/>
                <w:kern w:val="0"/>
                <w:sz w:val="24"/>
                <w:highlight w:val="none"/>
                <w:lang w:bidi="ar"/>
              </w:rPr>
              <w:t>是否林荫路</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b/>
                <w:bCs/>
                <w:color w:val="auto"/>
                <w:sz w:val="24"/>
                <w:highlight w:val="none"/>
              </w:rPr>
            </w:pPr>
            <w:r>
              <w:rPr>
                <w:rFonts w:ascii="Times New Roman" w:hAnsi="Times New Roman"/>
                <w:b/>
                <w:bCs/>
                <w:color w:val="auto"/>
                <w:kern w:val="0"/>
                <w:sz w:val="24"/>
                <w:highlight w:val="none"/>
                <w:lang w:bidi="ar"/>
              </w:rPr>
              <w:t>完成时间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云岭北路</w:t>
            </w:r>
          </w:p>
        </w:tc>
        <w:tc>
          <w:tcPr>
            <w:tcW w:w="155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红城大道边防宿舍路口</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二环西影剧院对面路口</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西华路</w:t>
            </w:r>
          </w:p>
        </w:tc>
        <w:tc>
          <w:tcPr>
            <w:tcW w:w="155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北起广富路路口</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二环南海瀛宾馆对面路口</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公园南路</w:t>
            </w:r>
          </w:p>
        </w:tc>
        <w:tc>
          <w:tcPr>
            <w:tcW w:w="155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西起烈士陵园东门</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海银路地王广场路口</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人民路</w:t>
            </w:r>
          </w:p>
        </w:tc>
        <w:tc>
          <w:tcPr>
            <w:tcW w:w="155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红城大道威豪花园路口</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向阳路红场路交叉路口</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5</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解放路</w:t>
            </w:r>
          </w:p>
        </w:tc>
        <w:tc>
          <w:tcPr>
            <w:tcW w:w="155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红城大道海城小学路口</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中山南路红场路交叉路口</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6</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解放北路</w:t>
            </w:r>
          </w:p>
        </w:tc>
        <w:tc>
          <w:tcPr>
            <w:tcW w:w="155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大水坑路</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红城大道</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7</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海河路</w:t>
            </w:r>
          </w:p>
        </w:tc>
        <w:tc>
          <w:tcPr>
            <w:tcW w:w="155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二环南路</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324国道</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8</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育英三路</w:t>
            </w:r>
          </w:p>
        </w:tc>
        <w:tc>
          <w:tcPr>
            <w:tcW w:w="155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育英路海城三中对面路口</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二环西路</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9</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龙津河东一路</w:t>
            </w:r>
          </w:p>
        </w:tc>
        <w:tc>
          <w:tcPr>
            <w:tcW w:w="155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北起二环北桥东桥头</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南至红城大道路口</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10</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龙津河东二路</w:t>
            </w:r>
          </w:p>
        </w:tc>
        <w:tc>
          <w:tcPr>
            <w:tcW w:w="155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北起红城大道路口</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南至二环南桥东桥头</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11</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龙津河东三路</w:t>
            </w:r>
          </w:p>
        </w:tc>
        <w:tc>
          <w:tcPr>
            <w:tcW w:w="155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北起二环南桥东桥头</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南至龙津大桥东桥头</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12</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龙津河西一路</w:t>
            </w:r>
          </w:p>
        </w:tc>
        <w:tc>
          <w:tcPr>
            <w:tcW w:w="155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北起二环北桥西桥头</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南至红城大道路口</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13</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龙津河西二路</w:t>
            </w:r>
          </w:p>
        </w:tc>
        <w:tc>
          <w:tcPr>
            <w:tcW w:w="155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北起红城大道路口</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南至二环南桥西桥头</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14</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建设路</w:t>
            </w:r>
          </w:p>
        </w:tc>
        <w:tc>
          <w:tcPr>
            <w:tcW w:w="155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县政府西侧路口</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人社局宿舍</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15</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向阳路</w:t>
            </w:r>
          </w:p>
        </w:tc>
        <w:tc>
          <w:tcPr>
            <w:tcW w:w="155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红场路人民西路交叉路口</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龙津河西二路</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16</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广汕公路（往陆丰方向）</w:t>
            </w:r>
          </w:p>
        </w:tc>
        <w:tc>
          <w:tcPr>
            <w:tcW w:w="155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赤岸桥</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联岭针织厂东侧</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17</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育英路</w:t>
            </w:r>
          </w:p>
        </w:tc>
        <w:tc>
          <w:tcPr>
            <w:tcW w:w="1550"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w:t>
            </w:r>
          </w:p>
        </w:tc>
        <w:tc>
          <w:tcPr>
            <w:tcW w:w="1422"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eastAsia" w:ascii="Times New Roman" w:hAnsi="Times New Roman"/>
                <w:color w:val="auto"/>
                <w:kern w:val="0"/>
                <w:sz w:val="24"/>
                <w:highlight w:val="none"/>
                <w:lang w:bidi="ar"/>
              </w:rPr>
              <w:t>18</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育英一路</w:t>
            </w:r>
          </w:p>
        </w:tc>
        <w:tc>
          <w:tcPr>
            <w:tcW w:w="1550"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w:t>
            </w:r>
          </w:p>
        </w:tc>
        <w:tc>
          <w:tcPr>
            <w:tcW w:w="1422"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19</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云岭山庄二路</w:t>
            </w:r>
          </w:p>
        </w:tc>
        <w:tc>
          <w:tcPr>
            <w:tcW w:w="1550"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w:t>
            </w:r>
          </w:p>
        </w:tc>
        <w:tc>
          <w:tcPr>
            <w:tcW w:w="1422"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川汇电路板西巷</w:t>
            </w:r>
          </w:p>
        </w:tc>
        <w:tc>
          <w:tcPr>
            <w:tcW w:w="1550"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w:t>
            </w:r>
          </w:p>
        </w:tc>
        <w:tc>
          <w:tcPr>
            <w:tcW w:w="1422"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21</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大流服饰东巷</w:t>
            </w:r>
          </w:p>
        </w:tc>
        <w:tc>
          <w:tcPr>
            <w:tcW w:w="1550"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w:t>
            </w:r>
          </w:p>
        </w:tc>
        <w:tc>
          <w:tcPr>
            <w:tcW w:w="1422"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22</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大流洗涤东巷</w:t>
            </w:r>
          </w:p>
        </w:tc>
        <w:tc>
          <w:tcPr>
            <w:tcW w:w="1550"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w:t>
            </w:r>
          </w:p>
        </w:tc>
        <w:tc>
          <w:tcPr>
            <w:tcW w:w="1422"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23</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永佳化工厂门前路</w:t>
            </w:r>
          </w:p>
        </w:tc>
        <w:tc>
          <w:tcPr>
            <w:tcW w:w="1550"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w:t>
            </w:r>
          </w:p>
        </w:tc>
        <w:tc>
          <w:tcPr>
            <w:tcW w:w="1422"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24</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金园工业区横一路</w:t>
            </w:r>
          </w:p>
        </w:tc>
        <w:tc>
          <w:tcPr>
            <w:tcW w:w="1550"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w:t>
            </w:r>
          </w:p>
        </w:tc>
        <w:tc>
          <w:tcPr>
            <w:tcW w:w="1422"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25</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金园工业区横二路</w:t>
            </w:r>
          </w:p>
        </w:tc>
        <w:tc>
          <w:tcPr>
            <w:tcW w:w="1550"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w:t>
            </w:r>
          </w:p>
        </w:tc>
        <w:tc>
          <w:tcPr>
            <w:tcW w:w="1422"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修剪、病虫害防治、清理死树、补植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是</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26</w:t>
            </w:r>
          </w:p>
        </w:tc>
        <w:tc>
          <w:tcPr>
            <w:tcW w:w="1422"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红城大道</w:t>
            </w:r>
          </w:p>
        </w:tc>
        <w:tc>
          <w:tcPr>
            <w:tcW w:w="155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海丰老收费站</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德成小学路口</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27</w:t>
            </w:r>
          </w:p>
        </w:tc>
        <w:tc>
          <w:tcPr>
            <w:tcW w:w="1422"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155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德成小学路口</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新桥</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28</w:t>
            </w:r>
          </w:p>
        </w:tc>
        <w:tc>
          <w:tcPr>
            <w:tcW w:w="1422"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155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新桥</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赤岸桥</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29</w:t>
            </w:r>
          </w:p>
        </w:tc>
        <w:tc>
          <w:tcPr>
            <w:tcW w:w="1422"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二环路</w:t>
            </w:r>
          </w:p>
        </w:tc>
        <w:tc>
          <w:tcPr>
            <w:tcW w:w="155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县政府红绿灯路口</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金凤凰红绿灯路口</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30</w:t>
            </w:r>
          </w:p>
        </w:tc>
        <w:tc>
          <w:tcPr>
            <w:tcW w:w="1422"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155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金凤凰红绿灯路口</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二环南桥</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31</w:t>
            </w:r>
          </w:p>
        </w:tc>
        <w:tc>
          <w:tcPr>
            <w:tcW w:w="1422"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155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二环南桥</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二环北桥</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32</w:t>
            </w:r>
          </w:p>
        </w:tc>
        <w:tc>
          <w:tcPr>
            <w:tcW w:w="1422"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155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二环北桥</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县政府红绿灯路口</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33</w:t>
            </w:r>
          </w:p>
        </w:tc>
        <w:tc>
          <w:tcPr>
            <w:tcW w:w="1422"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广富路</w:t>
            </w:r>
          </w:p>
        </w:tc>
        <w:tc>
          <w:tcPr>
            <w:tcW w:w="155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红城大道交界处</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富之城红绿灯路口</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34</w:t>
            </w:r>
          </w:p>
        </w:tc>
        <w:tc>
          <w:tcPr>
            <w:tcW w:w="1422"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155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富之城红绿灯路口</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三角站人民西路路口</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35</w:t>
            </w:r>
          </w:p>
        </w:tc>
        <w:tc>
          <w:tcPr>
            <w:tcW w:w="1422"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海丽大道</w:t>
            </w:r>
          </w:p>
        </w:tc>
        <w:tc>
          <w:tcPr>
            <w:tcW w:w="155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海丰县金都宾馆路口</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金凤凰红绿灯路口</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36</w:t>
            </w:r>
          </w:p>
        </w:tc>
        <w:tc>
          <w:tcPr>
            <w:tcW w:w="1422"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155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金凤凰红绿灯路口</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永安达花园路口</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37</w:t>
            </w:r>
          </w:p>
        </w:tc>
        <w:tc>
          <w:tcPr>
            <w:tcW w:w="1422"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福临街</w:t>
            </w:r>
          </w:p>
        </w:tc>
        <w:tc>
          <w:tcPr>
            <w:tcW w:w="155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公园路</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海银路</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38</w:t>
            </w:r>
          </w:p>
        </w:tc>
        <w:tc>
          <w:tcPr>
            <w:tcW w:w="1422"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155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海银路</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解放北路</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39</w:t>
            </w:r>
          </w:p>
        </w:tc>
        <w:tc>
          <w:tcPr>
            <w:tcW w:w="1422"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益民路</w:t>
            </w:r>
          </w:p>
        </w:tc>
        <w:tc>
          <w:tcPr>
            <w:tcW w:w="155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红场路</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中山南路</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40</w:t>
            </w:r>
          </w:p>
        </w:tc>
        <w:tc>
          <w:tcPr>
            <w:tcW w:w="1422"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155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中山南路</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湖边路</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41</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三环西路</w:t>
            </w:r>
          </w:p>
        </w:tc>
        <w:tc>
          <w:tcPr>
            <w:tcW w:w="155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中华鹏红绿灯路口</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324国道</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42</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云桂路</w:t>
            </w:r>
          </w:p>
        </w:tc>
        <w:tc>
          <w:tcPr>
            <w:tcW w:w="155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红城大道云岭社区路口</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青年干渠联富小区路口</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43</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云锋路</w:t>
            </w:r>
          </w:p>
        </w:tc>
        <w:tc>
          <w:tcPr>
            <w:tcW w:w="155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红城大道工商局路口</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广富路兆凯大酒店路口</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44</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新华路</w:t>
            </w:r>
          </w:p>
        </w:tc>
        <w:tc>
          <w:tcPr>
            <w:tcW w:w="155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北起红城大道西</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青年干渠联兴大厦路口</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45</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云岭路</w:t>
            </w:r>
          </w:p>
        </w:tc>
        <w:tc>
          <w:tcPr>
            <w:tcW w:w="155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北起红城大道西</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广富路金海悦宾馆路口</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46</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农林路</w:t>
            </w:r>
          </w:p>
        </w:tc>
        <w:tc>
          <w:tcPr>
            <w:tcW w:w="155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红城大道烈士陵园对面路口</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南到广富路路口</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47</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海银路</w:t>
            </w:r>
          </w:p>
        </w:tc>
        <w:tc>
          <w:tcPr>
            <w:tcW w:w="155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地王广场</w:t>
            </w:r>
            <w:r>
              <w:rPr>
                <w:rFonts w:hint="eastAsia" w:ascii="Times New Roman" w:hAnsi="Times New Roman"/>
                <w:color w:val="auto"/>
                <w:kern w:val="0"/>
                <w:sz w:val="24"/>
                <w:highlight w:val="none"/>
                <w:lang w:eastAsia="zh-CN" w:bidi="ar"/>
              </w:rPr>
              <w:t>红绿灯</w:t>
            </w:r>
            <w:r>
              <w:rPr>
                <w:rFonts w:ascii="Times New Roman" w:hAnsi="Times New Roman"/>
                <w:color w:val="auto"/>
                <w:kern w:val="0"/>
                <w:sz w:val="24"/>
                <w:highlight w:val="none"/>
                <w:lang w:bidi="ar"/>
              </w:rPr>
              <w:t>路口</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三环北路莲花路口</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48</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红场路</w:t>
            </w:r>
          </w:p>
        </w:tc>
        <w:tc>
          <w:tcPr>
            <w:tcW w:w="155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澎湃纪念医院路口</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向阳路人民路交叉路口</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49</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龙津河西三路</w:t>
            </w:r>
          </w:p>
        </w:tc>
        <w:tc>
          <w:tcPr>
            <w:tcW w:w="155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北起二环南桥西桥头</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南至龙津大桥西桥头</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50</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海汕路（往汕尾方向）</w:t>
            </w:r>
          </w:p>
        </w:tc>
        <w:tc>
          <w:tcPr>
            <w:tcW w:w="155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324国道永安达花园路口</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仁荣中学路口</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51</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育英路</w:t>
            </w:r>
          </w:p>
        </w:tc>
        <w:tc>
          <w:tcPr>
            <w:tcW w:w="155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育英七路</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海银路</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52</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粉围路</w:t>
            </w:r>
          </w:p>
        </w:tc>
        <w:tc>
          <w:tcPr>
            <w:tcW w:w="155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广富路置富花园路口</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青年干渠叠翠豪庭路口</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53</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海悦路</w:t>
            </w:r>
          </w:p>
        </w:tc>
        <w:tc>
          <w:tcPr>
            <w:tcW w:w="155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二环南路口</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324国道</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54</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广汕公路（往梅陇方向）</w:t>
            </w:r>
          </w:p>
        </w:tc>
        <w:tc>
          <w:tcPr>
            <w:tcW w:w="155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海丰老收费站</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科技工业园桥头</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55</w:t>
            </w:r>
          </w:p>
        </w:tc>
        <w:tc>
          <w:tcPr>
            <w:tcW w:w="142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青年桥防洪路</w:t>
            </w:r>
          </w:p>
        </w:tc>
        <w:tc>
          <w:tcPr>
            <w:tcW w:w="1550"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w:t>
            </w:r>
          </w:p>
        </w:tc>
        <w:tc>
          <w:tcPr>
            <w:tcW w:w="1422"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w:t>
            </w:r>
          </w:p>
        </w:tc>
        <w:tc>
          <w:tcPr>
            <w:tcW w:w="231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浇水施肥、病虫害防治、清理死树及补植</w:t>
            </w:r>
          </w:p>
        </w:tc>
        <w:tc>
          <w:tcPr>
            <w:tcW w:w="562"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否</w:t>
            </w:r>
          </w:p>
        </w:tc>
        <w:tc>
          <w:tcPr>
            <w:tcW w:w="100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bl>
    <w:p>
      <w:pPr>
        <w:rPr>
          <w:rFonts w:ascii="Times New Roman" w:hAnsi="Times New Roman"/>
          <w:color w:val="auto"/>
          <w:sz w:val="28"/>
          <w:szCs w:val="28"/>
          <w:highlight w:val="none"/>
        </w:rPr>
      </w:pPr>
    </w:p>
    <w:p>
      <w:pPr>
        <w:ind w:firstLine="562" w:firstLineChars="200"/>
        <w:rPr>
          <w:rFonts w:ascii="Times New Roman" w:hAnsi="Times New Roman"/>
          <w:color w:val="auto"/>
          <w:sz w:val="28"/>
          <w:szCs w:val="28"/>
          <w:highlight w:val="none"/>
        </w:rPr>
      </w:pPr>
      <w:r>
        <w:rPr>
          <w:rFonts w:ascii="Times New Roman" w:hAnsi="Times New Roman"/>
          <w:b/>
          <w:bCs/>
          <w:color w:val="auto"/>
          <w:sz w:val="28"/>
          <w:szCs w:val="28"/>
          <w:highlight w:val="none"/>
        </w:rPr>
        <w:t>增量工程</w:t>
      </w:r>
      <w:r>
        <w:rPr>
          <w:rFonts w:ascii="Times New Roman" w:hAnsi="Times New Roman"/>
          <w:color w:val="auto"/>
          <w:sz w:val="28"/>
          <w:szCs w:val="28"/>
          <w:highlight w:val="none"/>
        </w:rPr>
        <w:t>。规划对县城缺乏行道树或者只有单侧行道树的</w:t>
      </w:r>
      <w:r>
        <w:rPr>
          <w:rFonts w:hint="eastAsia" w:ascii="Times New Roman" w:hAnsi="Times New Roman"/>
          <w:color w:val="auto"/>
          <w:sz w:val="28"/>
          <w:szCs w:val="28"/>
          <w:highlight w:val="none"/>
        </w:rPr>
        <w:t>66</w:t>
      </w:r>
      <w:r>
        <w:rPr>
          <w:rFonts w:ascii="Times New Roman" w:hAnsi="Times New Roman"/>
          <w:color w:val="auto"/>
          <w:sz w:val="28"/>
          <w:szCs w:val="28"/>
          <w:highlight w:val="none"/>
        </w:rPr>
        <w:t>条道路进行改造，补植行道树。补植树种主要以榕树、秋枫、樟树、人面子、非洲桃花心木等乡土、适生树种为主，严禁移植大树（胸径20</w:t>
      </w:r>
      <w:r>
        <w:rPr>
          <w:rFonts w:hint="eastAsia" w:ascii="Times New Roman" w:hAnsi="Times New Roman"/>
          <w:color w:val="auto"/>
          <w:sz w:val="28"/>
          <w:szCs w:val="28"/>
          <w:highlight w:val="none"/>
        </w:rPr>
        <w:t>厘米</w:t>
      </w:r>
      <w:r>
        <w:rPr>
          <w:rFonts w:ascii="Times New Roman" w:hAnsi="Times New Roman"/>
          <w:color w:val="auto"/>
          <w:sz w:val="28"/>
          <w:szCs w:val="28"/>
          <w:highlight w:val="none"/>
        </w:rPr>
        <w:t>以上的落叶乔木、15</w:t>
      </w:r>
      <w:r>
        <w:rPr>
          <w:rFonts w:hint="eastAsia" w:ascii="Times New Roman" w:hAnsi="Times New Roman"/>
          <w:color w:val="auto"/>
          <w:sz w:val="28"/>
          <w:szCs w:val="28"/>
          <w:highlight w:val="none"/>
        </w:rPr>
        <w:t>厘米</w:t>
      </w:r>
      <w:r>
        <w:rPr>
          <w:rFonts w:ascii="Times New Roman" w:hAnsi="Times New Roman"/>
          <w:color w:val="auto"/>
          <w:sz w:val="28"/>
          <w:szCs w:val="28"/>
          <w:highlight w:val="none"/>
        </w:rPr>
        <w:t>以上的常绿乔木）。</w:t>
      </w:r>
    </w:p>
    <w:p>
      <w:pPr>
        <w:jc w:val="center"/>
        <w:rPr>
          <w:rFonts w:ascii="Times New Roman" w:hAnsi="Times New Roman"/>
          <w:b/>
          <w:bCs/>
          <w:color w:val="auto"/>
          <w:sz w:val="28"/>
          <w:szCs w:val="28"/>
          <w:highlight w:val="none"/>
        </w:rPr>
      </w:pPr>
      <w:r>
        <w:rPr>
          <w:rFonts w:ascii="Times New Roman" w:hAnsi="Times New Roman"/>
          <w:b/>
          <w:bCs/>
          <w:color w:val="auto"/>
          <w:sz w:val="28"/>
          <w:szCs w:val="28"/>
          <w:highlight w:val="none"/>
        </w:rPr>
        <w:t>表</w:t>
      </w:r>
      <w:r>
        <w:rPr>
          <w:rFonts w:hint="eastAsia" w:ascii="Times New Roman" w:hAnsi="Times New Roman"/>
          <w:b/>
          <w:bCs/>
          <w:color w:val="auto"/>
          <w:sz w:val="28"/>
          <w:szCs w:val="28"/>
          <w:highlight w:val="none"/>
        </w:rPr>
        <w:t>4-4-4</w:t>
      </w:r>
      <w:r>
        <w:rPr>
          <w:rFonts w:ascii="Times New Roman" w:hAnsi="Times New Roman"/>
          <w:b/>
          <w:bCs/>
          <w:color w:val="auto"/>
          <w:sz w:val="28"/>
          <w:szCs w:val="28"/>
          <w:highlight w:val="none"/>
        </w:rPr>
        <w:t xml:space="preserve">  海丰县林荫路增量工程行动</w:t>
      </w:r>
    </w:p>
    <w:tbl>
      <w:tblPr>
        <w:tblStyle w:val="20"/>
        <w:tblW w:w="832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07"/>
        <w:gridCol w:w="2393"/>
        <w:gridCol w:w="2083"/>
        <w:gridCol w:w="1896"/>
        <w:gridCol w:w="817"/>
        <w:gridCol w:w="6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blHeader/>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b/>
                <w:bCs/>
                <w:color w:val="auto"/>
                <w:sz w:val="24"/>
                <w:highlight w:val="none"/>
              </w:rPr>
            </w:pPr>
            <w:r>
              <w:rPr>
                <w:rFonts w:ascii="Times New Roman" w:hAnsi="Times New Roman"/>
                <w:b/>
                <w:bCs/>
                <w:color w:val="auto"/>
                <w:kern w:val="0"/>
                <w:sz w:val="24"/>
                <w:highlight w:val="none"/>
                <w:lang w:bidi="ar"/>
              </w:rPr>
              <w:t>序号</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b/>
                <w:bCs/>
                <w:color w:val="auto"/>
                <w:sz w:val="24"/>
                <w:highlight w:val="none"/>
              </w:rPr>
            </w:pPr>
            <w:r>
              <w:rPr>
                <w:rFonts w:ascii="Times New Roman" w:hAnsi="Times New Roman"/>
                <w:b/>
                <w:bCs/>
                <w:color w:val="auto"/>
                <w:kern w:val="0"/>
                <w:sz w:val="24"/>
                <w:highlight w:val="none"/>
                <w:lang w:bidi="ar"/>
              </w:rPr>
              <w:t>道路名称</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b/>
                <w:bCs/>
                <w:color w:val="auto"/>
                <w:sz w:val="24"/>
                <w:highlight w:val="none"/>
              </w:rPr>
            </w:pPr>
            <w:r>
              <w:rPr>
                <w:rFonts w:ascii="Times New Roman" w:hAnsi="Times New Roman"/>
                <w:b/>
                <w:bCs/>
                <w:color w:val="auto"/>
                <w:kern w:val="0"/>
                <w:sz w:val="24"/>
                <w:highlight w:val="none"/>
                <w:lang w:bidi="ar"/>
              </w:rPr>
              <w:t>起点</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b/>
                <w:bCs/>
                <w:color w:val="auto"/>
                <w:sz w:val="24"/>
                <w:highlight w:val="none"/>
              </w:rPr>
            </w:pPr>
            <w:r>
              <w:rPr>
                <w:rFonts w:ascii="Times New Roman" w:hAnsi="Times New Roman"/>
                <w:b/>
                <w:bCs/>
                <w:color w:val="auto"/>
                <w:kern w:val="0"/>
                <w:sz w:val="24"/>
                <w:highlight w:val="none"/>
                <w:lang w:bidi="ar"/>
              </w:rPr>
              <w:t>终点</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b/>
                <w:bCs/>
                <w:color w:val="auto"/>
                <w:sz w:val="24"/>
                <w:highlight w:val="none"/>
              </w:rPr>
            </w:pPr>
            <w:r>
              <w:rPr>
                <w:rFonts w:ascii="Times New Roman" w:hAnsi="Times New Roman"/>
                <w:b/>
                <w:bCs/>
                <w:color w:val="auto"/>
                <w:kern w:val="0"/>
                <w:sz w:val="24"/>
                <w:highlight w:val="none"/>
                <w:lang w:bidi="ar"/>
              </w:rPr>
              <w:t>改造方式</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b/>
                <w:bCs/>
                <w:color w:val="auto"/>
                <w:sz w:val="24"/>
                <w:highlight w:val="none"/>
              </w:rPr>
            </w:pPr>
            <w:r>
              <w:rPr>
                <w:rFonts w:ascii="Times New Roman" w:hAnsi="Times New Roman"/>
                <w:b/>
                <w:bCs/>
                <w:color w:val="auto"/>
                <w:kern w:val="0"/>
                <w:sz w:val="24"/>
                <w:highlight w:val="none"/>
                <w:lang w:bidi="ar"/>
              </w:rPr>
              <w:t>完成时间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1</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2"/>
                <w:szCs w:val="22"/>
                <w:highlight w:val="none"/>
              </w:rPr>
            </w:pPr>
            <w:r>
              <w:rPr>
                <w:rFonts w:ascii="Times New Roman" w:hAnsi="Times New Roman"/>
                <w:color w:val="auto"/>
                <w:sz w:val="24"/>
                <w:highlight w:val="none"/>
              </w:rPr>
              <w:t>福临街</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解放北路</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河园村</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2</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公园路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北起二环西公园小区路口</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红城大道烈士陵园路口</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3</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铜钱山路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红城大道国土测绘队路口</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南到广富路路口</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4</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人民西路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蓝天广场红绿灯路口</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海丰县金都宾馆路口</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5</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青年干渠</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三环西路</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新金川</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6</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祥德路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二环西路新金川路口</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324国道</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7</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海紫路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红城大道东腾园路口</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三环北路红绿灯路口</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8</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海龙路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红城大道东</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二环东路</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9</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金富豪旁边空地</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空地位置</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空地位置</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10</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金鹏国际对面空地</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空地位置</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空地位置</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11</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三环西路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龙津中桥</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中华鹏红绿灯路口</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12</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三环东路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红城大道东华富苑路口</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海紫路女博士服饰路口</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13</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北环公路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红城大道铜马路口</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龙津中桥</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14</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324国道</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老收费站</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赤岸桥</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15</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体育场路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育英路体育场路口</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二环西吉祥苑路口</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16</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合兴路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广富路兆凯大酒店路口</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青年干渠粉围村路口</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17</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中山南路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红场路解放路交叉路口</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金都宾馆</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18</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东圣门路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二环南检察院路口</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头社自然村</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19</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笏雅村水沟（在建）</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二环南路口</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324国道佳豪门庭路口</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20</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南湖一路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海丽大道南门湖市场</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海悦路</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21</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南湖三路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海丽大道海丽花园</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剑虹商场路口</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22</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富城一路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三环西路富城花园路口</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联河大道</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23</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海联路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海丽大道</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324国道</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24</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襟德路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二环南路</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海联路</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25</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联河大道</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青年干渠</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324国道民政局路口</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26</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海龙路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二环东路</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324国道</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27</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狮山一路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狮山小区路口</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百合苑路口</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28</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狮山二路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狮山小区路口</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三环东路</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29</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宫地山路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宫地山工业区</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三环东路</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30</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宫地山中路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红城大道港城停车场</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三环东路</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31</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宫地山横路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狮山小学路口</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三环东路</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32</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25大道</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红城大道上安东村对面</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关后一路</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33</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海紫路（往公平方向）</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北环公路金园工业园</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科技工业园</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34</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海银路（往莲花山方向）</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三环路口</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垃圾处理厂路口</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35</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大水坑路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36</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叠翠路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37</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金碧路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38</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新园十巷</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39</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供电路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40</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青年水库路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41</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海城镇政府侧巷</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42</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海城镇政府后巷</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43</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农林下路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44</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北门新街</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45</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峰山路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46</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富城二路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47</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赤山路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48</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龙山路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49</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赤山路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50</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桥新路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51</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迎春路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52</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看守所门前路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53</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同德路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54</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名园东山路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55</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关后一路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56</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红卫村二路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57</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红卫村三路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58</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红卫村横路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59</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中联电子门前路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60</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金龙居巷</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61</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东盛华庭东侧路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62</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鲤鱼山工业区横二路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63</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中河居委大掘村路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64</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高山富民路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65</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永安达花园东侧路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66</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永安达花园门前路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67</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富城侧路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68</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永福路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50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olor w:val="auto"/>
                <w:sz w:val="22"/>
                <w:szCs w:val="22"/>
                <w:highlight w:val="none"/>
              </w:rPr>
              <w:t>69</w:t>
            </w:r>
          </w:p>
        </w:tc>
        <w:tc>
          <w:tcPr>
            <w:tcW w:w="239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意新首饰门前路</w:t>
            </w:r>
          </w:p>
        </w:tc>
        <w:tc>
          <w:tcPr>
            <w:tcW w:w="208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189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sz w:val="24"/>
                <w:highlight w:val="none"/>
              </w:rPr>
              <w:t>/</w:t>
            </w:r>
          </w:p>
        </w:tc>
        <w:tc>
          <w:tcPr>
            <w:tcW w:w="817"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补植</w:t>
            </w:r>
          </w:p>
        </w:tc>
        <w:tc>
          <w:tcPr>
            <w:tcW w:w="63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bl>
    <w:p>
      <w:pPr>
        <w:spacing w:line="360" w:lineRule="auto"/>
        <w:rPr>
          <w:rFonts w:ascii="Times New Roman" w:hAnsi="Times New Roman"/>
          <w:color w:val="auto"/>
          <w:sz w:val="24"/>
          <w:highlight w:val="none"/>
        </w:rPr>
      </w:pPr>
      <w:r>
        <w:rPr>
          <w:rFonts w:ascii="Times New Roman" w:hAnsi="Times New Roman"/>
          <w:color w:val="auto"/>
          <w:sz w:val="28"/>
          <w:szCs w:val="28"/>
          <w:highlight w:val="none"/>
        </w:rPr>
        <w:t xml:space="preserve"> </w:t>
      </w:r>
      <w:r>
        <w:rPr>
          <w:rFonts w:ascii="Times New Roman" w:hAnsi="Times New Roman"/>
          <w:color w:val="auto"/>
          <w:sz w:val="24"/>
          <w:highlight w:val="none"/>
        </w:rPr>
        <w:drawing>
          <wp:inline distT="0" distB="0" distL="114300" distR="114300">
            <wp:extent cx="5445760" cy="3452495"/>
            <wp:effectExtent l="0" t="0" r="2540" b="14605"/>
            <wp:docPr id="25"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 descr="IMG_256"/>
                    <pic:cNvPicPr>
                      <a:picLocks noChangeAspect="1"/>
                    </pic:cNvPicPr>
                  </pic:nvPicPr>
                  <pic:blipFill>
                    <a:blip r:embed="rId30"/>
                    <a:srcRect b="5229"/>
                    <a:stretch>
                      <a:fillRect/>
                    </a:stretch>
                  </pic:blipFill>
                  <pic:spPr>
                    <a:xfrm>
                      <a:off x="0" y="0"/>
                      <a:ext cx="5445760" cy="3452495"/>
                    </a:xfrm>
                    <a:prstGeom prst="rect">
                      <a:avLst/>
                    </a:prstGeom>
                    <a:noFill/>
                    <a:ln w="9525">
                      <a:noFill/>
                    </a:ln>
                  </pic:spPr>
                </pic:pic>
              </a:graphicData>
            </a:graphic>
          </wp:inline>
        </w:drawing>
      </w:r>
    </w:p>
    <w:p>
      <w:pPr>
        <w:jc w:val="center"/>
        <w:rPr>
          <w:rFonts w:ascii="Times New Roman" w:hAnsi="Times New Roman"/>
          <w:b/>
          <w:bCs/>
          <w:color w:val="auto"/>
          <w:sz w:val="28"/>
          <w:szCs w:val="28"/>
          <w:highlight w:val="none"/>
        </w:rPr>
      </w:pPr>
      <w:r>
        <w:rPr>
          <w:rFonts w:ascii="Times New Roman" w:hAnsi="Times New Roman"/>
          <w:b/>
          <w:bCs/>
          <w:color w:val="auto"/>
          <w:sz w:val="28"/>
          <w:szCs w:val="28"/>
          <w:highlight w:val="none"/>
        </w:rPr>
        <w:t>图4-</w:t>
      </w:r>
      <w:r>
        <w:rPr>
          <w:rFonts w:hint="eastAsia" w:ascii="Times New Roman" w:hAnsi="Times New Roman"/>
          <w:b/>
          <w:bCs/>
          <w:color w:val="auto"/>
          <w:sz w:val="28"/>
          <w:szCs w:val="28"/>
          <w:highlight w:val="none"/>
        </w:rPr>
        <w:t>4-3</w:t>
      </w:r>
      <w:r>
        <w:rPr>
          <w:rFonts w:ascii="Times New Roman" w:hAnsi="Times New Roman"/>
          <w:b/>
          <w:bCs/>
          <w:color w:val="auto"/>
          <w:sz w:val="28"/>
          <w:szCs w:val="28"/>
          <w:highlight w:val="none"/>
        </w:rPr>
        <w:t xml:space="preserve">  林荫路意向图</w:t>
      </w:r>
    </w:p>
    <w:p>
      <w:pPr>
        <w:jc w:val="center"/>
        <w:rPr>
          <w:rFonts w:ascii="Times New Roman" w:hAnsi="Times New Roman"/>
          <w:color w:val="auto"/>
          <w:sz w:val="28"/>
          <w:szCs w:val="28"/>
          <w:highlight w:val="none"/>
        </w:rPr>
      </w:pPr>
      <w:r>
        <w:rPr>
          <w:rFonts w:ascii="Times New Roman" w:hAnsi="Times New Roman"/>
          <w:b/>
          <w:bCs/>
          <w:color w:val="auto"/>
          <w:sz w:val="28"/>
          <w:szCs w:val="28"/>
          <w:highlight w:val="none"/>
        </w:rPr>
        <w:t>表4-</w:t>
      </w:r>
      <w:r>
        <w:rPr>
          <w:rFonts w:hint="eastAsia" w:ascii="Times New Roman" w:hAnsi="Times New Roman"/>
          <w:b/>
          <w:bCs/>
          <w:color w:val="auto"/>
          <w:sz w:val="28"/>
          <w:szCs w:val="28"/>
          <w:highlight w:val="none"/>
        </w:rPr>
        <w:t>4-5</w:t>
      </w:r>
      <w:r>
        <w:rPr>
          <w:rFonts w:ascii="Times New Roman" w:hAnsi="Times New Roman"/>
          <w:b/>
          <w:bCs/>
          <w:color w:val="auto"/>
          <w:sz w:val="28"/>
          <w:szCs w:val="28"/>
          <w:highlight w:val="none"/>
        </w:rPr>
        <w:t xml:space="preserve"> 海丰县城市管理行动方案</w:t>
      </w:r>
    </w:p>
    <w:tbl>
      <w:tblPr>
        <w:tblStyle w:val="20"/>
        <w:tblW w:w="85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6"/>
        <w:gridCol w:w="1306"/>
        <w:gridCol w:w="2451"/>
        <w:gridCol w:w="1746"/>
        <w:gridCol w:w="870"/>
        <w:gridCol w:w="870"/>
        <w:gridCol w:w="8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406"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序号</w:t>
            </w:r>
          </w:p>
        </w:tc>
        <w:tc>
          <w:tcPr>
            <w:tcW w:w="1306"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项目</w:t>
            </w:r>
          </w:p>
        </w:tc>
        <w:tc>
          <w:tcPr>
            <w:tcW w:w="2451"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内容</w:t>
            </w:r>
          </w:p>
        </w:tc>
        <w:tc>
          <w:tcPr>
            <w:tcW w:w="1746"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责任单位</w:t>
            </w:r>
          </w:p>
        </w:tc>
        <w:tc>
          <w:tcPr>
            <w:tcW w:w="870" w:type="dxa"/>
            <w:vAlign w:val="center"/>
          </w:tcPr>
          <w:p>
            <w:pPr>
              <w:jc w:val="center"/>
              <w:rPr>
                <w:rFonts w:ascii="Times New Roman" w:hAnsi="Times New Roman"/>
                <w:b/>
                <w:color w:val="auto"/>
                <w:kern w:val="0"/>
                <w:sz w:val="24"/>
                <w:highlight w:val="none"/>
              </w:rPr>
            </w:pPr>
            <w:r>
              <w:rPr>
                <w:rFonts w:hint="eastAsia" w:ascii="Times New Roman" w:hAnsi="Times New Roman"/>
                <w:b/>
                <w:color w:val="auto"/>
                <w:kern w:val="0"/>
                <w:sz w:val="24"/>
                <w:highlight w:val="none"/>
              </w:rPr>
              <w:t>性质</w:t>
            </w:r>
          </w:p>
        </w:tc>
        <w:tc>
          <w:tcPr>
            <w:tcW w:w="870"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对应考核指标</w:t>
            </w:r>
          </w:p>
        </w:tc>
        <w:tc>
          <w:tcPr>
            <w:tcW w:w="871"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完成时间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406" w:type="dxa"/>
            <w:vMerge w:val="restart"/>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1</w:t>
            </w:r>
          </w:p>
        </w:tc>
        <w:tc>
          <w:tcPr>
            <w:tcW w:w="1306" w:type="dxa"/>
            <w:vMerge w:val="restart"/>
            <w:vAlign w:val="center"/>
          </w:tcPr>
          <w:p>
            <w:pPr>
              <w:spacing w:line="300" w:lineRule="exact"/>
              <w:jc w:val="left"/>
              <w:rPr>
                <w:rFonts w:ascii="Times New Roman" w:hAnsi="Times New Roman"/>
                <w:color w:val="auto"/>
                <w:sz w:val="24"/>
                <w:highlight w:val="none"/>
              </w:rPr>
            </w:pPr>
            <w:r>
              <w:rPr>
                <w:rFonts w:ascii="Times New Roman" w:hAnsi="Times New Roman"/>
                <w:color w:val="auto"/>
                <w:sz w:val="24"/>
                <w:highlight w:val="none"/>
              </w:rPr>
              <w:t>绿道建设规划</w:t>
            </w:r>
          </w:p>
        </w:tc>
        <w:tc>
          <w:tcPr>
            <w:tcW w:w="2451" w:type="dxa"/>
            <w:vAlign w:val="center"/>
          </w:tcPr>
          <w:p>
            <w:pPr>
              <w:spacing w:line="300" w:lineRule="exact"/>
              <w:rPr>
                <w:rFonts w:ascii="Times New Roman" w:hAnsi="Times New Roman"/>
                <w:color w:val="auto"/>
                <w:sz w:val="24"/>
                <w:highlight w:val="none"/>
              </w:rPr>
            </w:pPr>
            <w:r>
              <w:rPr>
                <w:rFonts w:hint="default" w:ascii="Times New Roman" w:hAnsi="Times New Roman" w:cs="Times New Roman"/>
                <w:color w:val="auto"/>
                <w:sz w:val="24"/>
                <w:highlight w:val="none"/>
              </w:rPr>
              <w:t>①依托龙津河水环境综合整治工程，建设总长度4.6公里的休闲绿道，并配套相关绿道设施；</w:t>
            </w:r>
          </w:p>
        </w:tc>
        <w:tc>
          <w:tcPr>
            <w:tcW w:w="1746" w:type="dxa"/>
            <w:vAlign w:val="center"/>
          </w:tcPr>
          <w:p>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县水务局</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提升项</w:t>
            </w:r>
          </w:p>
        </w:tc>
        <w:tc>
          <w:tcPr>
            <w:tcW w:w="870" w:type="dxa"/>
            <w:vAlign w:val="center"/>
          </w:tcPr>
          <w:p>
            <w:pPr>
              <w:jc w:val="center"/>
              <w:rPr>
                <w:rFonts w:ascii="Times New Roman" w:hAnsi="Times New Roman"/>
                <w:color w:val="auto"/>
                <w:kern w:val="0"/>
                <w:sz w:val="24"/>
                <w:highlight w:val="none"/>
              </w:rPr>
            </w:pPr>
            <w:r>
              <w:rPr>
                <w:rFonts w:hint="eastAsia" w:ascii="Times New Roman" w:hAnsi="Times New Roman"/>
                <w:color w:val="auto"/>
                <w:kern w:val="0"/>
                <w:sz w:val="24"/>
                <w:highlight w:val="none"/>
              </w:rPr>
              <w:t>24</w:t>
            </w:r>
          </w:p>
        </w:tc>
        <w:tc>
          <w:tcPr>
            <w:tcW w:w="871" w:type="dxa"/>
            <w:vAlign w:val="center"/>
          </w:tcPr>
          <w:p>
            <w:pPr>
              <w:jc w:val="center"/>
              <w:rPr>
                <w:rFonts w:ascii="Times New Roman" w:hAnsi="Times New Roman"/>
                <w:bCs/>
                <w:color w:val="auto"/>
                <w:kern w:val="0"/>
                <w:sz w:val="24"/>
                <w:highlight w:val="none"/>
              </w:rPr>
            </w:pPr>
            <w:r>
              <w:rPr>
                <w:rFonts w:hint="eastAsia" w:ascii="Times New Roman" w:hAnsi="Times New Roman"/>
                <w:bCs/>
                <w:color w:val="auto"/>
                <w:kern w:val="0"/>
                <w:sz w:val="24"/>
                <w:highlight w:val="none"/>
              </w:rPr>
              <w:t>2021年6月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406" w:type="dxa"/>
            <w:vMerge w:val="continue"/>
            <w:vAlign w:val="center"/>
          </w:tcPr>
          <w:p>
            <w:pPr>
              <w:jc w:val="center"/>
              <w:rPr>
                <w:rFonts w:ascii="Times New Roman" w:hAnsi="Times New Roman"/>
                <w:color w:val="auto"/>
                <w:kern w:val="0"/>
                <w:sz w:val="24"/>
                <w:highlight w:val="none"/>
              </w:rPr>
            </w:pPr>
          </w:p>
        </w:tc>
        <w:tc>
          <w:tcPr>
            <w:tcW w:w="1306" w:type="dxa"/>
            <w:vMerge w:val="continue"/>
            <w:vAlign w:val="center"/>
          </w:tcPr>
          <w:p>
            <w:pPr>
              <w:spacing w:line="300" w:lineRule="exact"/>
              <w:jc w:val="left"/>
              <w:rPr>
                <w:rFonts w:ascii="Times New Roman" w:hAnsi="Times New Roman"/>
                <w:color w:val="auto"/>
                <w:sz w:val="24"/>
                <w:highlight w:val="none"/>
              </w:rPr>
            </w:pPr>
          </w:p>
        </w:tc>
        <w:tc>
          <w:tcPr>
            <w:tcW w:w="2451" w:type="dxa"/>
            <w:vAlign w:val="center"/>
          </w:tcPr>
          <w:p>
            <w:pPr>
              <w:spacing w:line="300" w:lineRule="exact"/>
              <w:rPr>
                <w:rFonts w:ascii="Times New Roman" w:hAnsi="Times New Roman" w:cs="Times New Roman"/>
                <w:color w:val="auto"/>
                <w:sz w:val="24"/>
                <w:highlight w:val="none"/>
              </w:rPr>
            </w:pPr>
            <w:r>
              <w:rPr>
                <w:rFonts w:hint="eastAsia" w:ascii="Times New Roman" w:hAnsi="Times New Roman"/>
                <w:color w:val="auto"/>
                <w:sz w:val="24"/>
                <w:highlight w:val="none"/>
              </w:rPr>
              <w:t>②</w:t>
            </w:r>
            <w:r>
              <w:rPr>
                <w:rFonts w:ascii="Times New Roman" w:hAnsi="Times New Roman"/>
                <w:color w:val="auto"/>
                <w:sz w:val="24"/>
                <w:highlight w:val="none"/>
              </w:rPr>
              <w:t>青年水库绿道改造提升；</w:t>
            </w:r>
          </w:p>
        </w:tc>
        <w:tc>
          <w:tcPr>
            <w:tcW w:w="1746" w:type="dxa"/>
            <w:vAlign w:val="center"/>
          </w:tcPr>
          <w:p>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24</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w:t>
            </w:r>
            <w:r>
              <w:rPr>
                <w:rFonts w:hint="eastAsia" w:ascii="Times New Roman" w:hAnsi="Times New Roman"/>
                <w:bCs/>
                <w:color w:val="auto"/>
                <w:kern w:val="0"/>
                <w:sz w:val="24"/>
                <w:highlight w:val="none"/>
              </w:rPr>
              <w:t>1</w:t>
            </w:r>
            <w:r>
              <w:rPr>
                <w:rFonts w:ascii="Times New Roman" w:hAnsi="Times New Roman"/>
                <w:bCs/>
                <w:color w:val="auto"/>
                <w:kern w:val="0"/>
                <w:sz w:val="24"/>
                <w:highlight w:val="none"/>
              </w:rPr>
              <w:t>年</w:t>
            </w:r>
            <w:r>
              <w:rPr>
                <w:rFonts w:hint="eastAsia" w:ascii="Times New Roman" w:hAnsi="Times New Roman"/>
                <w:bCs/>
                <w:color w:val="auto"/>
                <w:kern w:val="0"/>
                <w:sz w:val="24"/>
                <w:highlight w:val="none"/>
                <w:lang w:eastAsia="zh-CN"/>
              </w:rPr>
              <w:t>6</w:t>
            </w:r>
            <w:r>
              <w:rPr>
                <w:rFonts w:ascii="Times New Roman" w:hAnsi="Times New Roman"/>
                <w:bCs/>
                <w:color w:val="auto"/>
                <w:kern w:val="0"/>
                <w:sz w:val="24"/>
                <w:highlight w:val="none"/>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9" w:hRule="atLeast"/>
          <w:jc w:val="center"/>
        </w:trPr>
        <w:tc>
          <w:tcPr>
            <w:tcW w:w="406" w:type="dxa"/>
            <w:vMerge w:val="continue"/>
            <w:vAlign w:val="center"/>
          </w:tcPr>
          <w:p>
            <w:pPr>
              <w:jc w:val="center"/>
              <w:rPr>
                <w:rFonts w:ascii="Times New Roman" w:hAnsi="Times New Roman"/>
                <w:color w:val="auto"/>
                <w:kern w:val="0"/>
                <w:sz w:val="24"/>
                <w:highlight w:val="none"/>
              </w:rPr>
            </w:pPr>
          </w:p>
        </w:tc>
        <w:tc>
          <w:tcPr>
            <w:tcW w:w="1306" w:type="dxa"/>
            <w:vMerge w:val="continue"/>
            <w:vAlign w:val="center"/>
          </w:tcPr>
          <w:p>
            <w:pPr>
              <w:spacing w:line="300" w:lineRule="exact"/>
              <w:jc w:val="left"/>
              <w:rPr>
                <w:rFonts w:ascii="Times New Roman" w:hAnsi="Times New Roman"/>
                <w:color w:val="auto"/>
                <w:sz w:val="24"/>
                <w:highlight w:val="none"/>
              </w:rPr>
            </w:pPr>
          </w:p>
        </w:tc>
        <w:tc>
          <w:tcPr>
            <w:tcW w:w="2451" w:type="dxa"/>
            <w:vAlign w:val="center"/>
          </w:tcPr>
          <w:p>
            <w:pPr>
              <w:spacing w:line="300" w:lineRule="exact"/>
              <w:rPr>
                <w:rFonts w:ascii="Times New Roman" w:hAnsi="Times New Roman"/>
                <w:color w:val="auto"/>
                <w:sz w:val="24"/>
                <w:highlight w:val="none"/>
              </w:rPr>
            </w:pPr>
            <w:r>
              <w:rPr>
                <w:rFonts w:hint="default" w:ascii="Times New Roman" w:hAnsi="Times New Roman" w:cs="Times New Roman"/>
                <w:color w:val="auto"/>
                <w:sz w:val="24"/>
                <w:highlight w:val="none"/>
              </w:rPr>
              <w:t>③</w:t>
            </w:r>
            <w:r>
              <w:rPr>
                <w:rFonts w:ascii="Times New Roman" w:hAnsi="Times New Roman"/>
                <w:color w:val="auto"/>
                <w:sz w:val="24"/>
                <w:highlight w:val="none"/>
              </w:rPr>
              <w:t>建设49公里汕尾海丰湿地线（郊野型绿道）和73公里汕尾线（郊生态型绿道）</w:t>
            </w:r>
            <w:r>
              <w:rPr>
                <w:rFonts w:hint="eastAsia" w:ascii="Times New Roman" w:hAnsi="Times New Roman"/>
                <w:color w:val="auto"/>
                <w:sz w:val="24"/>
                <w:highlight w:val="none"/>
              </w:rPr>
              <w:t>。</w:t>
            </w:r>
          </w:p>
        </w:tc>
        <w:tc>
          <w:tcPr>
            <w:tcW w:w="1746" w:type="dxa"/>
            <w:vAlign w:val="center"/>
          </w:tcPr>
          <w:p>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县住建局</w:t>
            </w:r>
          </w:p>
          <w:p>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县林业局</w:t>
            </w:r>
          </w:p>
          <w:p>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县水务局</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提升项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24</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68" w:hRule="atLeast"/>
          <w:jc w:val="center"/>
        </w:trPr>
        <w:tc>
          <w:tcPr>
            <w:tcW w:w="406" w:type="dxa"/>
            <w:vMerge w:val="restart"/>
            <w:vAlign w:val="center"/>
          </w:tcPr>
          <w:p>
            <w:pPr>
              <w:jc w:val="center"/>
              <w:rPr>
                <w:rFonts w:ascii="Times New Roman" w:hAnsi="Times New Roman"/>
                <w:color w:val="auto"/>
                <w:kern w:val="0"/>
                <w:sz w:val="24"/>
                <w:highlight w:val="none"/>
              </w:rPr>
            </w:pPr>
            <w:r>
              <w:rPr>
                <w:rFonts w:hint="eastAsia" w:ascii="Times New Roman" w:hAnsi="Times New Roman"/>
                <w:color w:val="auto"/>
                <w:kern w:val="0"/>
                <w:sz w:val="24"/>
                <w:highlight w:val="none"/>
              </w:rPr>
              <w:t>2</w:t>
            </w:r>
          </w:p>
        </w:tc>
        <w:tc>
          <w:tcPr>
            <w:tcW w:w="1306" w:type="dxa"/>
            <w:vMerge w:val="restart"/>
            <w:vAlign w:val="center"/>
          </w:tcPr>
          <w:p>
            <w:pPr>
              <w:spacing w:line="300" w:lineRule="exact"/>
              <w:jc w:val="left"/>
              <w:rPr>
                <w:rFonts w:ascii="Times New Roman" w:hAnsi="Times New Roman"/>
                <w:color w:val="auto"/>
                <w:sz w:val="24"/>
                <w:highlight w:val="none"/>
              </w:rPr>
            </w:pPr>
            <w:r>
              <w:rPr>
                <w:rFonts w:ascii="Times New Roman" w:hAnsi="Times New Roman"/>
                <w:color w:val="auto"/>
                <w:sz w:val="24"/>
                <w:highlight w:val="none"/>
              </w:rPr>
              <w:t>林荫路建设规划</w:t>
            </w:r>
          </w:p>
        </w:tc>
        <w:tc>
          <w:tcPr>
            <w:tcW w:w="2451" w:type="dxa"/>
            <w:vAlign w:val="center"/>
          </w:tcPr>
          <w:p>
            <w:pPr>
              <w:spacing w:line="300" w:lineRule="exact"/>
              <w:rPr>
                <w:rFonts w:ascii="Times New Roman" w:hAnsi="Times New Roman"/>
                <w:color w:val="auto"/>
                <w:sz w:val="24"/>
                <w:highlight w:val="none"/>
              </w:rPr>
            </w:pPr>
            <w:r>
              <w:rPr>
                <w:rFonts w:hint="default" w:ascii="Times New Roman" w:hAnsi="Times New Roman" w:cs="Times New Roman"/>
                <w:color w:val="auto"/>
                <w:sz w:val="24"/>
                <w:highlight w:val="none"/>
              </w:rPr>
              <w:t>①</w:t>
            </w:r>
            <w:r>
              <w:rPr>
                <w:rFonts w:ascii="Times New Roman" w:hAnsi="Times New Roman"/>
                <w:color w:val="auto"/>
                <w:sz w:val="24"/>
                <w:highlight w:val="none"/>
              </w:rPr>
              <w:t>林荫路提质工程。对县城现有2</w:t>
            </w:r>
            <w:r>
              <w:rPr>
                <w:rFonts w:hint="eastAsia" w:ascii="Times New Roman" w:hAnsi="Times New Roman"/>
                <w:color w:val="auto"/>
                <w:sz w:val="24"/>
                <w:highlight w:val="none"/>
              </w:rPr>
              <w:t>5</w:t>
            </w:r>
            <w:r>
              <w:rPr>
                <w:rFonts w:ascii="Times New Roman" w:hAnsi="Times New Roman"/>
                <w:color w:val="auto"/>
                <w:sz w:val="24"/>
                <w:highlight w:val="none"/>
              </w:rPr>
              <w:t>条林荫路和</w:t>
            </w:r>
            <w:r>
              <w:rPr>
                <w:rFonts w:hint="eastAsia" w:ascii="Times New Roman" w:hAnsi="Times New Roman"/>
                <w:color w:val="auto"/>
                <w:sz w:val="24"/>
                <w:highlight w:val="none"/>
              </w:rPr>
              <w:t>21</w:t>
            </w:r>
            <w:r>
              <w:rPr>
                <w:rFonts w:ascii="Times New Roman" w:hAnsi="Times New Roman"/>
                <w:color w:val="auto"/>
                <w:sz w:val="24"/>
                <w:highlight w:val="none"/>
              </w:rPr>
              <w:t>条有行道树非林荫路进行精细养护；</w:t>
            </w:r>
          </w:p>
        </w:tc>
        <w:tc>
          <w:tcPr>
            <w:tcW w:w="1746" w:type="dxa"/>
            <w:vMerge w:val="restart"/>
            <w:vAlign w:val="center"/>
          </w:tcPr>
          <w:p>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县林业局</w:t>
            </w:r>
          </w:p>
          <w:p>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县公用事业事务中心</w:t>
            </w:r>
          </w:p>
          <w:p>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县城三镇</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45</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w:t>
            </w:r>
            <w:r>
              <w:rPr>
                <w:rFonts w:hint="eastAsia" w:ascii="Times New Roman" w:hAnsi="Times New Roman"/>
                <w:bCs/>
                <w:color w:val="auto"/>
                <w:kern w:val="0"/>
                <w:sz w:val="24"/>
                <w:highlight w:val="none"/>
              </w:rPr>
              <w:t>21</w:t>
            </w:r>
            <w:r>
              <w:rPr>
                <w:rFonts w:ascii="Times New Roman" w:hAnsi="Times New Roman"/>
                <w:bCs/>
                <w:color w:val="auto"/>
                <w:kern w:val="0"/>
                <w:sz w:val="24"/>
                <w:highlight w:val="none"/>
              </w:rPr>
              <w:t>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2" w:hRule="atLeast"/>
          <w:jc w:val="center"/>
        </w:trPr>
        <w:tc>
          <w:tcPr>
            <w:tcW w:w="406" w:type="dxa"/>
            <w:vMerge w:val="continue"/>
            <w:vAlign w:val="center"/>
          </w:tcPr>
          <w:p>
            <w:pPr>
              <w:jc w:val="center"/>
              <w:rPr>
                <w:rFonts w:ascii="Times New Roman" w:hAnsi="Times New Roman"/>
                <w:color w:val="auto"/>
                <w:kern w:val="0"/>
                <w:sz w:val="24"/>
                <w:highlight w:val="none"/>
              </w:rPr>
            </w:pPr>
          </w:p>
        </w:tc>
        <w:tc>
          <w:tcPr>
            <w:tcW w:w="1306" w:type="dxa"/>
            <w:vMerge w:val="continue"/>
            <w:vAlign w:val="center"/>
          </w:tcPr>
          <w:p>
            <w:pPr>
              <w:spacing w:line="300" w:lineRule="exact"/>
              <w:jc w:val="left"/>
              <w:rPr>
                <w:rFonts w:ascii="Times New Roman" w:hAnsi="Times New Roman"/>
                <w:color w:val="auto"/>
                <w:sz w:val="24"/>
                <w:highlight w:val="none"/>
              </w:rPr>
            </w:pPr>
          </w:p>
        </w:tc>
        <w:tc>
          <w:tcPr>
            <w:tcW w:w="2451" w:type="dxa"/>
            <w:vAlign w:val="center"/>
          </w:tcPr>
          <w:p>
            <w:pPr>
              <w:spacing w:line="300" w:lineRule="exact"/>
              <w:rPr>
                <w:rFonts w:ascii="Times New Roman" w:hAnsi="Times New Roman"/>
                <w:color w:val="auto"/>
                <w:sz w:val="24"/>
                <w:highlight w:val="none"/>
              </w:rPr>
            </w:pPr>
            <w:r>
              <w:rPr>
                <w:rFonts w:hint="default" w:ascii="Times New Roman" w:hAnsi="Times New Roman" w:cs="Times New Roman"/>
                <w:color w:val="auto"/>
                <w:sz w:val="24"/>
                <w:highlight w:val="none"/>
              </w:rPr>
              <w:t>②</w:t>
            </w:r>
            <w:r>
              <w:rPr>
                <w:rFonts w:ascii="Times New Roman" w:hAnsi="Times New Roman"/>
                <w:color w:val="auto"/>
                <w:sz w:val="24"/>
                <w:highlight w:val="none"/>
              </w:rPr>
              <w:t>对缺乏行道树的</w:t>
            </w:r>
            <w:r>
              <w:rPr>
                <w:rFonts w:hint="eastAsia" w:ascii="Times New Roman" w:hAnsi="Times New Roman"/>
                <w:color w:val="auto"/>
                <w:sz w:val="24"/>
                <w:highlight w:val="none"/>
              </w:rPr>
              <w:t>6</w:t>
            </w:r>
            <w:r>
              <w:rPr>
                <w:rFonts w:ascii="Times New Roman" w:hAnsi="Times New Roman"/>
                <w:color w:val="auto"/>
                <w:sz w:val="24"/>
                <w:highlight w:val="none"/>
              </w:rPr>
              <w:t>6道路进行改造，补植行道树。</w:t>
            </w:r>
          </w:p>
        </w:tc>
        <w:tc>
          <w:tcPr>
            <w:tcW w:w="1746" w:type="dxa"/>
            <w:vMerge w:val="continue"/>
            <w:vAlign w:val="center"/>
          </w:tcPr>
          <w:p>
            <w:pPr>
              <w:spacing w:line="300" w:lineRule="exact"/>
              <w:jc w:val="center"/>
              <w:rPr>
                <w:rFonts w:ascii="Times New Roman" w:hAnsi="Times New Roman"/>
                <w:color w:val="auto"/>
                <w:kern w:val="0"/>
                <w:sz w:val="24"/>
                <w:highlight w:val="none"/>
              </w:rPr>
            </w:pP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完善项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45</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远期</w:t>
            </w:r>
          </w:p>
        </w:tc>
      </w:tr>
    </w:tbl>
    <w:p>
      <w:pPr>
        <w:rPr>
          <w:rFonts w:ascii="Times New Roman" w:hAnsi="Times New Roman"/>
          <w:color w:val="auto"/>
          <w:highlight w:val="none"/>
        </w:rPr>
      </w:pPr>
    </w:p>
    <w:p>
      <w:pPr>
        <w:pStyle w:val="5"/>
        <w:rPr>
          <w:rFonts w:ascii="Times New Roman" w:hAnsi="Times New Roman" w:eastAsia="宋体"/>
          <w:bCs/>
          <w:color w:val="auto"/>
          <w:highlight w:val="none"/>
        </w:rPr>
      </w:pPr>
      <w:bookmarkStart w:id="184" w:name="_Toc7192"/>
      <w:bookmarkStart w:id="185" w:name="_Toc21951"/>
      <w:bookmarkStart w:id="186" w:name="_Toc17720"/>
      <w:bookmarkStart w:id="187" w:name="_Toc32294"/>
      <w:bookmarkStart w:id="188" w:name="_Toc2122"/>
      <w:bookmarkStart w:id="189" w:name="_Toc5787"/>
      <w:r>
        <w:rPr>
          <w:rFonts w:ascii="Times New Roman" w:hAnsi="Times New Roman" w:eastAsia="宋体"/>
          <w:bCs/>
          <w:color w:val="auto"/>
          <w:highlight w:val="none"/>
        </w:rPr>
        <w:t>4.5 行动五：文化传承，保护县城历史风貌</w:t>
      </w:r>
      <w:bookmarkEnd w:id="184"/>
      <w:bookmarkEnd w:id="185"/>
      <w:bookmarkEnd w:id="186"/>
      <w:bookmarkEnd w:id="187"/>
      <w:bookmarkEnd w:id="188"/>
      <w:bookmarkEnd w:id="189"/>
    </w:p>
    <w:p>
      <w:pPr>
        <w:pStyle w:val="6"/>
        <w:rPr>
          <w:rFonts w:ascii="Times New Roman" w:hAnsi="Times New Roman"/>
          <w:color w:val="auto"/>
          <w:highlight w:val="none"/>
        </w:rPr>
      </w:pPr>
      <w:bookmarkStart w:id="190" w:name="_Toc60776360"/>
      <w:bookmarkStart w:id="191" w:name="_Toc11583"/>
      <w:r>
        <w:rPr>
          <w:rFonts w:ascii="Times New Roman" w:hAnsi="Times New Roman"/>
          <w:color w:val="auto"/>
          <w:highlight w:val="none"/>
        </w:rPr>
        <w:t>4.5.1 老城保护，划定历史风貌保护区</w:t>
      </w:r>
      <w:bookmarkEnd w:id="190"/>
      <w:bookmarkEnd w:id="191"/>
    </w:p>
    <w:p>
      <w:pPr>
        <w:ind w:firstLine="560" w:firstLineChars="200"/>
        <w:rPr>
          <w:rFonts w:ascii="Times New Roman" w:hAnsi="Times New Roman"/>
          <w:color w:val="auto"/>
          <w:highlight w:val="none"/>
        </w:rPr>
      </w:pPr>
      <w:r>
        <w:rPr>
          <w:rFonts w:ascii="Times New Roman" w:hAnsi="Times New Roman"/>
          <w:color w:val="auto"/>
          <w:sz w:val="28"/>
          <w:szCs w:val="28"/>
          <w:highlight w:val="none"/>
        </w:rPr>
        <w:t>海丰县</w:t>
      </w:r>
      <w:r>
        <w:rPr>
          <w:rFonts w:hint="eastAsia" w:ascii="Times New Roman" w:hAnsi="Times New Roman"/>
          <w:color w:val="auto"/>
          <w:sz w:val="28"/>
          <w:szCs w:val="28"/>
          <w:highlight w:val="none"/>
          <w:lang w:val="en-US" w:eastAsia="zh-CN"/>
        </w:rPr>
        <w:t>在1991年2月被命名为省级历史文化名城，</w:t>
      </w:r>
      <w:r>
        <w:rPr>
          <w:rFonts w:ascii="Times New Roman" w:hAnsi="Times New Roman"/>
          <w:color w:val="auto"/>
          <w:sz w:val="28"/>
          <w:szCs w:val="28"/>
          <w:highlight w:val="none"/>
        </w:rPr>
        <w:t>是中国第一个苏维埃政权诞生地、全国十三块革命根据地之一、广东历史文化名城，具有丰富的历史、红色文化资源。</w:t>
      </w:r>
    </w:p>
    <w:p>
      <w:pPr>
        <w:ind w:firstLine="562" w:firstLineChars="200"/>
        <w:rPr>
          <w:rFonts w:ascii="Times New Roman" w:hAnsi="Times New Roman"/>
          <w:b/>
          <w:bCs/>
          <w:color w:val="auto"/>
          <w:sz w:val="28"/>
          <w:szCs w:val="28"/>
          <w:highlight w:val="none"/>
        </w:rPr>
      </w:pPr>
      <w:r>
        <w:rPr>
          <w:rFonts w:hint="eastAsia" w:ascii="Times New Roman" w:hAnsi="Times New Roman"/>
          <w:b/>
          <w:bCs/>
          <w:color w:val="auto"/>
          <w:sz w:val="28"/>
          <w:szCs w:val="28"/>
          <w:highlight w:val="none"/>
        </w:rPr>
        <w:t>（</w:t>
      </w:r>
      <w:r>
        <w:rPr>
          <w:rFonts w:ascii="Times New Roman" w:hAnsi="Times New Roman"/>
          <w:b/>
          <w:bCs/>
          <w:color w:val="auto"/>
          <w:sz w:val="28"/>
          <w:szCs w:val="28"/>
          <w:highlight w:val="none"/>
        </w:rPr>
        <w:t>1</w:t>
      </w:r>
      <w:r>
        <w:rPr>
          <w:rFonts w:hint="eastAsia" w:ascii="Times New Roman" w:hAnsi="Times New Roman"/>
          <w:b/>
          <w:bCs/>
          <w:color w:val="auto"/>
          <w:sz w:val="28"/>
          <w:szCs w:val="28"/>
          <w:highlight w:val="none"/>
        </w:rPr>
        <w:t>）划定历史文化街区</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海丰县县城总体规划（2015-2035年）》和《海丰县城规划区控制性详细规划》已划定县城紫线，包括3处历史文化街区，包括红宫红场历史文化街区、人民南路-红场路历史文化街区、中山西路-中山中路历史文化街区，核心保护范围 7.95 公顷，建设控制地带 19.1 公顷。历史文化街区的保护要求如下：</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核心保护范围：核心保护范围的文物建筑严格按照文物保护法进行保护。对区内风貌较好的历史建筑要严加保护，禁止拆除；在保证建筑外观的历史真实性的前提下，进行局部改造；可以对其内部进行适当改造以适应现代化生活的需要。对于区内其它历史建筑，可以在维持原有空间布局和建筑形式的基础上进行修缮和改造。在保护范围内严格控制新建建筑的高度、体量、尺度、建筑类型、材料、色彩等，使其与周边历史建筑和传统风貌相协调。</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建设控制地带的保护要求：功能应以居住和公共建筑为主，其建筑内容应根据文物保护要求进行；新建建筑的形式、体量、高度、尺度、色彩等应与周边历史建筑和传统风貌相协调，对不符合上述要求的新旧建筑应逐步搬迁和拆除，以达到环境的统一；严格限制大型商业开发，根据经济发展条件，鼓励区内小型特色商业、办公、住宅的发展，以促进区内历史建筑的再利用与小规模改造。</w:t>
      </w:r>
    </w:p>
    <w:p>
      <w:pPr>
        <w:ind w:firstLine="562" w:firstLineChars="200"/>
        <w:rPr>
          <w:rFonts w:ascii="Times New Roman" w:hAnsi="Times New Roman"/>
          <w:b/>
          <w:bCs/>
          <w:color w:val="auto"/>
          <w:sz w:val="28"/>
          <w:szCs w:val="28"/>
          <w:highlight w:val="none"/>
        </w:rPr>
      </w:pPr>
      <w:r>
        <w:rPr>
          <w:rFonts w:hint="eastAsia" w:ascii="Times New Roman" w:hAnsi="Times New Roman"/>
          <w:b/>
          <w:bCs/>
          <w:color w:val="auto"/>
          <w:sz w:val="28"/>
          <w:szCs w:val="28"/>
          <w:highlight w:val="none"/>
        </w:rPr>
        <w:t>（</w:t>
      </w:r>
      <w:r>
        <w:rPr>
          <w:rFonts w:ascii="Times New Roman" w:hAnsi="Times New Roman"/>
          <w:b/>
          <w:bCs/>
          <w:color w:val="auto"/>
          <w:sz w:val="28"/>
          <w:szCs w:val="28"/>
          <w:highlight w:val="none"/>
        </w:rPr>
        <w:t>2</w:t>
      </w:r>
      <w:r>
        <w:rPr>
          <w:rFonts w:hint="eastAsia" w:ascii="Times New Roman" w:hAnsi="Times New Roman"/>
          <w:b/>
          <w:bCs/>
          <w:color w:val="auto"/>
          <w:sz w:val="28"/>
          <w:szCs w:val="28"/>
          <w:highlight w:val="none"/>
        </w:rPr>
        <w:t>）</w:t>
      </w:r>
      <w:r>
        <w:rPr>
          <w:rFonts w:hint="eastAsia" w:ascii="Times New Roman" w:hAnsi="Times New Roman"/>
          <w:b/>
          <w:bCs/>
          <w:color w:val="auto"/>
          <w:sz w:val="28"/>
          <w:szCs w:val="28"/>
          <w:highlight w:val="none"/>
          <w:lang w:val="en-US" w:eastAsia="zh-CN"/>
        </w:rPr>
        <w:t>规划</w:t>
      </w:r>
      <w:r>
        <w:rPr>
          <w:rFonts w:hint="eastAsia" w:ascii="Times New Roman" w:hAnsi="Times New Roman"/>
          <w:b/>
          <w:bCs/>
          <w:color w:val="auto"/>
          <w:sz w:val="28"/>
          <w:szCs w:val="28"/>
          <w:highlight w:val="none"/>
        </w:rPr>
        <w:t>历史文化名城</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根据《海丰县县城总体规划（2015-2035年）》和《海丰县城规划区控制性详细规划》，历史文化名城保护范围：东起中山路东段（至龙津河），西至人民西路，北起朝龙路、中山路以北 50 米范围内，南至海丰中学、人民南路以南 50 米范围内，保护范围面积为 0.41 平方公里。其中：</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海丰古街中山路（西、中、东路）：是城市风貌特色的重要组成部分，应予以足够的重视，加强保护两侧清末民初的骑楼式建筑形式。该路段空间构成应保持其历史的延续性，严格控制建筑高度、增加绿化面积及环境艺术小品，使之形成良好的景观效果；</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人民南路-红场路：是革命历史文化古迹集中地段，规划该路段为步行街，划定为重点保护区，将其周围地区依各自情况划为一般保护区和景观协调区。</w:t>
      </w:r>
    </w:p>
    <w:p>
      <w:pPr>
        <w:ind w:firstLine="562" w:firstLineChars="200"/>
        <w:rPr>
          <w:rFonts w:ascii="Times New Roman" w:hAnsi="Times New Roman"/>
          <w:b/>
          <w:bCs/>
          <w:color w:val="auto"/>
          <w:sz w:val="28"/>
          <w:szCs w:val="28"/>
          <w:highlight w:val="none"/>
        </w:rPr>
      </w:pPr>
      <w:r>
        <w:rPr>
          <w:rFonts w:hint="eastAsia" w:ascii="Times New Roman" w:hAnsi="Times New Roman"/>
          <w:b/>
          <w:bCs/>
          <w:color w:val="auto"/>
          <w:sz w:val="28"/>
          <w:szCs w:val="28"/>
          <w:highlight w:val="none"/>
        </w:rPr>
        <w:t>（</w:t>
      </w:r>
      <w:r>
        <w:rPr>
          <w:rFonts w:ascii="Times New Roman" w:hAnsi="Times New Roman"/>
          <w:b/>
          <w:bCs/>
          <w:color w:val="auto"/>
          <w:sz w:val="28"/>
          <w:szCs w:val="28"/>
          <w:highlight w:val="none"/>
        </w:rPr>
        <w:t>3</w:t>
      </w:r>
      <w:r>
        <w:rPr>
          <w:rFonts w:hint="eastAsia" w:ascii="Times New Roman" w:hAnsi="Times New Roman"/>
          <w:b/>
          <w:bCs/>
          <w:color w:val="auto"/>
          <w:sz w:val="28"/>
          <w:szCs w:val="28"/>
          <w:highlight w:val="none"/>
        </w:rPr>
        <w:t>）不可移动文物保护</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规划区范围内包含国家级文物保护单位1 处，即红宫红场；省级文物保护单位4 处，市级文物保护单位5 处，县级文物保护单位23 处。不可移动文物保护要点是严格按文物保护法的规定对文物保护单位本体及环境进行保护，禁止随意改变原有状况、面貌及环境。</w:t>
      </w:r>
    </w:p>
    <w:p>
      <w:pPr>
        <w:rPr>
          <w:rFonts w:ascii="Times New Roman" w:hAnsi="Times New Roman"/>
          <w:color w:val="auto"/>
          <w:sz w:val="28"/>
          <w:szCs w:val="28"/>
          <w:highlight w:val="none"/>
        </w:rPr>
      </w:pPr>
      <w:r>
        <w:rPr>
          <w:rFonts w:ascii="Times New Roman" w:hAnsi="Times New Roman"/>
          <w:color w:val="auto"/>
          <w:highlight w:val="none"/>
        </w:rPr>
        <w:drawing>
          <wp:inline distT="0" distB="0" distL="114300" distR="114300">
            <wp:extent cx="2592070" cy="1701165"/>
            <wp:effectExtent l="0" t="0" r="11430" b="635"/>
            <wp:docPr id="3" name="图片 3" descr="红宫正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红宫正门"/>
                    <pic:cNvPicPr>
                      <a:picLocks noChangeAspect="1"/>
                    </pic:cNvPicPr>
                  </pic:nvPicPr>
                  <pic:blipFill>
                    <a:blip r:embed="rId31"/>
                    <a:stretch>
                      <a:fillRect/>
                    </a:stretch>
                  </pic:blipFill>
                  <pic:spPr>
                    <a:xfrm>
                      <a:off x="0" y="0"/>
                      <a:ext cx="2592070" cy="1701165"/>
                    </a:xfrm>
                    <a:prstGeom prst="rect">
                      <a:avLst/>
                    </a:prstGeom>
                  </pic:spPr>
                </pic:pic>
              </a:graphicData>
            </a:graphic>
          </wp:inline>
        </w:drawing>
      </w:r>
      <w:r>
        <w:rPr>
          <w:rFonts w:ascii="Times New Roman" w:hAnsi="Times New Roman"/>
          <w:color w:val="auto"/>
          <w:highlight w:val="none"/>
        </w:rPr>
        <w:t xml:space="preserve"> </w:t>
      </w:r>
      <w:r>
        <w:rPr>
          <w:rFonts w:ascii="Times New Roman" w:hAnsi="Times New Roman"/>
          <w:color w:val="auto"/>
          <w:sz w:val="28"/>
          <w:szCs w:val="28"/>
          <w:highlight w:val="none"/>
        </w:rPr>
        <w:drawing>
          <wp:inline distT="0" distB="0" distL="114300" distR="114300">
            <wp:extent cx="2592070" cy="1721485"/>
            <wp:effectExtent l="0" t="0" r="11430" b="5715"/>
            <wp:docPr id="4" name="图片 4" descr="新厝林古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新厝林古寨"/>
                    <pic:cNvPicPr>
                      <a:picLocks noChangeAspect="1"/>
                    </pic:cNvPicPr>
                  </pic:nvPicPr>
                  <pic:blipFill>
                    <a:blip r:embed="rId32"/>
                    <a:stretch>
                      <a:fillRect/>
                    </a:stretch>
                  </pic:blipFill>
                  <pic:spPr>
                    <a:xfrm>
                      <a:off x="0" y="0"/>
                      <a:ext cx="2592070" cy="1721485"/>
                    </a:xfrm>
                    <a:prstGeom prst="rect">
                      <a:avLst/>
                    </a:prstGeom>
                  </pic:spPr>
                </pic:pic>
              </a:graphicData>
            </a:graphic>
          </wp:inline>
        </w:drawing>
      </w:r>
    </w:p>
    <w:p>
      <w:pPr>
        <w:ind w:firstLine="1680" w:firstLineChars="600"/>
        <w:rPr>
          <w:rFonts w:ascii="Times New Roman" w:hAnsi="Times New Roman"/>
          <w:color w:val="auto"/>
          <w:sz w:val="28"/>
          <w:szCs w:val="28"/>
          <w:highlight w:val="none"/>
        </w:rPr>
      </w:pPr>
      <w:r>
        <w:rPr>
          <w:rFonts w:ascii="Times New Roman" w:hAnsi="Times New Roman"/>
          <w:color w:val="auto"/>
          <w:sz w:val="28"/>
          <w:szCs w:val="28"/>
          <w:highlight w:val="none"/>
        </w:rPr>
        <w:t>红宫                        新厝林古寨</w:t>
      </w:r>
    </w:p>
    <w:p>
      <w:pPr>
        <w:rPr>
          <w:rFonts w:ascii="Times New Roman" w:hAnsi="Times New Roman"/>
          <w:color w:val="auto"/>
          <w:sz w:val="28"/>
          <w:szCs w:val="28"/>
          <w:highlight w:val="none"/>
        </w:rPr>
      </w:pPr>
      <w:r>
        <w:rPr>
          <w:rFonts w:ascii="Times New Roman" w:hAnsi="Times New Roman"/>
          <w:color w:val="auto"/>
          <w:highlight w:val="none"/>
        </w:rPr>
        <w:drawing>
          <wp:inline distT="0" distB="0" distL="114300" distR="114300">
            <wp:extent cx="2592070" cy="1676400"/>
            <wp:effectExtent l="0" t="0" r="11430" b="0"/>
            <wp:docPr id="2" name="图片 2" descr="彭湃故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彭湃故居"/>
                    <pic:cNvPicPr>
                      <a:picLocks noChangeAspect="1"/>
                    </pic:cNvPicPr>
                  </pic:nvPicPr>
                  <pic:blipFill>
                    <a:blip r:embed="rId33"/>
                    <a:stretch>
                      <a:fillRect/>
                    </a:stretch>
                  </pic:blipFill>
                  <pic:spPr>
                    <a:xfrm>
                      <a:off x="0" y="0"/>
                      <a:ext cx="2592070" cy="1676400"/>
                    </a:xfrm>
                    <a:prstGeom prst="rect">
                      <a:avLst/>
                    </a:prstGeom>
                  </pic:spPr>
                </pic:pic>
              </a:graphicData>
            </a:graphic>
          </wp:inline>
        </w:drawing>
      </w:r>
      <w:r>
        <w:rPr>
          <w:rFonts w:ascii="Times New Roman" w:hAnsi="Times New Roman"/>
          <w:color w:val="auto"/>
          <w:highlight w:val="none"/>
        </w:rPr>
        <w:t xml:space="preserve"> </w:t>
      </w:r>
      <w:r>
        <w:rPr>
          <w:rFonts w:ascii="Times New Roman" w:hAnsi="Times New Roman"/>
          <w:color w:val="auto"/>
          <w:sz w:val="28"/>
          <w:szCs w:val="28"/>
          <w:highlight w:val="none"/>
        </w:rPr>
        <w:drawing>
          <wp:inline distT="0" distB="0" distL="114300" distR="114300">
            <wp:extent cx="2592070" cy="1671955"/>
            <wp:effectExtent l="0" t="0" r="11430" b="4445"/>
            <wp:docPr id="5" name="图片 5" descr="陈炯明都督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陈炯明都督府"/>
                    <pic:cNvPicPr>
                      <a:picLocks noChangeAspect="1"/>
                    </pic:cNvPicPr>
                  </pic:nvPicPr>
                  <pic:blipFill>
                    <a:blip r:embed="rId34"/>
                    <a:srcRect t="2877"/>
                    <a:stretch>
                      <a:fillRect/>
                    </a:stretch>
                  </pic:blipFill>
                  <pic:spPr>
                    <a:xfrm>
                      <a:off x="0" y="0"/>
                      <a:ext cx="2592070" cy="1671955"/>
                    </a:xfrm>
                    <a:prstGeom prst="rect">
                      <a:avLst/>
                    </a:prstGeom>
                  </pic:spPr>
                </pic:pic>
              </a:graphicData>
            </a:graphic>
          </wp:inline>
        </w:drawing>
      </w:r>
    </w:p>
    <w:p>
      <w:pPr>
        <w:ind w:firstLine="1400" w:firstLineChars="500"/>
        <w:rPr>
          <w:rFonts w:ascii="Times New Roman" w:hAnsi="Times New Roman"/>
          <w:color w:val="auto"/>
          <w:sz w:val="28"/>
          <w:szCs w:val="28"/>
          <w:highlight w:val="none"/>
        </w:rPr>
      </w:pPr>
      <w:r>
        <w:rPr>
          <w:rFonts w:ascii="Times New Roman" w:hAnsi="Times New Roman"/>
          <w:color w:val="auto"/>
          <w:sz w:val="28"/>
          <w:szCs w:val="28"/>
          <w:highlight w:val="none"/>
        </w:rPr>
        <w:t>彭湃故居                     陈炯明都督府</w:t>
      </w:r>
    </w:p>
    <w:p>
      <w:pPr>
        <w:pStyle w:val="2"/>
        <w:ind w:left="0" w:leftChars="0" w:firstLine="0" w:firstLineChars="0"/>
        <w:jc w:val="center"/>
        <w:rPr>
          <w:rFonts w:ascii="Times New Roman" w:hAnsi="Times New Roman" w:eastAsia="宋体"/>
          <w:b/>
          <w:bCs/>
          <w:color w:val="auto"/>
          <w:highlight w:val="none"/>
        </w:rPr>
      </w:pPr>
      <w:r>
        <w:rPr>
          <w:rFonts w:ascii="Times New Roman" w:hAnsi="Times New Roman" w:eastAsia="宋体"/>
          <w:b/>
          <w:bCs/>
          <w:color w:val="auto"/>
          <w:szCs w:val="28"/>
          <w:highlight w:val="none"/>
        </w:rPr>
        <w:t>图4-</w:t>
      </w:r>
      <w:r>
        <w:rPr>
          <w:rFonts w:hint="eastAsia" w:ascii="Times New Roman" w:hAnsi="Times New Roman" w:eastAsia="宋体"/>
          <w:b/>
          <w:bCs/>
          <w:color w:val="auto"/>
          <w:szCs w:val="28"/>
          <w:highlight w:val="none"/>
        </w:rPr>
        <w:t>5-1</w:t>
      </w:r>
      <w:r>
        <w:rPr>
          <w:rFonts w:ascii="Times New Roman" w:hAnsi="Times New Roman" w:eastAsia="宋体"/>
          <w:b/>
          <w:bCs/>
          <w:color w:val="auto"/>
          <w:szCs w:val="28"/>
          <w:highlight w:val="none"/>
        </w:rPr>
        <w:t xml:space="preserve"> 海丰县不可移动文物</w:t>
      </w:r>
    </w:p>
    <w:p>
      <w:pPr>
        <w:pStyle w:val="6"/>
        <w:rPr>
          <w:rFonts w:ascii="Times New Roman" w:hAnsi="Times New Roman"/>
          <w:color w:val="auto"/>
          <w:highlight w:val="none"/>
        </w:rPr>
      </w:pPr>
      <w:bookmarkStart w:id="192" w:name="_Toc20930"/>
      <w:bookmarkStart w:id="193" w:name="_Toc60776361"/>
      <w:r>
        <w:rPr>
          <w:rFonts w:ascii="Times New Roman" w:hAnsi="Times New Roman"/>
          <w:color w:val="auto"/>
          <w:highlight w:val="none"/>
        </w:rPr>
        <w:t>4.5.2 文化传承，保护非物质文化遗产</w:t>
      </w:r>
      <w:bookmarkEnd w:id="192"/>
      <w:bookmarkEnd w:id="193"/>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海丰县拥有国家级非物质文化遗产3项，分别为：西秦戏、白字戏、麒麟舞；省级非物质文化遗产3项，分别为：五福狮、拂秋千、海丰歌谣。</w:t>
      </w:r>
    </w:p>
    <w:p>
      <w:pPr>
        <w:ind w:firstLine="560" w:firstLineChars="200"/>
        <w:rPr>
          <w:rFonts w:ascii="Times New Roman" w:hAnsi="Times New Roman"/>
          <w:color w:val="auto"/>
          <w:sz w:val="28"/>
          <w:szCs w:val="28"/>
          <w:highlight w:val="none"/>
        </w:rPr>
      </w:pPr>
      <w:r>
        <w:rPr>
          <w:rFonts w:ascii="Times New Roman" w:hAnsi="Times New Roman"/>
          <w:color w:val="auto"/>
          <w:sz w:val="28"/>
          <w:szCs w:val="28"/>
          <w:highlight w:val="none"/>
        </w:rPr>
        <w:t>非物质文化遗产的保护应遵循本真性、整体性、科学性和濒危优先性原则。要做到充分了解本地区非物质文化遗产的种类、数量和分布情况，总结现状存在问题，建立和完善本地区为物质文化遗产名录体系。</w:t>
      </w:r>
    </w:p>
    <w:p>
      <w:pPr>
        <w:pStyle w:val="2"/>
        <w:ind w:left="0" w:leftChars="0" w:firstLine="0" w:firstLineChars="0"/>
        <w:jc w:val="center"/>
        <w:rPr>
          <w:rFonts w:ascii="Times New Roman" w:hAnsi="Times New Roman" w:eastAsia="宋体"/>
          <w:color w:val="auto"/>
          <w:highlight w:val="none"/>
        </w:rPr>
      </w:pPr>
      <w:r>
        <w:rPr>
          <w:rFonts w:ascii="Times New Roman" w:hAnsi="Times New Roman" w:eastAsia="宋体"/>
          <w:color w:val="auto"/>
          <w:highlight w:val="none"/>
        </w:rPr>
        <w:drawing>
          <wp:inline distT="0" distB="0" distL="114300" distR="114300">
            <wp:extent cx="4622800" cy="2374900"/>
            <wp:effectExtent l="0" t="0" r="0" b="0"/>
            <wp:docPr id="32" name="图片 32" descr="16069867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1606986704(1)"/>
                    <pic:cNvPicPr>
                      <a:picLocks noChangeAspect="1"/>
                    </pic:cNvPicPr>
                  </pic:nvPicPr>
                  <pic:blipFill>
                    <a:blip r:embed="rId35"/>
                    <a:stretch>
                      <a:fillRect/>
                    </a:stretch>
                  </pic:blipFill>
                  <pic:spPr>
                    <a:xfrm>
                      <a:off x="0" y="0"/>
                      <a:ext cx="4622800" cy="2374900"/>
                    </a:xfrm>
                    <a:prstGeom prst="rect">
                      <a:avLst/>
                    </a:prstGeom>
                  </pic:spPr>
                </pic:pic>
              </a:graphicData>
            </a:graphic>
          </wp:inline>
        </w:drawing>
      </w:r>
    </w:p>
    <w:p>
      <w:pPr>
        <w:pStyle w:val="2"/>
        <w:ind w:left="0" w:leftChars="0" w:firstLine="0" w:firstLineChars="0"/>
        <w:jc w:val="center"/>
        <w:rPr>
          <w:rFonts w:ascii="Times New Roman" w:hAnsi="Times New Roman" w:eastAsia="宋体"/>
          <w:b/>
          <w:bCs/>
          <w:color w:val="auto"/>
          <w:highlight w:val="none"/>
        </w:rPr>
      </w:pPr>
      <w:r>
        <w:rPr>
          <w:rFonts w:ascii="Times New Roman" w:hAnsi="Times New Roman" w:eastAsia="宋体"/>
          <w:b/>
          <w:bCs/>
          <w:color w:val="auto"/>
          <w:highlight w:val="none"/>
        </w:rPr>
        <w:t>图4-</w:t>
      </w:r>
      <w:r>
        <w:rPr>
          <w:rFonts w:hint="eastAsia" w:ascii="Times New Roman" w:hAnsi="Times New Roman" w:eastAsia="宋体"/>
          <w:b/>
          <w:bCs/>
          <w:color w:val="auto"/>
          <w:highlight w:val="none"/>
        </w:rPr>
        <w:t>5-2</w:t>
      </w:r>
      <w:r>
        <w:rPr>
          <w:rFonts w:ascii="Times New Roman" w:hAnsi="Times New Roman" w:eastAsia="宋体"/>
          <w:b/>
          <w:bCs/>
          <w:color w:val="auto"/>
          <w:highlight w:val="none"/>
        </w:rPr>
        <w:t xml:space="preserve"> 海丰西秦白字戏 </w:t>
      </w:r>
    </w:p>
    <w:p>
      <w:pPr>
        <w:jc w:val="center"/>
        <w:rPr>
          <w:rFonts w:ascii="Times New Roman" w:hAnsi="Times New Roman"/>
          <w:b/>
          <w:bCs/>
          <w:color w:val="auto"/>
          <w:sz w:val="28"/>
          <w:szCs w:val="28"/>
          <w:highlight w:val="none"/>
        </w:rPr>
      </w:pPr>
      <w:r>
        <w:rPr>
          <w:rFonts w:ascii="Times New Roman" w:hAnsi="Times New Roman"/>
          <w:b/>
          <w:bCs/>
          <w:color w:val="auto"/>
          <w:sz w:val="28"/>
          <w:szCs w:val="28"/>
          <w:highlight w:val="none"/>
        </w:rPr>
        <w:t>表4-</w:t>
      </w:r>
      <w:r>
        <w:rPr>
          <w:rFonts w:hint="eastAsia" w:ascii="Times New Roman" w:hAnsi="Times New Roman"/>
          <w:b/>
          <w:bCs/>
          <w:color w:val="auto"/>
          <w:sz w:val="28"/>
          <w:szCs w:val="28"/>
          <w:highlight w:val="none"/>
        </w:rPr>
        <w:t>5-1</w:t>
      </w:r>
      <w:r>
        <w:rPr>
          <w:rFonts w:ascii="Times New Roman" w:hAnsi="Times New Roman"/>
          <w:b/>
          <w:bCs/>
          <w:color w:val="auto"/>
          <w:sz w:val="28"/>
          <w:szCs w:val="28"/>
          <w:highlight w:val="none"/>
        </w:rPr>
        <w:t xml:space="preserve"> 海丰县文化传承行动方案</w:t>
      </w:r>
    </w:p>
    <w:tbl>
      <w:tblPr>
        <w:tblStyle w:val="20"/>
        <w:tblW w:w="85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6"/>
        <w:gridCol w:w="1306"/>
        <w:gridCol w:w="2451"/>
        <w:gridCol w:w="1746"/>
        <w:gridCol w:w="870"/>
        <w:gridCol w:w="870"/>
        <w:gridCol w:w="8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406"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序号</w:t>
            </w:r>
          </w:p>
        </w:tc>
        <w:tc>
          <w:tcPr>
            <w:tcW w:w="1306"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项目</w:t>
            </w:r>
          </w:p>
        </w:tc>
        <w:tc>
          <w:tcPr>
            <w:tcW w:w="2451"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内容</w:t>
            </w:r>
          </w:p>
        </w:tc>
        <w:tc>
          <w:tcPr>
            <w:tcW w:w="1746"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责任单位</w:t>
            </w:r>
          </w:p>
        </w:tc>
        <w:tc>
          <w:tcPr>
            <w:tcW w:w="870" w:type="dxa"/>
            <w:vAlign w:val="center"/>
          </w:tcPr>
          <w:p>
            <w:pPr>
              <w:jc w:val="center"/>
              <w:rPr>
                <w:rFonts w:ascii="Times New Roman" w:hAnsi="Times New Roman"/>
                <w:b/>
                <w:color w:val="auto"/>
                <w:kern w:val="0"/>
                <w:sz w:val="24"/>
                <w:highlight w:val="none"/>
              </w:rPr>
            </w:pPr>
            <w:r>
              <w:rPr>
                <w:rFonts w:hint="eastAsia" w:ascii="Times New Roman" w:hAnsi="Times New Roman"/>
                <w:b/>
                <w:color w:val="auto"/>
                <w:kern w:val="0"/>
                <w:sz w:val="24"/>
                <w:highlight w:val="none"/>
              </w:rPr>
              <w:t>性质</w:t>
            </w:r>
          </w:p>
        </w:tc>
        <w:tc>
          <w:tcPr>
            <w:tcW w:w="870"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对应考核指标</w:t>
            </w:r>
          </w:p>
        </w:tc>
        <w:tc>
          <w:tcPr>
            <w:tcW w:w="871" w:type="dxa"/>
            <w:vAlign w:val="center"/>
          </w:tcPr>
          <w:p>
            <w:pPr>
              <w:jc w:val="center"/>
              <w:rPr>
                <w:rFonts w:ascii="Times New Roman" w:hAnsi="Times New Roman"/>
                <w:b/>
                <w:color w:val="auto"/>
                <w:kern w:val="0"/>
                <w:sz w:val="24"/>
                <w:highlight w:val="none"/>
              </w:rPr>
            </w:pPr>
            <w:r>
              <w:rPr>
                <w:rFonts w:ascii="Times New Roman" w:hAnsi="Times New Roman"/>
                <w:b/>
                <w:color w:val="auto"/>
                <w:kern w:val="0"/>
                <w:sz w:val="24"/>
                <w:highlight w:val="none"/>
              </w:rPr>
              <w:t>完成时间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0" w:hRule="atLeast"/>
          <w:jc w:val="center"/>
        </w:trPr>
        <w:tc>
          <w:tcPr>
            <w:tcW w:w="4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1</w:t>
            </w:r>
          </w:p>
        </w:tc>
        <w:tc>
          <w:tcPr>
            <w:tcW w:w="1306" w:type="dxa"/>
            <w:vAlign w:val="center"/>
          </w:tcPr>
          <w:p>
            <w:pPr>
              <w:spacing w:line="300" w:lineRule="exact"/>
              <w:rPr>
                <w:rFonts w:ascii="Times New Roman" w:hAnsi="Times New Roman"/>
                <w:color w:val="auto"/>
                <w:kern w:val="0"/>
                <w:sz w:val="24"/>
                <w:highlight w:val="none"/>
              </w:rPr>
            </w:pPr>
            <w:r>
              <w:rPr>
                <w:rFonts w:ascii="Times New Roman" w:hAnsi="Times New Roman"/>
                <w:color w:val="auto"/>
                <w:kern w:val="0"/>
                <w:sz w:val="24"/>
                <w:highlight w:val="none"/>
              </w:rPr>
              <w:t>划定历史文化街区</w:t>
            </w:r>
          </w:p>
        </w:tc>
        <w:tc>
          <w:tcPr>
            <w:tcW w:w="2451" w:type="dxa"/>
            <w:vAlign w:val="center"/>
          </w:tcPr>
          <w:p>
            <w:pPr>
              <w:spacing w:line="300" w:lineRule="exact"/>
              <w:rPr>
                <w:rFonts w:ascii="Times New Roman" w:hAnsi="Times New Roman"/>
                <w:color w:val="auto"/>
                <w:kern w:val="0"/>
                <w:sz w:val="24"/>
                <w:highlight w:val="none"/>
              </w:rPr>
            </w:pPr>
            <w:r>
              <w:rPr>
                <w:rFonts w:ascii="Times New Roman" w:hAnsi="Times New Roman"/>
                <w:color w:val="auto"/>
                <w:kern w:val="0"/>
                <w:sz w:val="24"/>
                <w:highlight w:val="none"/>
              </w:rPr>
              <w:t>按《海丰县县城总体规划（2015-2035年）》和《海丰县城规划区控制性详细规划》划定历史文化街区和进行相应的保护。</w:t>
            </w:r>
          </w:p>
        </w:tc>
        <w:tc>
          <w:tcPr>
            <w:tcW w:w="1746" w:type="dxa"/>
            <w:vAlign w:val="center"/>
          </w:tcPr>
          <w:p>
            <w:pPr>
              <w:spacing w:line="300" w:lineRule="exact"/>
              <w:jc w:val="center"/>
              <w:rPr>
                <w:rFonts w:ascii="Times New Roman" w:hAnsi="Times New Roman"/>
                <w:color w:val="auto"/>
                <w:kern w:val="0"/>
                <w:sz w:val="24"/>
                <w:highlight w:val="none"/>
              </w:rPr>
            </w:pPr>
            <w:r>
              <w:rPr>
                <w:rFonts w:hint="eastAsia" w:ascii="Times New Roman" w:hAnsi="Times New Roman"/>
                <w:color w:val="auto"/>
                <w:kern w:val="0"/>
                <w:sz w:val="24"/>
                <w:highlight w:val="none"/>
                <w:lang w:val="en-US" w:eastAsia="zh-CN"/>
              </w:rPr>
              <w:t>县住建局</w:t>
            </w:r>
          </w:p>
        </w:tc>
        <w:tc>
          <w:tcPr>
            <w:tcW w:w="870" w:type="dxa"/>
            <w:vAlign w:val="center"/>
          </w:tcPr>
          <w:p>
            <w:pPr>
              <w:jc w:val="center"/>
              <w:rPr>
                <w:rFonts w:hint="default" w:ascii="Times New Roman" w:hAnsi="Times New Roman" w:eastAsia="宋体"/>
                <w:color w:val="auto"/>
                <w:kern w:val="0"/>
                <w:sz w:val="24"/>
                <w:highlight w:val="none"/>
                <w:lang w:val="en-US" w:eastAsia="zh-CN"/>
              </w:rPr>
            </w:pPr>
            <w:r>
              <w:rPr>
                <w:rFonts w:hint="eastAsia" w:ascii="Times New Roman" w:hAnsi="Times New Roman"/>
                <w:color w:val="auto"/>
                <w:kern w:val="0"/>
                <w:sz w:val="24"/>
                <w:highlight w:val="none"/>
                <w:lang w:val="en-US" w:eastAsia="zh-CN"/>
              </w:rPr>
              <w:t>提升项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28</w:t>
            </w:r>
          </w:p>
        </w:tc>
        <w:tc>
          <w:tcPr>
            <w:tcW w:w="871" w:type="dxa"/>
            <w:vAlign w:val="center"/>
          </w:tcPr>
          <w:p>
            <w:pPr>
              <w:jc w:val="center"/>
              <w:rPr>
                <w:rFonts w:ascii="Times New Roman" w:hAnsi="Times New Roman"/>
                <w:color w:val="auto"/>
                <w:kern w:val="0"/>
                <w:sz w:val="24"/>
                <w:highlight w:val="none"/>
              </w:rPr>
            </w:pPr>
            <w:r>
              <w:rPr>
                <w:rFonts w:ascii="Times New Roman" w:hAnsi="Times New Roman"/>
                <w:bCs/>
                <w:color w:val="auto"/>
                <w:kern w:val="0"/>
                <w:sz w:val="24"/>
                <w:highlight w:val="none"/>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2</w:t>
            </w:r>
          </w:p>
        </w:tc>
        <w:tc>
          <w:tcPr>
            <w:tcW w:w="13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划定历史文化名城</w:t>
            </w:r>
          </w:p>
        </w:tc>
        <w:tc>
          <w:tcPr>
            <w:tcW w:w="2451" w:type="dxa"/>
            <w:vAlign w:val="center"/>
          </w:tcPr>
          <w:p>
            <w:pPr>
              <w:spacing w:line="300" w:lineRule="exact"/>
              <w:rPr>
                <w:rFonts w:ascii="Times New Roman" w:hAnsi="Times New Roman"/>
                <w:color w:val="auto"/>
                <w:sz w:val="24"/>
                <w:highlight w:val="none"/>
              </w:rPr>
            </w:pPr>
            <w:r>
              <w:rPr>
                <w:rFonts w:ascii="Times New Roman" w:hAnsi="Times New Roman"/>
                <w:color w:val="auto"/>
                <w:kern w:val="0"/>
                <w:sz w:val="24"/>
                <w:highlight w:val="none"/>
              </w:rPr>
              <w:t>按《海丰县县城总体规划（2015-2035年）》和《海丰县城规划区控制性详细规划》划定历史文化名城和进行相应的保护。</w:t>
            </w:r>
          </w:p>
        </w:tc>
        <w:tc>
          <w:tcPr>
            <w:tcW w:w="1746" w:type="dxa"/>
            <w:vAlign w:val="center"/>
          </w:tcPr>
          <w:p>
            <w:pPr>
              <w:spacing w:line="300" w:lineRule="exact"/>
              <w:jc w:val="center"/>
              <w:rPr>
                <w:rFonts w:ascii="Times New Roman" w:hAnsi="Times New Roman"/>
                <w:color w:val="auto"/>
                <w:kern w:val="0"/>
                <w:sz w:val="24"/>
                <w:highlight w:val="none"/>
              </w:rPr>
            </w:pPr>
            <w:r>
              <w:rPr>
                <w:rFonts w:hint="eastAsia" w:ascii="Times New Roman" w:hAnsi="Times New Roman"/>
                <w:color w:val="auto"/>
                <w:kern w:val="0"/>
                <w:sz w:val="24"/>
                <w:highlight w:val="none"/>
                <w:lang w:val="en-US" w:eastAsia="zh-CN"/>
              </w:rPr>
              <w:t>县住建局</w:t>
            </w:r>
          </w:p>
        </w:tc>
        <w:tc>
          <w:tcPr>
            <w:tcW w:w="870" w:type="dxa"/>
            <w:vAlign w:val="center"/>
          </w:tcPr>
          <w:p>
            <w:pPr>
              <w:jc w:val="center"/>
              <w:rPr>
                <w:rFonts w:hint="default" w:ascii="Times New Roman" w:hAnsi="Times New Roman" w:eastAsia="宋体"/>
                <w:color w:val="auto"/>
                <w:kern w:val="0"/>
                <w:sz w:val="24"/>
                <w:highlight w:val="none"/>
                <w:lang w:val="en-US" w:eastAsia="zh-CN"/>
              </w:rPr>
            </w:pPr>
            <w:r>
              <w:rPr>
                <w:rFonts w:hint="eastAsia" w:ascii="Times New Roman" w:hAnsi="Times New Roman"/>
                <w:color w:val="auto"/>
                <w:kern w:val="0"/>
                <w:sz w:val="24"/>
                <w:highlight w:val="none"/>
                <w:lang w:val="en-US" w:eastAsia="zh-CN"/>
              </w:rPr>
              <w:t>提升项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28</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3</w:t>
            </w:r>
          </w:p>
        </w:tc>
        <w:tc>
          <w:tcPr>
            <w:tcW w:w="1306" w:type="dxa"/>
            <w:vAlign w:val="center"/>
          </w:tcPr>
          <w:p>
            <w:pPr>
              <w:spacing w:line="300" w:lineRule="exact"/>
              <w:rPr>
                <w:rFonts w:ascii="Times New Roman" w:hAnsi="Times New Roman"/>
                <w:color w:val="auto"/>
                <w:kern w:val="0"/>
                <w:sz w:val="24"/>
                <w:highlight w:val="none"/>
              </w:rPr>
            </w:pPr>
            <w:r>
              <w:rPr>
                <w:rFonts w:ascii="Times New Roman" w:hAnsi="Times New Roman"/>
                <w:color w:val="auto"/>
                <w:sz w:val="24"/>
                <w:highlight w:val="none"/>
              </w:rPr>
              <w:t>不可移动文物保护</w:t>
            </w:r>
          </w:p>
        </w:tc>
        <w:tc>
          <w:tcPr>
            <w:tcW w:w="2451" w:type="dxa"/>
            <w:vAlign w:val="center"/>
          </w:tcPr>
          <w:p>
            <w:pPr>
              <w:spacing w:line="300" w:lineRule="exact"/>
              <w:rPr>
                <w:rFonts w:ascii="Times New Roman" w:hAnsi="Times New Roman"/>
                <w:color w:val="auto"/>
                <w:kern w:val="0"/>
                <w:sz w:val="24"/>
                <w:highlight w:val="none"/>
              </w:rPr>
            </w:pPr>
            <w:r>
              <w:rPr>
                <w:rFonts w:ascii="Times New Roman" w:hAnsi="Times New Roman"/>
                <w:color w:val="auto"/>
                <w:sz w:val="24"/>
                <w:highlight w:val="none"/>
              </w:rPr>
              <w:t>严格按文物保护法的规定对文物保护单位本体及环境进行保护，禁止随意改变原有状况、面貌及环境。</w:t>
            </w:r>
          </w:p>
        </w:tc>
        <w:tc>
          <w:tcPr>
            <w:tcW w:w="1746" w:type="dxa"/>
            <w:vAlign w:val="center"/>
          </w:tcPr>
          <w:p>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县文体局</w:t>
            </w:r>
          </w:p>
        </w:tc>
        <w:tc>
          <w:tcPr>
            <w:tcW w:w="870" w:type="dxa"/>
            <w:vAlign w:val="center"/>
          </w:tcPr>
          <w:p>
            <w:pPr>
              <w:jc w:val="center"/>
              <w:rPr>
                <w:rFonts w:ascii="Times New Roman" w:hAnsi="Times New Roman"/>
                <w:color w:val="auto"/>
                <w:kern w:val="0"/>
                <w:sz w:val="24"/>
                <w:highlight w:val="none"/>
              </w:rPr>
            </w:pPr>
            <w:r>
              <w:rPr>
                <w:rFonts w:hint="eastAsia" w:ascii="Times New Roman" w:hAnsi="Times New Roman"/>
                <w:color w:val="auto"/>
                <w:kern w:val="0"/>
                <w:sz w:val="24"/>
                <w:highlight w:val="none"/>
                <w:lang w:bidi="ar"/>
              </w:rPr>
              <w:t>提升项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28</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6"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4</w:t>
            </w:r>
          </w:p>
        </w:tc>
        <w:tc>
          <w:tcPr>
            <w:tcW w:w="1306" w:type="dxa"/>
            <w:vAlign w:val="center"/>
          </w:tcPr>
          <w:p>
            <w:pPr>
              <w:spacing w:line="300" w:lineRule="exact"/>
              <w:jc w:val="left"/>
              <w:rPr>
                <w:rFonts w:ascii="Times New Roman" w:hAnsi="Times New Roman"/>
                <w:color w:val="auto"/>
                <w:kern w:val="0"/>
                <w:sz w:val="24"/>
                <w:highlight w:val="none"/>
              </w:rPr>
            </w:pPr>
            <w:r>
              <w:rPr>
                <w:rFonts w:ascii="Times New Roman" w:hAnsi="Times New Roman"/>
                <w:color w:val="auto"/>
                <w:sz w:val="24"/>
                <w:highlight w:val="none"/>
              </w:rPr>
              <w:t>非物质文化遗产保护</w:t>
            </w:r>
          </w:p>
        </w:tc>
        <w:tc>
          <w:tcPr>
            <w:tcW w:w="2451" w:type="dxa"/>
            <w:vAlign w:val="center"/>
          </w:tcPr>
          <w:p>
            <w:pPr>
              <w:spacing w:line="300" w:lineRule="exact"/>
              <w:rPr>
                <w:rFonts w:ascii="Times New Roman" w:hAnsi="Times New Roman"/>
                <w:color w:val="auto"/>
                <w:kern w:val="0"/>
                <w:sz w:val="24"/>
                <w:highlight w:val="none"/>
              </w:rPr>
            </w:pPr>
            <w:r>
              <w:rPr>
                <w:rFonts w:ascii="Times New Roman" w:hAnsi="Times New Roman"/>
                <w:color w:val="auto"/>
                <w:sz w:val="24"/>
                <w:highlight w:val="none"/>
              </w:rPr>
              <w:t>充分了解本地区非物质文化遗产的种类、数量和分布情况，总结现状存在问题，建立和完善本地区为物质文化遗产名录体系。</w:t>
            </w:r>
          </w:p>
        </w:tc>
        <w:tc>
          <w:tcPr>
            <w:tcW w:w="1746" w:type="dxa"/>
            <w:vAlign w:val="center"/>
          </w:tcPr>
          <w:p>
            <w:pPr>
              <w:spacing w:line="300" w:lineRule="exact"/>
              <w:jc w:val="center"/>
              <w:rPr>
                <w:rFonts w:ascii="Times New Roman" w:hAnsi="Times New Roman"/>
                <w:color w:val="auto"/>
                <w:kern w:val="0"/>
                <w:sz w:val="24"/>
                <w:highlight w:val="none"/>
              </w:rPr>
            </w:pPr>
            <w:r>
              <w:rPr>
                <w:rFonts w:ascii="Times New Roman" w:hAnsi="Times New Roman"/>
                <w:color w:val="auto"/>
                <w:kern w:val="0"/>
                <w:sz w:val="24"/>
                <w:highlight w:val="none"/>
              </w:rPr>
              <w:t>县文体局</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提升项</w:t>
            </w:r>
          </w:p>
        </w:tc>
        <w:tc>
          <w:tcPr>
            <w:tcW w:w="870" w:type="dxa"/>
            <w:vAlign w:val="center"/>
          </w:tcPr>
          <w:p>
            <w:pPr>
              <w:jc w:val="center"/>
              <w:rPr>
                <w:rFonts w:ascii="Times New Roman" w:hAnsi="Times New Roman"/>
                <w:color w:val="auto"/>
                <w:kern w:val="0"/>
                <w:sz w:val="24"/>
                <w:highlight w:val="none"/>
              </w:rPr>
            </w:pPr>
            <w:r>
              <w:rPr>
                <w:rFonts w:ascii="Times New Roman" w:hAnsi="Times New Roman"/>
                <w:color w:val="auto"/>
                <w:kern w:val="0"/>
                <w:sz w:val="24"/>
                <w:highlight w:val="none"/>
              </w:rPr>
              <w:t>28</w:t>
            </w:r>
          </w:p>
        </w:tc>
        <w:tc>
          <w:tcPr>
            <w:tcW w:w="871" w:type="dxa"/>
            <w:vAlign w:val="center"/>
          </w:tcPr>
          <w:p>
            <w:pPr>
              <w:jc w:val="center"/>
              <w:rPr>
                <w:rFonts w:ascii="Times New Roman" w:hAnsi="Times New Roman"/>
                <w:bCs/>
                <w:color w:val="auto"/>
                <w:kern w:val="0"/>
                <w:sz w:val="24"/>
                <w:highlight w:val="none"/>
              </w:rPr>
            </w:pPr>
            <w:r>
              <w:rPr>
                <w:rFonts w:ascii="Times New Roman" w:hAnsi="Times New Roman"/>
                <w:bCs/>
                <w:color w:val="auto"/>
                <w:kern w:val="0"/>
                <w:sz w:val="24"/>
                <w:highlight w:val="none"/>
              </w:rPr>
              <w:t>远期</w:t>
            </w:r>
          </w:p>
        </w:tc>
      </w:tr>
    </w:tbl>
    <w:p>
      <w:pPr>
        <w:rPr>
          <w:rFonts w:ascii="Times New Roman" w:hAnsi="Times New Roman"/>
          <w:color w:val="auto"/>
          <w:highlight w:val="none"/>
        </w:rPr>
      </w:pPr>
    </w:p>
    <w:p>
      <w:pPr>
        <w:pStyle w:val="4"/>
        <w:rPr>
          <w:rFonts w:ascii="Times New Roman" w:hAnsi="Times New Roman" w:eastAsia="宋体"/>
          <w:bCs/>
          <w:color w:val="auto"/>
          <w:highlight w:val="none"/>
        </w:rPr>
      </w:pPr>
      <w:bookmarkStart w:id="194" w:name="_Toc27549"/>
      <w:bookmarkStart w:id="195" w:name="_Toc30116"/>
      <w:bookmarkStart w:id="196" w:name="_Toc7339"/>
      <w:bookmarkStart w:id="197" w:name="_Toc32227"/>
      <w:bookmarkStart w:id="198" w:name="_Toc29812"/>
      <w:bookmarkStart w:id="199" w:name="_Toc20762"/>
      <w:r>
        <w:rPr>
          <w:rFonts w:ascii="Times New Roman" w:hAnsi="Times New Roman" w:eastAsia="宋体"/>
          <w:bCs/>
          <w:color w:val="auto"/>
          <w:highlight w:val="none"/>
        </w:rPr>
        <w:t>5 保障机制</w:t>
      </w:r>
      <w:bookmarkEnd w:id="194"/>
      <w:bookmarkEnd w:id="195"/>
      <w:bookmarkEnd w:id="196"/>
      <w:bookmarkEnd w:id="197"/>
      <w:bookmarkEnd w:id="198"/>
      <w:bookmarkEnd w:id="199"/>
    </w:p>
    <w:p>
      <w:pPr>
        <w:pStyle w:val="5"/>
        <w:rPr>
          <w:rFonts w:ascii="Times New Roman" w:hAnsi="Times New Roman" w:eastAsia="宋体"/>
          <w:color w:val="auto"/>
          <w:highlight w:val="none"/>
        </w:rPr>
      </w:pPr>
      <w:bookmarkStart w:id="200" w:name="_Toc7077"/>
      <w:bookmarkStart w:id="201" w:name="_Toc24173"/>
      <w:bookmarkStart w:id="202" w:name="_Toc31216"/>
      <w:bookmarkStart w:id="203" w:name="_Toc18210"/>
      <w:bookmarkStart w:id="204" w:name="_Toc3778"/>
      <w:bookmarkStart w:id="205" w:name="_Toc30725"/>
      <w:bookmarkStart w:id="206" w:name="_Toc12212"/>
      <w:bookmarkStart w:id="207" w:name="_Toc5151"/>
      <w:r>
        <w:rPr>
          <w:rFonts w:ascii="Times New Roman" w:hAnsi="Times New Roman" w:eastAsia="宋体"/>
          <w:color w:val="auto"/>
          <w:highlight w:val="none"/>
        </w:rPr>
        <w:t>5.1 强化组织领导</w:t>
      </w:r>
      <w:bookmarkEnd w:id="200"/>
      <w:bookmarkEnd w:id="201"/>
      <w:bookmarkEnd w:id="202"/>
      <w:bookmarkEnd w:id="203"/>
      <w:bookmarkEnd w:id="204"/>
      <w:bookmarkEnd w:id="205"/>
      <w:bookmarkEnd w:id="206"/>
      <w:bookmarkEnd w:id="207"/>
    </w:p>
    <w:p>
      <w:pPr>
        <w:spacing w:line="360" w:lineRule="auto"/>
        <w:ind w:firstLine="480"/>
        <w:rPr>
          <w:rFonts w:ascii="Times New Roman" w:hAnsi="Times New Roman"/>
          <w:color w:val="auto"/>
          <w:sz w:val="28"/>
          <w:szCs w:val="28"/>
          <w:highlight w:val="none"/>
        </w:rPr>
      </w:pPr>
      <w:r>
        <w:rPr>
          <w:rFonts w:ascii="Times New Roman" w:hAnsi="Times New Roman"/>
          <w:color w:val="auto"/>
          <w:sz w:val="28"/>
          <w:szCs w:val="28"/>
          <w:highlight w:val="none"/>
        </w:rPr>
        <w:t>为高效推进海丰县广东省园林县城创建工作，统筹全县资源，成立海丰县创建广东省园林县城工作领导小组。领导小组由县长或主管副县长担任组长，县政府办、创园牵头单位负责人担任副组长，把控全局。县住房城乡建设局、县自然资源局、县林业局、市</w:t>
      </w:r>
      <w:r>
        <w:rPr>
          <w:rFonts w:hint="eastAsia" w:ascii="Times New Roman" w:hAnsi="Times New Roman"/>
          <w:color w:val="auto"/>
          <w:sz w:val="28"/>
          <w:szCs w:val="28"/>
          <w:highlight w:val="none"/>
          <w:lang w:eastAsia="zh-CN"/>
        </w:rPr>
        <w:t>生态环境局</w:t>
      </w:r>
      <w:r>
        <w:rPr>
          <w:rFonts w:ascii="Times New Roman" w:hAnsi="Times New Roman"/>
          <w:color w:val="auto"/>
          <w:sz w:val="28"/>
          <w:szCs w:val="28"/>
          <w:highlight w:val="none"/>
        </w:rPr>
        <w:t>海丰分局、县公用事业事务中心、县水务局、县财政局、县交通运输局、县文化广电旅游体育局、县广播电视台、县城三镇等单位分管领导为成员，负责统筹协调和督查指导各指标工作推进。</w:t>
      </w:r>
    </w:p>
    <w:p>
      <w:pPr>
        <w:spacing w:line="360" w:lineRule="auto"/>
        <w:ind w:firstLine="480"/>
        <w:rPr>
          <w:rFonts w:ascii="Times New Roman" w:hAnsi="Times New Roman"/>
          <w:color w:val="auto"/>
          <w:sz w:val="28"/>
          <w:szCs w:val="28"/>
          <w:highlight w:val="none"/>
        </w:rPr>
      </w:pPr>
      <w:r>
        <w:rPr>
          <w:rFonts w:ascii="Times New Roman" w:hAnsi="Times New Roman"/>
          <w:color w:val="auto"/>
          <w:sz w:val="28"/>
          <w:szCs w:val="28"/>
          <w:highlight w:val="none"/>
        </w:rPr>
        <w:t>创园牵头单位成立本单位创建广东省园林县城工作领导小组，由单位负责人担任组长，统筹创园各项工作事宜。领导小组下设办公室（创园办），由牵头单位分管领导担任主任，负责具体推进创园各项工作事宜。创园办设立宣传联络、后勤保障、资料档案收集、花园小区创建、市政绿化建设、督查督导六个小组，由牵头单位相关科室（股室）负责人负责。</w:t>
      </w:r>
    </w:p>
    <w:p>
      <w:pPr>
        <w:spacing w:line="360" w:lineRule="auto"/>
        <w:ind w:firstLine="480"/>
        <w:rPr>
          <w:rFonts w:ascii="Times New Roman" w:hAnsi="Times New Roman"/>
          <w:color w:val="auto"/>
          <w:sz w:val="28"/>
          <w:szCs w:val="28"/>
          <w:highlight w:val="none"/>
        </w:rPr>
      </w:pPr>
      <w:r>
        <w:rPr>
          <w:rFonts w:ascii="Times New Roman" w:hAnsi="Times New Roman"/>
          <w:color w:val="auto"/>
          <w:sz w:val="28"/>
          <w:szCs w:val="28"/>
          <w:highlight w:val="none"/>
        </w:rPr>
        <w:t>创建广东省园林县城各责任单位，包括县住建局、县自然资源局、县林业局、县广播电视台、县公用事业事务中心、</w:t>
      </w:r>
      <w:r>
        <w:rPr>
          <w:rFonts w:hint="eastAsia" w:ascii="Times New Roman" w:hAnsi="Times New Roman"/>
          <w:color w:val="auto"/>
          <w:sz w:val="28"/>
          <w:szCs w:val="28"/>
          <w:highlight w:val="none"/>
          <w:lang w:val="en-US" w:eastAsia="zh-CN"/>
        </w:rPr>
        <w:t>市</w:t>
      </w:r>
      <w:r>
        <w:rPr>
          <w:rFonts w:ascii="Times New Roman" w:hAnsi="Times New Roman"/>
          <w:color w:val="auto"/>
          <w:sz w:val="28"/>
          <w:szCs w:val="28"/>
          <w:highlight w:val="none"/>
        </w:rPr>
        <w:t>生态</w:t>
      </w:r>
      <w:r>
        <w:rPr>
          <w:rFonts w:hint="eastAsia" w:ascii="Times New Roman" w:hAnsi="Times New Roman"/>
          <w:color w:val="auto"/>
          <w:sz w:val="28"/>
          <w:szCs w:val="28"/>
          <w:highlight w:val="none"/>
          <w:lang w:val="en-US" w:eastAsia="zh-CN"/>
        </w:rPr>
        <w:t>环境局海丰分局</w:t>
      </w:r>
      <w:r>
        <w:rPr>
          <w:rFonts w:ascii="Times New Roman" w:hAnsi="Times New Roman"/>
          <w:color w:val="auto"/>
          <w:sz w:val="28"/>
          <w:szCs w:val="28"/>
          <w:highlight w:val="none"/>
        </w:rPr>
        <w:t>、县水务局等部门，应抽调具有一定专业技能、熟悉业务的人员负责落实本单位创园具体事务，积极推动创园指标建设。</w:t>
      </w:r>
    </w:p>
    <w:p>
      <w:pPr>
        <w:pStyle w:val="5"/>
        <w:rPr>
          <w:rFonts w:ascii="Times New Roman" w:hAnsi="Times New Roman" w:eastAsia="宋体"/>
          <w:color w:val="auto"/>
          <w:highlight w:val="none"/>
        </w:rPr>
      </w:pPr>
      <w:bookmarkStart w:id="208" w:name="_Toc4124"/>
      <w:bookmarkStart w:id="209" w:name="_Toc5289"/>
      <w:bookmarkStart w:id="210" w:name="_Toc22689"/>
      <w:bookmarkStart w:id="211" w:name="_Toc4329"/>
      <w:bookmarkStart w:id="212" w:name="_Toc8281"/>
      <w:bookmarkStart w:id="213" w:name="_Toc19632"/>
      <w:bookmarkStart w:id="214" w:name="_Toc16296"/>
      <w:bookmarkStart w:id="215" w:name="_Toc32256"/>
      <w:r>
        <w:rPr>
          <w:rFonts w:ascii="Times New Roman" w:hAnsi="Times New Roman" w:eastAsia="宋体"/>
          <w:color w:val="auto"/>
          <w:highlight w:val="none"/>
        </w:rPr>
        <w:t>5.2 制定</w:t>
      </w:r>
      <w:bookmarkEnd w:id="208"/>
      <w:bookmarkEnd w:id="209"/>
      <w:r>
        <w:rPr>
          <w:rFonts w:ascii="Times New Roman" w:hAnsi="Times New Roman" w:eastAsia="宋体"/>
          <w:color w:val="auto"/>
          <w:highlight w:val="none"/>
        </w:rPr>
        <w:t>专项方案</w:t>
      </w:r>
      <w:bookmarkEnd w:id="210"/>
      <w:bookmarkEnd w:id="211"/>
      <w:bookmarkEnd w:id="212"/>
      <w:bookmarkEnd w:id="213"/>
      <w:bookmarkEnd w:id="214"/>
      <w:bookmarkEnd w:id="215"/>
    </w:p>
    <w:p>
      <w:pPr>
        <w:spacing w:line="360" w:lineRule="auto"/>
        <w:ind w:firstLine="560"/>
        <w:rPr>
          <w:rFonts w:ascii="Times New Roman" w:hAnsi="Times New Roman"/>
          <w:color w:val="auto"/>
          <w:sz w:val="28"/>
          <w:szCs w:val="28"/>
          <w:highlight w:val="none"/>
        </w:rPr>
      </w:pPr>
      <w:r>
        <w:rPr>
          <w:rFonts w:ascii="Times New Roman" w:hAnsi="Times New Roman"/>
          <w:color w:val="auto"/>
          <w:sz w:val="28"/>
          <w:szCs w:val="28"/>
          <w:highlight w:val="none"/>
        </w:rPr>
        <w:t>按照广东省级园林县城申报要求，海丰县需制定创建广东省园林县城工作方案，明确工作任务、责任单位和时间节点。各单位根据创园工作方案要求，对责任指标进行深化、优化和特色化工作，制定专项行动计划并积极落实，按时间节点要求，提交各项成果材料。</w:t>
      </w:r>
    </w:p>
    <w:p>
      <w:pPr>
        <w:pStyle w:val="5"/>
        <w:rPr>
          <w:rFonts w:ascii="Times New Roman" w:hAnsi="Times New Roman" w:eastAsia="宋体"/>
          <w:color w:val="auto"/>
          <w:highlight w:val="none"/>
        </w:rPr>
      </w:pPr>
      <w:bookmarkStart w:id="216" w:name="_Toc8418"/>
      <w:bookmarkStart w:id="217" w:name="_Toc15839"/>
      <w:bookmarkStart w:id="218" w:name="_Toc16908"/>
      <w:bookmarkStart w:id="219" w:name="_Toc22356"/>
      <w:bookmarkStart w:id="220" w:name="_Toc13455"/>
      <w:bookmarkStart w:id="221" w:name="_Toc22079"/>
      <w:bookmarkStart w:id="222" w:name="_Toc3914"/>
      <w:bookmarkStart w:id="223" w:name="_Toc12011"/>
      <w:r>
        <w:rPr>
          <w:rFonts w:ascii="Times New Roman" w:hAnsi="Times New Roman" w:eastAsia="宋体"/>
          <w:color w:val="auto"/>
          <w:highlight w:val="none"/>
        </w:rPr>
        <w:t>5.3 建立考核机制</w:t>
      </w:r>
      <w:bookmarkEnd w:id="216"/>
      <w:bookmarkEnd w:id="217"/>
      <w:bookmarkEnd w:id="218"/>
      <w:bookmarkEnd w:id="219"/>
      <w:bookmarkEnd w:id="220"/>
      <w:bookmarkEnd w:id="221"/>
      <w:bookmarkEnd w:id="222"/>
      <w:bookmarkEnd w:id="223"/>
    </w:p>
    <w:p>
      <w:pPr>
        <w:spacing w:line="360" w:lineRule="auto"/>
        <w:rPr>
          <w:rFonts w:ascii="Times New Roman" w:hAnsi="Times New Roman"/>
          <w:color w:val="auto"/>
          <w:sz w:val="28"/>
          <w:szCs w:val="28"/>
          <w:highlight w:val="none"/>
        </w:rPr>
      </w:pPr>
      <w:r>
        <w:rPr>
          <w:rFonts w:ascii="Times New Roman" w:hAnsi="Times New Roman"/>
          <w:b/>
          <w:bCs/>
          <w:color w:val="auto"/>
          <w:sz w:val="28"/>
          <w:szCs w:val="28"/>
          <w:highlight w:val="none"/>
        </w:rPr>
        <w:t xml:space="preserve">   </w:t>
      </w:r>
      <w:r>
        <w:rPr>
          <w:rFonts w:ascii="Times New Roman" w:hAnsi="Times New Roman"/>
          <w:color w:val="auto"/>
          <w:sz w:val="28"/>
          <w:szCs w:val="28"/>
          <w:highlight w:val="none"/>
        </w:rPr>
        <w:t xml:space="preserve"> 积极落实汕尾市</w:t>
      </w:r>
      <w:r>
        <w:rPr>
          <w:rFonts w:hint="eastAsia" w:ascii="Times New Roman" w:hAnsi="Times New Roman"/>
          <w:color w:val="auto"/>
          <w:sz w:val="28"/>
          <w:szCs w:val="28"/>
          <w:highlight w:val="none"/>
          <w:lang w:val="en-US" w:eastAsia="zh-CN"/>
        </w:rPr>
        <w:t>园林城市创建</w:t>
      </w:r>
      <w:r>
        <w:rPr>
          <w:rFonts w:ascii="Times New Roman" w:hAnsi="Times New Roman"/>
          <w:color w:val="auto"/>
          <w:sz w:val="28"/>
          <w:szCs w:val="28"/>
          <w:highlight w:val="none"/>
        </w:rPr>
        <w:t>亮牌考核机制，根据海丰县具体情况，建立海丰县</w:t>
      </w:r>
      <w:r>
        <w:rPr>
          <w:rFonts w:hint="eastAsia" w:ascii="Times New Roman" w:hAnsi="Times New Roman"/>
          <w:color w:val="auto"/>
          <w:sz w:val="28"/>
          <w:szCs w:val="28"/>
          <w:highlight w:val="none"/>
          <w:lang w:val="en-US" w:eastAsia="zh-CN"/>
        </w:rPr>
        <w:t>省级园林县城</w:t>
      </w:r>
      <w:r>
        <w:rPr>
          <w:rFonts w:ascii="Times New Roman" w:hAnsi="Times New Roman"/>
          <w:color w:val="auto"/>
          <w:sz w:val="28"/>
          <w:szCs w:val="28"/>
          <w:highlight w:val="none"/>
        </w:rPr>
        <w:t>亮牌考核机制。县创建省园林县城工作领导小组根据创建广东省园林县城工作方案进度要求，采取定期和随机方式加强督查工作，掌握各责任单位工作落实情况。对创建工作落实快、效果好的责任单位给予表彰奖励；对应付工作、进度缓慢等影响创建工作整体进度的责任单位进行通报批评，对责任不落实、工作推进不力的，坚决予以批评。各责任单位应成立本单位创园工作督查督导小组，负责监督本单位落实创园各项工作事宜。</w:t>
      </w:r>
    </w:p>
    <w:p>
      <w:pPr>
        <w:pStyle w:val="5"/>
        <w:rPr>
          <w:rFonts w:ascii="Times New Roman" w:hAnsi="Times New Roman" w:eastAsia="宋体"/>
          <w:color w:val="auto"/>
          <w:highlight w:val="none"/>
        </w:rPr>
      </w:pPr>
      <w:bookmarkStart w:id="224" w:name="_Toc66"/>
      <w:bookmarkStart w:id="225" w:name="_Toc32408"/>
      <w:bookmarkStart w:id="226" w:name="_Toc4606"/>
      <w:bookmarkStart w:id="227" w:name="_Toc9590"/>
      <w:bookmarkStart w:id="228" w:name="_Toc26860"/>
      <w:bookmarkStart w:id="229" w:name="_Toc30887"/>
      <w:bookmarkStart w:id="230" w:name="_Toc4344"/>
      <w:bookmarkStart w:id="231" w:name="_Toc24929"/>
      <w:r>
        <w:rPr>
          <w:rFonts w:ascii="Times New Roman" w:hAnsi="Times New Roman" w:eastAsia="宋体"/>
          <w:color w:val="auto"/>
          <w:highlight w:val="none"/>
        </w:rPr>
        <w:t xml:space="preserve">5.4 </w:t>
      </w:r>
      <w:bookmarkEnd w:id="224"/>
      <w:bookmarkEnd w:id="225"/>
      <w:r>
        <w:rPr>
          <w:rFonts w:ascii="Times New Roman" w:hAnsi="Times New Roman" w:eastAsia="宋体"/>
          <w:color w:val="auto"/>
          <w:highlight w:val="none"/>
        </w:rPr>
        <w:t>舆论</w:t>
      </w:r>
      <w:r>
        <w:rPr>
          <w:rFonts w:hint="eastAsia" w:ascii="Times New Roman" w:hAnsi="Times New Roman" w:eastAsia="宋体"/>
          <w:color w:val="auto"/>
          <w:highlight w:val="none"/>
        </w:rPr>
        <w:t>引导</w:t>
      </w:r>
      <w:bookmarkEnd w:id="226"/>
      <w:bookmarkEnd w:id="227"/>
      <w:bookmarkEnd w:id="228"/>
      <w:bookmarkEnd w:id="229"/>
      <w:bookmarkEnd w:id="230"/>
      <w:bookmarkEnd w:id="231"/>
    </w:p>
    <w:p>
      <w:pPr>
        <w:spacing w:line="360" w:lineRule="auto"/>
        <w:rPr>
          <w:rFonts w:ascii="Times New Roman" w:hAnsi="Times New Roman"/>
          <w:color w:val="auto"/>
          <w:sz w:val="28"/>
          <w:szCs w:val="28"/>
          <w:highlight w:val="none"/>
        </w:rPr>
      </w:pPr>
      <w:r>
        <w:rPr>
          <w:rFonts w:ascii="Times New Roman" w:hAnsi="Times New Roman"/>
          <w:b/>
          <w:bCs/>
          <w:color w:val="auto"/>
          <w:sz w:val="28"/>
          <w:szCs w:val="28"/>
          <w:highlight w:val="none"/>
        </w:rPr>
        <w:t xml:space="preserve"> </w:t>
      </w:r>
      <w:r>
        <w:rPr>
          <w:rFonts w:ascii="Times New Roman" w:hAnsi="Times New Roman"/>
          <w:color w:val="auto"/>
          <w:sz w:val="28"/>
          <w:szCs w:val="28"/>
          <w:highlight w:val="none"/>
        </w:rPr>
        <w:t xml:space="preserve">   充分利用各类新闻媒体、条幅、广告、宣传册等各类宣传方式，向市民普及创园的各项相关工作和重要意义，提高创省园的知晓率、支持率和参与率，形成全民共创工作氛围，发挥舆论监督作用。</w:t>
      </w:r>
    </w:p>
    <w:p>
      <w:pPr>
        <w:jc w:val="center"/>
        <w:rPr>
          <w:rFonts w:ascii="Times New Roman" w:hAnsi="Times New Roman"/>
          <w:color w:val="auto"/>
          <w:sz w:val="28"/>
          <w:szCs w:val="28"/>
          <w:highlight w:val="none"/>
        </w:rPr>
        <w:sectPr>
          <w:pgSz w:w="11906" w:h="16838"/>
          <w:pgMar w:top="1440" w:right="1800" w:bottom="1440" w:left="1800" w:header="851" w:footer="992" w:gutter="0"/>
          <w:pgNumType w:fmt="numberInDash" w:start="1"/>
          <w:cols w:space="0" w:num="1"/>
          <w:docGrid w:type="lines" w:linePitch="312" w:charSpace="0"/>
        </w:sectPr>
      </w:pPr>
    </w:p>
    <w:p>
      <w:pPr>
        <w:rPr>
          <w:rFonts w:ascii="Times New Roman" w:hAnsi="Times New Roman"/>
          <w:color w:val="auto"/>
          <w:highlight w:val="none"/>
        </w:rPr>
      </w:pPr>
    </w:p>
    <w:p>
      <w:pPr>
        <w:pStyle w:val="4"/>
        <w:rPr>
          <w:rFonts w:ascii="Times New Roman" w:hAnsi="Times New Roman" w:eastAsia="宋体"/>
          <w:color w:val="auto"/>
          <w:sz w:val="28"/>
          <w:szCs w:val="28"/>
          <w:highlight w:val="none"/>
        </w:rPr>
      </w:pPr>
      <w:bookmarkStart w:id="232" w:name="_Toc1833"/>
      <w:bookmarkStart w:id="233" w:name="_Toc9955"/>
      <w:bookmarkStart w:id="234" w:name="_Toc32450"/>
      <w:bookmarkStart w:id="235" w:name="_Toc426"/>
      <w:bookmarkStart w:id="236" w:name="_Toc5420"/>
      <w:bookmarkStart w:id="237" w:name="_Toc14500"/>
      <w:r>
        <w:rPr>
          <w:rFonts w:ascii="Times New Roman" w:hAnsi="Times New Roman" w:eastAsia="宋体"/>
          <w:color w:val="auto"/>
          <w:sz w:val="28"/>
          <w:szCs w:val="28"/>
          <w:highlight w:val="none"/>
        </w:rPr>
        <w:t>附表一：行动方案汇总表</w:t>
      </w:r>
      <w:bookmarkEnd w:id="232"/>
      <w:bookmarkEnd w:id="233"/>
      <w:bookmarkEnd w:id="234"/>
      <w:bookmarkEnd w:id="235"/>
      <w:bookmarkEnd w:id="236"/>
      <w:bookmarkEnd w:id="237"/>
    </w:p>
    <w:p>
      <w:pPr>
        <w:pStyle w:val="5"/>
        <w:rPr>
          <w:rFonts w:ascii="Times New Roman" w:hAnsi="Times New Roman" w:eastAsia="宋体"/>
          <w:color w:val="auto"/>
          <w:sz w:val="28"/>
          <w:szCs w:val="28"/>
          <w:highlight w:val="none"/>
        </w:rPr>
      </w:pPr>
      <w:bookmarkStart w:id="238" w:name="_Toc26961"/>
      <w:bookmarkStart w:id="239" w:name="_Toc28883"/>
      <w:bookmarkStart w:id="240" w:name="_Toc23432"/>
      <w:bookmarkStart w:id="241" w:name="_Toc29792"/>
      <w:bookmarkStart w:id="242" w:name="_Toc18198"/>
      <w:bookmarkStart w:id="243" w:name="_Toc29044"/>
      <w:r>
        <w:rPr>
          <w:rFonts w:ascii="Times New Roman" w:hAnsi="Times New Roman" w:eastAsia="宋体"/>
          <w:color w:val="auto"/>
          <w:sz w:val="28"/>
          <w:szCs w:val="28"/>
          <w:highlight w:val="none"/>
        </w:rPr>
        <w:t>行动一：高效管理，完善园林县城管控体系</w:t>
      </w:r>
      <w:bookmarkEnd w:id="238"/>
      <w:bookmarkEnd w:id="239"/>
      <w:bookmarkEnd w:id="240"/>
      <w:bookmarkEnd w:id="241"/>
      <w:bookmarkEnd w:id="242"/>
      <w:bookmarkEnd w:id="243"/>
    </w:p>
    <w:tbl>
      <w:tblPr>
        <w:tblStyle w:val="20"/>
        <w:tblW w:w="956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45"/>
        <w:gridCol w:w="1578"/>
        <w:gridCol w:w="4289"/>
        <w:gridCol w:w="1111"/>
        <w:gridCol w:w="556"/>
        <w:gridCol w:w="755"/>
        <w:gridCol w:w="7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tblHeader/>
          <w:jc w:val="center"/>
        </w:trPr>
        <w:tc>
          <w:tcPr>
            <w:tcW w:w="545" w:type="dxa"/>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序号</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项目</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内容</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责任单位</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性质</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对应考核指标</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完成时间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jc w:val="center"/>
        </w:trPr>
        <w:tc>
          <w:tcPr>
            <w:tcW w:w="9567" w:type="dxa"/>
            <w:gridSpan w:val="7"/>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制度建设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0" w:hRule="atLeast"/>
          <w:jc w:val="center"/>
        </w:trPr>
        <w:tc>
          <w:tcPr>
            <w:tcW w:w="54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园林绿化资金相关文件</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经人大批准的政府预算中的批文和财政部门列有“城市园林绿化建设和维护资金”两项。</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县财政局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eastAsia" w:ascii="Times New Roman" w:hAnsi="Times New Roman"/>
                <w:color w:val="auto"/>
                <w:kern w:val="0"/>
                <w:sz w:val="24"/>
                <w:highlight w:val="none"/>
                <w:lang w:bidi="ar"/>
              </w:rPr>
              <w:t>提升项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jc w:val="center"/>
        </w:trPr>
        <w:tc>
          <w:tcPr>
            <w:tcW w:w="54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海丰县园林绿化养护管理定额标准</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经批准的海丰县园林绿化养护管理定额标准</w:t>
            </w:r>
            <w:r>
              <w:rPr>
                <w:rStyle w:val="28"/>
                <w:rFonts w:hint="default" w:ascii="Times New Roman" w:hAnsi="Times New Roman" w:eastAsia="宋体" w:cs="Times New Roman"/>
                <w:color w:val="auto"/>
                <w:highlight w:val="none"/>
                <w:lang w:bidi="ar"/>
              </w:rPr>
              <w:t>，与海丰县的园林绿化资金和各类绿地总量相适应。</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jc w:val="center"/>
        </w:trPr>
        <w:tc>
          <w:tcPr>
            <w:tcW w:w="54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县城绿线管制制度</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经批准并印发的《县城绿线管制制度》，以及执行情况报告。</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6</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5" w:hRule="atLeast"/>
          <w:jc w:val="center"/>
        </w:trPr>
        <w:tc>
          <w:tcPr>
            <w:tcW w:w="54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海丰县园林绿化工程项目建设管理办法</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经批准并印发的园林绿化县城工程项目建设管理办法。</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6</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jc w:val="center"/>
        </w:trPr>
        <w:tc>
          <w:tcPr>
            <w:tcW w:w="54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5</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县城园林绿化养护管理办法</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经批准并印发的县城园林绿化养护管理办法。</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6</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6</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海丰县生态环境保护管理规定</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经批准并印发的县城生态环境保护管理规定。</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市生态环境局海丰分局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6</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5" w:hRule="atLeast"/>
          <w:jc w:val="center"/>
        </w:trPr>
        <w:tc>
          <w:tcPr>
            <w:tcW w:w="54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7</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海丰县生物多样性保护管理规定</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经批准并印发的海丰县生物多样性保护管理规定。</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县林业局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6、31</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8</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海丰县古树名木保护管理办法</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经批准并印发的海丰县古树名木保护管理规定、直接管理单位责任书或合同书。</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县林业局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6、25</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9</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海丰县义务植树管理办法</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经批准并印发的海丰县义务植树管理办法。</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县林业局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6</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jc w:val="center"/>
        </w:trPr>
        <w:tc>
          <w:tcPr>
            <w:tcW w:w="54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10</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县城园林式居住区（单位）考核管理办法</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经批准的海丰县园林式居住区（单位）考核管理办法。</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15</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11</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海丰县大树移植管理制度</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经批准的控制大树移植及随意更换行道树种的制度</w:t>
            </w:r>
            <w:r>
              <w:rPr>
                <w:rStyle w:val="28"/>
                <w:rFonts w:hint="default" w:ascii="Times New Roman" w:hAnsi="Times New Roman" w:eastAsia="宋体" w:cs="Times New Roman"/>
                <w:color w:val="auto"/>
                <w:highlight w:val="none"/>
                <w:lang w:bidi="ar"/>
              </w:rPr>
              <w:t>，以及执行情况报告。</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县林业局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6、21、26</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12</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县城公园管理制度</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县城范围内每个公园均需特具实际情况制定一套规范化管理制度</w:t>
            </w:r>
            <w:r>
              <w:rPr>
                <w:rStyle w:val="28"/>
                <w:rFonts w:hint="default" w:ascii="Times New Roman" w:hAnsi="Times New Roman" w:eastAsia="宋体" w:cs="Times New Roman"/>
                <w:color w:val="auto"/>
                <w:highlight w:val="none"/>
                <w:lang w:bidi="ar"/>
              </w:rPr>
              <w:t>，并经过批准。</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w:t>
            </w:r>
            <w:r>
              <w:rPr>
                <w:rStyle w:val="28"/>
                <w:rFonts w:hint="default" w:ascii="Times New Roman" w:hAnsi="Times New Roman" w:eastAsia="宋体" w:cs="Times New Roman"/>
                <w:color w:val="auto"/>
                <w:highlight w:val="none"/>
                <w:lang w:bidi="ar"/>
              </w:rPr>
              <w:t>、县文体局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22</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13</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县城节约型园林绿化建设</w:t>
            </w:r>
            <w:r>
              <w:rPr>
                <w:rFonts w:hint="eastAsia" w:ascii="Times New Roman" w:hAnsi="Times New Roman"/>
                <w:color w:val="auto"/>
                <w:kern w:val="0"/>
                <w:sz w:val="24"/>
                <w:highlight w:val="none"/>
                <w:lang w:bidi="ar"/>
              </w:rPr>
              <w:t>推广</w:t>
            </w:r>
            <w:r>
              <w:rPr>
                <w:rFonts w:ascii="Times New Roman" w:hAnsi="Times New Roman"/>
                <w:color w:val="auto"/>
                <w:kern w:val="0"/>
                <w:sz w:val="24"/>
                <w:highlight w:val="none"/>
                <w:lang w:bidi="ar"/>
              </w:rPr>
              <w:t>制度</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经批准的县城节约型园林绿化建设</w:t>
            </w:r>
            <w:r>
              <w:rPr>
                <w:rFonts w:hint="eastAsia" w:ascii="Times New Roman" w:hAnsi="Times New Roman"/>
                <w:color w:val="auto"/>
                <w:kern w:val="0"/>
                <w:sz w:val="24"/>
                <w:highlight w:val="none"/>
                <w:lang w:bidi="ar"/>
              </w:rPr>
              <w:t>推广</w:t>
            </w:r>
            <w:r>
              <w:rPr>
                <w:rFonts w:ascii="Times New Roman" w:hAnsi="Times New Roman"/>
                <w:color w:val="auto"/>
                <w:kern w:val="0"/>
                <w:sz w:val="24"/>
                <w:highlight w:val="none"/>
                <w:lang w:bidi="ar"/>
              </w:rPr>
              <w:t>制度，在县城范围内控制大树移植</w:t>
            </w:r>
            <w:r>
              <w:rPr>
                <w:rStyle w:val="28"/>
                <w:rFonts w:hint="default" w:ascii="Times New Roman" w:hAnsi="Times New Roman" w:eastAsia="宋体" w:cs="Times New Roman"/>
                <w:color w:val="auto"/>
                <w:highlight w:val="none"/>
                <w:lang w:bidi="ar"/>
              </w:rPr>
              <w:t>、大广场、喷泉、水景、人工大水面、大草坪、大色块、雕塑、灯具造景。</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w:t>
            </w:r>
            <w:r>
              <w:rPr>
                <w:rStyle w:val="28"/>
                <w:rFonts w:hint="default" w:ascii="Times New Roman" w:hAnsi="Times New Roman" w:eastAsia="宋体" w:cs="Times New Roman"/>
                <w:color w:val="auto"/>
                <w:highlight w:val="none"/>
                <w:lang w:bidi="ar"/>
              </w:rPr>
              <w:t>、县林业局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26</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14</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海丰县立体绿化推广技术指引</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制定并经批准的立体绿化推广的鼓励政策</w:t>
            </w:r>
            <w:r>
              <w:rPr>
                <w:rStyle w:val="28"/>
                <w:rFonts w:hint="default" w:ascii="Times New Roman" w:hAnsi="Times New Roman" w:eastAsia="宋体" w:cs="Times New Roman"/>
                <w:color w:val="auto"/>
                <w:highlight w:val="none"/>
                <w:lang w:bidi="ar"/>
              </w:rPr>
              <w:t>、技术措施、实施方案，以及实施情况说明。</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w:t>
            </w:r>
            <w:r>
              <w:rPr>
                <w:rStyle w:val="28"/>
                <w:rFonts w:hint="default" w:ascii="Times New Roman" w:hAnsi="Times New Roman" w:eastAsia="宋体" w:cs="Times New Roman"/>
                <w:color w:val="auto"/>
                <w:highlight w:val="none"/>
                <w:lang w:bidi="ar"/>
              </w:rPr>
              <w:t>、县林业局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27</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15</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县城湿地保护实施方案、湿地资源保护管理办法、保护机构</w:t>
            </w:r>
          </w:p>
        </w:tc>
        <w:tc>
          <w:tcPr>
            <w:tcW w:w="4289" w:type="dxa"/>
            <w:shd w:val="clear" w:color="auto" w:fill="auto"/>
            <w:noWrap/>
            <w:tcMar>
              <w:top w:w="10" w:type="dxa"/>
              <w:left w:w="10" w:type="dxa"/>
              <w:right w:w="10" w:type="dxa"/>
            </w:tcMar>
            <w:vAlign w:val="center"/>
          </w:tcPr>
          <w:p>
            <w:pPr>
              <w:widowControl/>
              <w:jc w:val="center"/>
              <w:textAlignment w:val="center"/>
              <w:rPr>
                <w:rFonts w:hint="eastAsia" w:ascii="Times New Roman" w:hAnsi="Times New Roman" w:eastAsia="宋体"/>
                <w:color w:val="auto"/>
                <w:kern w:val="0"/>
                <w:sz w:val="24"/>
                <w:highlight w:val="none"/>
                <w:lang w:eastAsia="zh-CN" w:bidi="ar"/>
              </w:rPr>
            </w:pPr>
            <w:r>
              <w:rPr>
                <w:rFonts w:hint="default" w:ascii="Times New Roman" w:hAnsi="Times New Roman" w:cs="Times New Roman"/>
                <w:color w:val="auto"/>
                <w:kern w:val="0"/>
                <w:sz w:val="24"/>
                <w:highlight w:val="none"/>
                <w:lang w:bidi="ar"/>
              </w:rPr>
              <w:t>①</w:t>
            </w:r>
            <w:r>
              <w:rPr>
                <w:rFonts w:ascii="Times New Roman" w:hAnsi="Times New Roman"/>
                <w:color w:val="auto"/>
                <w:kern w:val="0"/>
                <w:sz w:val="24"/>
                <w:highlight w:val="none"/>
                <w:lang w:bidi="ar"/>
              </w:rPr>
              <w:t>经批准的县城湿地资源保护实施方案；</w:t>
            </w:r>
          </w:p>
          <w:p>
            <w:pPr>
              <w:widowControl/>
              <w:jc w:val="center"/>
              <w:textAlignment w:val="center"/>
              <w:rPr>
                <w:rFonts w:hint="eastAsia" w:ascii="Times New Roman" w:hAnsi="Times New Roman" w:eastAsia="宋体"/>
                <w:color w:val="auto"/>
                <w:kern w:val="0"/>
                <w:sz w:val="24"/>
                <w:highlight w:val="none"/>
                <w:lang w:eastAsia="zh-CN" w:bidi="ar"/>
              </w:rPr>
            </w:pPr>
            <w:r>
              <w:rPr>
                <w:rFonts w:hint="default" w:ascii="Times New Roman" w:hAnsi="Times New Roman" w:cs="Times New Roman"/>
                <w:color w:val="auto"/>
                <w:kern w:val="0"/>
                <w:sz w:val="24"/>
                <w:highlight w:val="none"/>
                <w:lang w:bidi="ar"/>
              </w:rPr>
              <w:t>②</w:t>
            </w:r>
            <w:r>
              <w:rPr>
                <w:rFonts w:ascii="Times New Roman" w:hAnsi="Times New Roman"/>
                <w:color w:val="auto"/>
                <w:kern w:val="0"/>
                <w:sz w:val="24"/>
                <w:highlight w:val="none"/>
                <w:lang w:bidi="ar"/>
              </w:rPr>
              <w:t>经批准的湿地资源保护管理办法；</w:t>
            </w:r>
          </w:p>
          <w:p>
            <w:pPr>
              <w:widowControl/>
              <w:jc w:val="center"/>
              <w:textAlignment w:val="center"/>
              <w:rPr>
                <w:rFonts w:ascii="Times New Roman" w:hAnsi="Times New Roman"/>
                <w:color w:val="auto"/>
                <w:sz w:val="24"/>
                <w:highlight w:val="none"/>
              </w:rPr>
            </w:pPr>
            <w:r>
              <w:rPr>
                <w:rFonts w:hint="default" w:ascii="Times New Roman" w:hAnsi="Times New Roman" w:cs="Times New Roman"/>
                <w:color w:val="auto"/>
                <w:kern w:val="0"/>
                <w:sz w:val="24"/>
                <w:highlight w:val="none"/>
                <w:lang w:bidi="ar"/>
              </w:rPr>
              <w:t>③</w:t>
            </w:r>
            <w:r>
              <w:rPr>
                <w:rFonts w:ascii="Times New Roman" w:hAnsi="Times New Roman"/>
                <w:color w:val="auto"/>
                <w:kern w:val="0"/>
                <w:sz w:val="24"/>
                <w:highlight w:val="none"/>
                <w:lang w:bidi="ar"/>
              </w:rPr>
              <w:t>经批准的湿地资源保护管理单位三定方案。</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县林业局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33</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16</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海丰县环卫保洁制度</w:t>
            </w:r>
          </w:p>
        </w:tc>
        <w:tc>
          <w:tcPr>
            <w:tcW w:w="4289" w:type="dxa"/>
            <w:shd w:val="clear" w:color="auto" w:fill="auto"/>
            <w:noWrap/>
            <w:tcMar>
              <w:top w:w="10" w:type="dxa"/>
              <w:left w:w="10" w:type="dxa"/>
              <w:right w:w="10" w:type="dxa"/>
            </w:tcMar>
            <w:vAlign w:val="center"/>
          </w:tcPr>
          <w:p>
            <w:pPr>
              <w:widowControl/>
              <w:jc w:val="center"/>
              <w:textAlignment w:val="center"/>
              <w:rPr>
                <w:rFonts w:hint="eastAsia" w:ascii="Times New Roman" w:hAnsi="Times New Roman" w:eastAsia="宋体"/>
                <w:color w:val="auto"/>
                <w:kern w:val="0"/>
                <w:sz w:val="24"/>
                <w:highlight w:val="none"/>
                <w:lang w:eastAsia="zh-CN" w:bidi="ar"/>
              </w:rPr>
            </w:pPr>
            <w:r>
              <w:rPr>
                <w:rFonts w:hint="default" w:ascii="Times New Roman" w:hAnsi="Times New Roman" w:cs="Times New Roman"/>
                <w:color w:val="auto"/>
                <w:kern w:val="0"/>
                <w:sz w:val="24"/>
                <w:highlight w:val="none"/>
                <w:lang w:bidi="ar"/>
              </w:rPr>
              <w:t>①</w:t>
            </w:r>
            <w:r>
              <w:rPr>
                <w:rFonts w:ascii="Times New Roman" w:hAnsi="Times New Roman"/>
                <w:color w:val="auto"/>
                <w:kern w:val="0"/>
                <w:sz w:val="24"/>
                <w:highlight w:val="none"/>
                <w:lang w:bidi="ar"/>
              </w:rPr>
              <w:t>县城各居住小区环卫保洁制度；</w:t>
            </w:r>
          </w:p>
          <w:p>
            <w:pPr>
              <w:widowControl/>
              <w:jc w:val="center"/>
              <w:textAlignment w:val="center"/>
              <w:rPr>
                <w:rFonts w:ascii="Times New Roman" w:hAnsi="Times New Roman"/>
                <w:color w:val="auto"/>
                <w:sz w:val="24"/>
                <w:highlight w:val="none"/>
              </w:rPr>
            </w:pPr>
            <w:r>
              <w:rPr>
                <w:rFonts w:hint="default" w:ascii="Times New Roman" w:hAnsi="Times New Roman" w:cs="Times New Roman"/>
                <w:color w:val="auto"/>
                <w:kern w:val="0"/>
                <w:sz w:val="24"/>
                <w:highlight w:val="none"/>
                <w:lang w:bidi="ar"/>
              </w:rPr>
              <w:t>②</w:t>
            </w:r>
            <w:r>
              <w:rPr>
                <w:rFonts w:ascii="Times New Roman" w:hAnsi="Times New Roman"/>
                <w:color w:val="auto"/>
                <w:kern w:val="0"/>
                <w:sz w:val="24"/>
                <w:highlight w:val="none"/>
                <w:lang w:bidi="ar"/>
              </w:rPr>
              <w:t>经批准的县城街道保洁管理办法。</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县住建局、在城三镇、县公用事业事务中心</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36</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17</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海丰县商业街区守法经营管理制度</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经批准的县城商业街区守法经营管理制度</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县市场监督管理局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36</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18</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海丰县交通安全管理条例</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经批准的海丰县交通安全管理相关制度文件</w:t>
            </w:r>
            <w:r>
              <w:rPr>
                <w:rStyle w:val="28"/>
                <w:rFonts w:hint="default" w:ascii="Times New Roman" w:hAnsi="Times New Roman" w:eastAsia="宋体" w:cs="Times New Roman"/>
                <w:color w:val="auto"/>
                <w:highlight w:val="none"/>
                <w:lang w:bidi="ar"/>
              </w:rPr>
              <w:t>，以及车辆停靠管理实施方案</w:t>
            </w:r>
          </w:p>
        </w:tc>
        <w:tc>
          <w:tcPr>
            <w:tcW w:w="1111" w:type="dxa"/>
            <w:shd w:val="clear" w:color="auto" w:fill="auto"/>
            <w:noWrap/>
            <w:tcMar>
              <w:top w:w="10" w:type="dxa"/>
              <w:left w:w="10" w:type="dxa"/>
              <w:right w:w="10" w:type="dxa"/>
            </w:tcMar>
            <w:vAlign w:val="center"/>
          </w:tcPr>
          <w:p>
            <w:pPr>
              <w:widowControl/>
              <w:jc w:val="center"/>
              <w:textAlignment w:val="center"/>
              <w:rPr>
                <w:rFonts w:hint="eastAsia" w:ascii="Times New Roman" w:hAnsi="Times New Roman" w:eastAsia="宋体"/>
                <w:color w:val="auto"/>
                <w:sz w:val="24"/>
                <w:highlight w:val="none"/>
                <w:lang w:eastAsia="zh-CN"/>
              </w:rPr>
            </w:pPr>
            <w:r>
              <w:rPr>
                <w:rFonts w:ascii="Times New Roman" w:hAnsi="Times New Roman"/>
                <w:color w:val="auto"/>
                <w:kern w:val="0"/>
                <w:sz w:val="24"/>
                <w:highlight w:val="none"/>
                <w:lang w:bidi="ar"/>
              </w:rPr>
              <w:t>县</w:t>
            </w:r>
            <w:r>
              <w:rPr>
                <w:rFonts w:hint="eastAsia" w:ascii="Times New Roman" w:hAnsi="Times New Roman"/>
                <w:color w:val="auto"/>
                <w:kern w:val="0"/>
                <w:sz w:val="24"/>
                <w:highlight w:val="none"/>
                <w:lang w:val="en-US" w:eastAsia="zh-CN" w:bidi="ar"/>
              </w:rPr>
              <w:t>交警大队</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36</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19</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海丰县公厕管理条例</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经批准的县城公厕管理相关制度文件</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县公用事业事务中心</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36</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海丰县市政基础设施管理条例</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经批准的供水</w:t>
            </w:r>
            <w:r>
              <w:rPr>
                <w:rStyle w:val="28"/>
                <w:rFonts w:hint="default" w:ascii="Times New Roman" w:hAnsi="Times New Roman" w:eastAsia="宋体" w:cs="Times New Roman"/>
                <w:color w:val="auto"/>
                <w:highlight w:val="none"/>
                <w:lang w:bidi="ar"/>
              </w:rPr>
              <w:t>、供气、市容环卫、园林绿化、市政设施、地下管网、道路桥梁等市政基础设施安全运行制度文件</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w:t>
            </w:r>
            <w:r>
              <w:rPr>
                <w:rStyle w:val="28"/>
                <w:rFonts w:hint="default" w:ascii="Times New Roman" w:hAnsi="Times New Roman" w:eastAsia="宋体" w:cs="Times New Roman"/>
                <w:color w:val="auto"/>
                <w:highlight w:val="none"/>
                <w:lang w:bidi="ar"/>
              </w:rPr>
              <w:t>、县供水总公司、县交通运输局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42</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21</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海丰县无障碍设施管理条例</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经批准的公共场所无障碍设施使用和维护相关制度</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43</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22</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海丰县绿色建筑和装配式建筑推广技术指引</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经批准的县城推广绿色建材和装配式建筑政策措施文件及实施情况说明</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eastAsia" w:ascii="Times New Roman" w:hAnsi="Times New Roman"/>
                <w:color w:val="auto"/>
                <w:kern w:val="0"/>
                <w:sz w:val="24"/>
                <w:highlight w:val="none"/>
                <w:lang w:bidi="ar"/>
              </w:rPr>
              <w:t>提升项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44</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pPr>
              <w:widowControl/>
              <w:jc w:val="center"/>
              <w:textAlignment w:val="center"/>
              <w:rPr>
                <w:rFonts w:hint="eastAsia" w:ascii="Times New Roman" w:hAnsi="Times New Roman" w:eastAsia="宋体"/>
                <w:color w:val="auto"/>
                <w:sz w:val="24"/>
                <w:highlight w:val="none"/>
                <w:lang w:eastAsia="zh-CN"/>
              </w:rPr>
            </w:pPr>
            <w:r>
              <w:rPr>
                <w:rFonts w:ascii="Times New Roman" w:hAnsi="Times New Roman"/>
                <w:color w:val="auto"/>
                <w:kern w:val="0"/>
                <w:sz w:val="24"/>
                <w:highlight w:val="none"/>
                <w:lang w:bidi="ar"/>
              </w:rPr>
              <w:t>2</w:t>
            </w:r>
            <w:r>
              <w:rPr>
                <w:rFonts w:hint="eastAsia" w:ascii="Times New Roman" w:hAnsi="Times New Roman"/>
                <w:color w:val="auto"/>
                <w:kern w:val="0"/>
                <w:sz w:val="24"/>
                <w:highlight w:val="none"/>
                <w:lang w:val="en-US" w:eastAsia="zh-CN" w:bidi="ar"/>
              </w:rPr>
              <w:t>3</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新建建筑风貌管理制度</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经批准的海丰县（规划区）新建建筑风貌管理相关规定</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28</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pPr>
              <w:widowControl/>
              <w:jc w:val="center"/>
              <w:textAlignment w:val="center"/>
              <w:rPr>
                <w:rFonts w:hint="eastAsia" w:ascii="Times New Roman" w:hAnsi="Times New Roman" w:eastAsia="宋体"/>
                <w:color w:val="auto"/>
                <w:sz w:val="24"/>
                <w:highlight w:val="none"/>
                <w:lang w:eastAsia="zh-CN"/>
              </w:rPr>
            </w:pPr>
            <w:r>
              <w:rPr>
                <w:rFonts w:ascii="Times New Roman" w:hAnsi="Times New Roman"/>
                <w:color w:val="auto"/>
                <w:kern w:val="0"/>
                <w:sz w:val="24"/>
                <w:highlight w:val="none"/>
                <w:lang w:bidi="ar"/>
              </w:rPr>
              <w:t>2</w:t>
            </w:r>
            <w:r>
              <w:rPr>
                <w:rFonts w:hint="eastAsia" w:ascii="Times New Roman" w:hAnsi="Times New Roman"/>
                <w:color w:val="auto"/>
                <w:kern w:val="0"/>
                <w:sz w:val="24"/>
                <w:highlight w:val="none"/>
                <w:lang w:val="en-US" w:eastAsia="zh-CN" w:bidi="ar"/>
              </w:rPr>
              <w:t>4</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海丰县绿道管理办法</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经批准的绿道管理维护制度</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23</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jc w:val="center"/>
        </w:trPr>
        <w:tc>
          <w:tcPr>
            <w:tcW w:w="9567" w:type="dxa"/>
            <w:gridSpan w:val="7"/>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szCs w:val="21"/>
                <w:highlight w:val="none"/>
              </w:rPr>
            </w:pPr>
            <w:r>
              <w:rPr>
                <w:rFonts w:ascii="Times New Roman" w:hAnsi="Times New Roman"/>
                <w:b/>
                <w:color w:val="auto"/>
                <w:kern w:val="0"/>
                <w:szCs w:val="21"/>
                <w:highlight w:val="none"/>
                <w:lang w:bidi="ar"/>
              </w:rPr>
              <w:t>规划编制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绿地系统规划</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《县城总体规划》审批一年内编制完成《县城绿地系统规划》</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4、9、10、11、12、18、20、23、31</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pPr>
              <w:widowControl/>
              <w:jc w:val="center"/>
              <w:textAlignment w:val="center"/>
              <w:rPr>
                <w:rFonts w:hint="eastAsia" w:ascii="Times New Roman" w:hAnsi="Times New Roman" w:eastAsia="宋体"/>
                <w:color w:val="auto"/>
                <w:kern w:val="0"/>
                <w:sz w:val="24"/>
                <w:highlight w:val="none"/>
                <w:lang w:val="en-US" w:eastAsia="zh-CN" w:bidi="ar"/>
              </w:rPr>
            </w:pPr>
            <w:r>
              <w:rPr>
                <w:rFonts w:hint="eastAsia" w:ascii="Times New Roman" w:hAnsi="Times New Roman"/>
                <w:color w:val="auto"/>
                <w:kern w:val="0"/>
                <w:sz w:val="24"/>
                <w:highlight w:val="none"/>
                <w:lang w:val="en-US" w:eastAsia="zh-CN" w:bidi="ar"/>
              </w:rPr>
              <w:t>2</w:t>
            </w:r>
          </w:p>
        </w:tc>
        <w:tc>
          <w:tcPr>
            <w:tcW w:w="1578" w:type="dxa"/>
            <w:shd w:val="clear" w:color="auto" w:fill="auto"/>
            <w:noWrap/>
            <w:tcMar>
              <w:top w:w="10" w:type="dxa"/>
              <w:left w:w="10" w:type="dxa"/>
              <w:right w:w="10" w:type="dxa"/>
            </w:tcMar>
            <w:vAlign w:val="center"/>
          </w:tcPr>
          <w:p>
            <w:pPr>
              <w:widowControl/>
              <w:jc w:val="center"/>
              <w:textAlignment w:val="center"/>
              <w:rPr>
                <w:rFonts w:hint="default" w:ascii="Times New Roman" w:hAnsi="Times New Roman" w:eastAsia="宋体"/>
                <w:color w:val="auto"/>
                <w:kern w:val="0"/>
                <w:sz w:val="24"/>
                <w:highlight w:val="none"/>
                <w:lang w:val="en-US" w:eastAsia="zh-CN" w:bidi="ar"/>
              </w:rPr>
            </w:pPr>
            <w:r>
              <w:rPr>
                <w:rFonts w:hint="eastAsia" w:ascii="Times New Roman" w:hAnsi="Times New Roman"/>
                <w:color w:val="auto"/>
                <w:kern w:val="0"/>
                <w:sz w:val="24"/>
                <w:highlight w:val="none"/>
                <w:lang w:val="en-US" w:eastAsia="zh-CN" w:bidi="ar"/>
              </w:rPr>
              <w:t>绿线图则</w:t>
            </w:r>
          </w:p>
        </w:tc>
        <w:tc>
          <w:tcPr>
            <w:tcW w:w="4289" w:type="dxa"/>
            <w:shd w:val="clear" w:color="auto" w:fill="auto"/>
            <w:noWrap/>
            <w:tcMar>
              <w:top w:w="10" w:type="dxa"/>
              <w:left w:w="10" w:type="dxa"/>
              <w:right w:w="10" w:type="dxa"/>
            </w:tcMar>
            <w:vAlign w:val="center"/>
          </w:tcPr>
          <w:p>
            <w:pPr>
              <w:widowControl/>
              <w:jc w:val="center"/>
              <w:textAlignment w:val="center"/>
              <w:rPr>
                <w:rFonts w:hint="default" w:ascii="Times New Roman" w:hAnsi="Times New Roman" w:eastAsia="宋体"/>
                <w:color w:val="auto"/>
                <w:kern w:val="0"/>
                <w:sz w:val="24"/>
                <w:highlight w:val="none"/>
                <w:lang w:val="en-US" w:eastAsia="zh-CN" w:bidi="ar"/>
              </w:rPr>
            </w:pPr>
            <w:r>
              <w:rPr>
                <w:rFonts w:hint="eastAsia" w:ascii="Times New Roman" w:hAnsi="Times New Roman"/>
                <w:color w:val="auto"/>
                <w:kern w:val="0"/>
                <w:sz w:val="24"/>
                <w:highlight w:val="none"/>
                <w:lang w:val="en-US" w:eastAsia="zh-CN" w:bidi="ar"/>
              </w:rPr>
              <w:t>划定绿线图则</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eastAsia="宋体" w:cs="Times New Roman"/>
                <w:color w:val="auto"/>
                <w:kern w:val="2"/>
                <w:sz w:val="24"/>
                <w:szCs w:val="24"/>
                <w:highlight w:val="none"/>
                <w:lang w:val="en-US" w:eastAsia="zh-CN" w:bidi="ar-SA"/>
              </w:rPr>
            </w:pPr>
            <w:r>
              <w:rPr>
                <w:rFonts w:ascii="Times New Roman" w:hAnsi="Times New Roman"/>
                <w:color w:val="auto"/>
                <w:kern w:val="0"/>
                <w:sz w:val="24"/>
                <w:highlight w:val="none"/>
                <w:lang w:bidi="ar"/>
              </w:rPr>
              <w:t>县住建局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eastAsia="宋体" w:cs="Times New Roman"/>
                <w:color w:val="auto"/>
                <w:kern w:val="2"/>
                <w:sz w:val="24"/>
                <w:szCs w:val="24"/>
                <w:highlight w:val="none"/>
                <w:lang w:val="en-US" w:eastAsia="zh-CN" w:bidi="ar-SA"/>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pPr>
              <w:widowControl/>
              <w:jc w:val="center"/>
              <w:textAlignment w:val="center"/>
              <w:rPr>
                <w:rFonts w:hint="eastAsia" w:ascii="Times New Roman" w:hAnsi="Times New Roman" w:eastAsia="宋体"/>
                <w:color w:val="auto"/>
                <w:kern w:val="0"/>
                <w:sz w:val="24"/>
                <w:highlight w:val="none"/>
                <w:lang w:val="en-US" w:eastAsia="zh-CN" w:bidi="ar"/>
              </w:rPr>
            </w:pPr>
            <w:r>
              <w:rPr>
                <w:rFonts w:hint="eastAsia" w:ascii="Times New Roman" w:hAnsi="Times New Roman"/>
                <w:color w:val="auto"/>
                <w:kern w:val="0"/>
                <w:sz w:val="24"/>
                <w:highlight w:val="none"/>
                <w:lang w:val="en-US" w:eastAsia="zh-CN" w:bidi="ar"/>
              </w:rPr>
              <w:t>6</w:t>
            </w:r>
          </w:p>
        </w:tc>
        <w:tc>
          <w:tcPr>
            <w:tcW w:w="733" w:type="dxa"/>
            <w:shd w:val="clear" w:color="auto" w:fill="auto"/>
            <w:noWrap/>
            <w:tcMar>
              <w:top w:w="10" w:type="dxa"/>
              <w:left w:w="10" w:type="dxa"/>
              <w:right w:w="10" w:type="dxa"/>
            </w:tcMar>
            <w:vAlign w:val="center"/>
          </w:tcPr>
          <w:p>
            <w:pPr>
              <w:widowControl/>
              <w:jc w:val="center"/>
              <w:textAlignment w:val="center"/>
              <w:rPr>
                <w:rFonts w:hint="default" w:ascii="Times New Roman" w:hAnsi="Times New Roman" w:eastAsia="宋体"/>
                <w:color w:val="auto"/>
                <w:kern w:val="0"/>
                <w:sz w:val="24"/>
                <w:highlight w:val="none"/>
                <w:lang w:val="en-US" w:eastAsia="zh-CN" w:bidi="ar"/>
              </w:rPr>
            </w:pPr>
            <w:r>
              <w:rPr>
                <w:rFonts w:hint="eastAsia" w:ascii="Times New Roman" w:hAnsi="Times New Roman"/>
                <w:color w:val="auto"/>
                <w:kern w:val="0"/>
                <w:sz w:val="24"/>
                <w:highlight w:val="none"/>
                <w:lang w:val="en-US" w:eastAsia="zh-CN" w:bidi="ar"/>
              </w:rPr>
              <w:t>2021年6月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eastAsia" w:ascii="Times New Roman" w:hAnsi="Times New Roman"/>
                <w:color w:val="auto"/>
                <w:kern w:val="0"/>
                <w:sz w:val="24"/>
                <w:highlight w:val="none"/>
                <w:lang w:val="en-US" w:eastAsia="zh-CN" w:bidi="ar"/>
              </w:rPr>
              <w:t>3</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县城绿地系统防灾避险规划</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经批准的县城绿地系统防灾避险规划或在绿地系统规划上有专篇</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23</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eastAsia" w:ascii="Times New Roman" w:hAnsi="Times New Roman"/>
                <w:color w:val="auto"/>
                <w:kern w:val="0"/>
                <w:sz w:val="24"/>
                <w:highlight w:val="none"/>
                <w:lang w:val="en-US" w:eastAsia="zh-CN" w:bidi="ar"/>
              </w:rPr>
              <w:t>4</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海丰县历史文化</w:t>
            </w:r>
            <w:r>
              <w:rPr>
                <w:rFonts w:hint="eastAsia" w:ascii="Times New Roman" w:hAnsi="Times New Roman"/>
                <w:color w:val="auto"/>
                <w:kern w:val="0"/>
                <w:sz w:val="24"/>
                <w:highlight w:val="none"/>
                <w:lang w:val="en-US" w:eastAsia="zh-CN" w:bidi="ar"/>
              </w:rPr>
              <w:t>名城</w:t>
            </w:r>
            <w:r>
              <w:rPr>
                <w:rFonts w:ascii="Times New Roman" w:hAnsi="Times New Roman"/>
                <w:color w:val="auto"/>
                <w:kern w:val="0"/>
                <w:sz w:val="24"/>
                <w:highlight w:val="none"/>
                <w:lang w:bidi="ar"/>
              </w:rPr>
              <w:t>保护规划（县域）</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经批准的海丰县历史文化</w:t>
            </w:r>
            <w:r>
              <w:rPr>
                <w:rFonts w:hint="eastAsia" w:ascii="Times New Roman" w:hAnsi="Times New Roman"/>
                <w:color w:val="auto"/>
                <w:kern w:val="0"/>
                <w:sz w:val="24"/>
                <w:highlight w:val="none"/>
                <w:lang w:val="en-US" w:eastAsia="zh-CN" w:bidi="ar"/>
              </w:rPr>
              <w:t>名城</w:t>
            </w:r>
            <w:r>
              <w:rPr>
                <w:rFonts w:ascii="Times New Roman" w:hAnsi="Times New Roman"/>
                <w:color w:val="auto"/>
                <w:kern w:val="0"/>
                <w:sz w:val="24"/>
                <w:highlight w:val="none"/>
                <w:lang w:bidi="ar"/>
              </w:rPr>
              <w:t>保护规划（县域）</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rPr>
              <w:t>县</w:t>
            </w:r>
            <w:r>
              <w:rPr>
                <w:rFonts w:hint="eastAsia" w:ascii="Times New Roman" w:hAnsi="Times New Roman"/>
                <w:color w:val="auto"/>
                <w:kern w:val="0"/>
                <w:sz w:val="24"/>
                <w:highlight w:val="none"/>
                <w:lang w:val="en-US" w:eastAsia="zh-CN"/>
              </w:rPr>
              <w:t>住建局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28</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w:t>
            </w:r>
            <w:r>
              <w:rPr>
                <w:rFonts w:hint="eastAsia" w:ascii="Times New Roman" w:hAnsi="Times New Roman"/>
                <w:color w:val="auto"/>
                <w:kern w:val="0"/>
                <w:sz w:val="24"/>
                <w:highlight w:val="none"/>
                <w:lang w:val="en-US" w:eastAsia="zh-CN" w:bidi="ar"/>
              </w:rPr>
              <w:t>6</w:t>
            </w:r>
            <w:r>
              <w:rPr>
                <w:rFonts w:ascii="Times New Roman" w:hAnsi="Times New Roman"/>
                <w:color w:val="auto"/>
                <w:kern w:val="0"/>
                <w:sz w:val="24"/>
                <w:highlight w:val="none"/>
                <w:lang w:bidi="ar"/>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eastAsia" w:ascii="Times New Roman" w:hAnsi="Times New Roman"/>
                <w:color w:val="auto"/>
                <w:kern w:val="0"/>
                <w:sz w:val="24"/>
                <w:highlight w:val="none"/>
                <w:lang w:val="en-US" w:eastAsia="zh-CN" w:bidi="ar"/>
              </w:rPr>
              <w:t>5</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海丰县历史文化风貌保护实施方案</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经批准的海丰县历史文化风貌保护实施方案</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rPr>
              <w:t>县</w:t>
            </w:r>
            <w:r>
              <w:rPr>
                <w:rFonts w:hint="eastAsia" w:ascii="Times New Roman" w:hAnsi="Times New Roman"/>
                <w:color w:val="auto"/>
                <w:kern w:val="0"/>
                <w:sz w:val="24"/>
                <w:highlight w:val="none"/>
                <w:lang w:val="en-US" w:eastAsia="zh-CN"/>
              </w:rPr>
              <w:t>住建局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28</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w:t>
            </w:r>
            <w:r>
              <w:rPr>
                <w:rFonts w:hint="eastAsia" w:ascii="Times New Roman" w:hAnsi="Times New Roman"/>
                <w:color w:val="auto"/>
                <w:kern w:val="0"/>
                <w:sz w:val="24"/>
                <w:highlight w:val="none"/>
                <w:lang w:val="en-US" w:eastAsia="zh-CN" w:bidi="ar"/>
              </w:rPr>
              <w:t>6</w:t>
            </w:r>
            <w:r>
              <w:rPr>
                <w:rFonts w:ascii="Times New Roman" w:hAnsi="Times New Roman"/>
                <w:color w:val="auto"/>
                <w:kern w:val="0"/>
                <w:sz w:val="24"/>
                <w:highlight w:val="none"/>
                <w:lang w:bidi="ar"/>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eastAsia" w:ascii="Times New Roman" w:hAnsi="Times New Roman"/>
                <w:color w:val="auto"/>
                <w:kern w:val="0"/>
                <w:sz w:val="24"/>
                <w:highlight w:val="none"/>
                <w:lang w:val="en-US" w:eastAsia="zh-CN" w:bidi="ar"/>
              </w:rPr>
              <w:t>6</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海丰县生物多样性保护规划</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经批准的海丰县生物多样性保护规划或在绿地系统规划上有专篇</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县林业局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31</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eastAsia" w:ascii="Times New Roman" w:hAnsi="Times New Roman"/>
                <w:color w:val="auto"/>
                <w:kern w:val="0"/>
                <w:sz w:val="24"/>
                <w:highlight w:val="none"/>
                <w:lang w:val="en-US" w:eastAsia="zh-CN" w:bidi="ar"/>
              </w:rPr>
              <w:t>7</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海丰县湿地保护规划</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经批准实施的海丰县湿地保护规划</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县林业局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33</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pPr>
              <w:widowControl/>
              <w:jc w:val="center"/>
              <w:textAlignment w:val="center"/>
              <w:rPr>
                <w:rFonts w:hint="eastAsia" w:ascii="Times New Roman" w:hAnsi="Times New Roman" w:eastAsia="宋体"/>
                <w:color w:val="auto"/>
                <w:sz w:val="24"/>
                <w:highlight w:val="none"/>
                <w:lang w:eastAsia="zh-CN"/>
              </w:rPr>
            </w:pPr>
            <w:r>
              <w:rPr>
                <w:rFonts w:hint="eastAsia" w:ascii="Times New Roman" w:hAnsi="Times New Roman"/>
                <w:color w:val="auto"/>
                <w:kern w:val="0"/>
                <w:sz w:val="24"/>
                <w:highlight w:val="none"/>
                <w:lang w:val="en-US" w:eastAsia="zh-CN" w:bidi="ar"/>
              </w:rPr>
              <w:t>8</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海丰县湿地保护实施方案</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经批准的海丰县湿地保护实施方案</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县林业局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33</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9567" w:type="dxa"/>
            <w:gridSpan w:val="7"/>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sz w:val="22"/>
                <w:szCs w:val="22"/>
                <w:highlight w:val="none"/>
              </w:rPr>
            </w:pPr>
            <w:r>
              <w:rPr>
                <w:rFonts w:ascii="Times New Roman" w:hAnsi="Times New Roman"/>
                <w:b/>
                <w:color w:val="auto"/>
                <w:kern w:val="0"/>
                <w:sz w:val="22"/>
                <w:szCs w:val="22"/>
                <w:highlight w:val="none"/>
                <w:lang w:bidi="ar"/>
              </w:rPr>
              <w:t>建设管控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县城绿地系统规划执行和建设管理</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s="Times New Roman"/>
                <w:color w:val="auto"/>
                <w:kern w:val="0"/>
                <w:sz w:val="24"/>
                <w:highlight w:val="none"/>
                <w:lang w:bidi="ar"/>
              </w:rPr>
              <w:t>①</w:t>
            </w:r>
            <w:r>
              <w:rPr>
                <w:rFonts w:ascii="Times New Roman" w:hAnsi="Times New Roman"/>
                <w:color w:val="auto"/>
                <w:kern w:val="0"/>
                <w:sz w:val="24"/>
                <w:highlight w:val="none"/>
                <w:lang w:bidi="ar"/>
              </w:rPr>
              <w:t>绿地系统规划得到有效执行，绿地建设符合规划；</w:t>
            </w:r>
            <w:r>
              <w:rPr>
                <w:rFonts w:hint="default" w:ascii="Times New Roman" w:hAnsi="Times New Roman" w:cs="Times New Roman"/>
                <w:color w:val="auto"/>
                <w:kern w:val="0"/>
                <w:sz w:val="24"/>
                <w:highlight w:val="none"/>
                <w:lang w:bidi="ar"/>
              </w:rPr>
              <w:t>②</w:t>
            </w:r>
            <w:r>
              <w:rPr>
                <w:rFonts w:ascii="Times New Roman" w:hAnsi="Times New Roman"/>
                <w:color w:val="auto"/>
                <w:kern w:val="0"/>
                <w:sz w:val="24"/>
                <w:highlight w:val="none"/>
                <w:lang w:bidi="ar"/>
              </w:rPr>
              <w:t>绿地建设成果得到有效保护，规划绿地性质无改变；</w:t>
            </w:r>
            <w:r>
              <w:rPr>
                <w:rFonts w:hint="default" w:ascii="Times New Roman" w:hAnsi="Times New Roman" w:cs="Times New Roman"/>
                <w:color w:val="auto"/>
                <w:kern w:val="0"/>
                <w:sz w:val="24"/>
                <w:highlight w:val="none"/>
                <w:lang w:bidi="ar"/>
              </w:rPr>
              <w:t>③</w:t>
            </w:r>
            <w:r>
              <w:rPr>
                <w:rFonts w:ascii="Times New Roman" w:hAnsi="Times New Roman"/>
                <w:color w:val="auto"/>
                <w:kern w:val="0"/>
                <w:sz w:val="24"/>
                <w:highlight w:val="none"/>
                <w:lang w:bidi="ar"/>
              </w:rPr>
              <w:t>园林绿化主管部门参与公园绿地建设项目设计和项目竣工验收。</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2021年6月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县城绿线管理</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严格实施县城绿线管制制度，按照《城市绿线管理办法》（建设部令第112号）和《城市绿线划定技术规范》（GB/T51163-2016）要求划定绿线，并在至少2种以上的媒体上向社会公布，设立绿线公示牌或绿线界碑，向社会公布四至边界，严禁侵占。</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5</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节约型园林绿化建设</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s="Times New Roman"/>
                <w:color w:val="auto"/>
                <w:kern w:val="0"/>
                <w:sz w:val="24"/>
                <w:highlight w:val="none"/>
                <w:lang w:bidi="ar"/>
              </w:rPr>
              <w:t>①</w:t>
            </w:r>
            <w:r>
              <w:rPr>
                <w:rFonts w:ascii="Times New Roman" w:hAnsi="Times New Roman"/>
                <w:color w:val="auto"/>
                <w:kern w:val="0"/>
                <w:sz w:val="24"/>
                <w:highlight w:val="none"/>
                <w:lang w:bidi="ar"/>
              </w:rPr>
              <w:t>园林绿化建设以植物造景为主，以栽植全冠苗木为主，采取有效措施严格控制大树移植、大广场、喷泉、水景、人工大水面、大草坪、大色块、雕塑、灯具造景、过度亮化等；</w:t>
            </w:r>
            <w:r>
              <w:rPr>
                <w:rFonts w:hint="default" w:ascii="Times New Roman" w:hAnsi="Times New Roman" w:cs="Times New Roman"/>
                <w:color w:val="auto"/>
                <w:kern w:val="0"/>
                <w:sz w:val="24"/>
                <w:highlight w:val="none"/>
                <w:lang w:bidi="ar"/>
              </w:rPr>
              <w:t>②</w:t>
            </w:r>
            <w:r>
              <w:rPr>
                <w:rFonts w:ascii="Times New Roman" w:hAnsi="Times New Roman"/>
                <w:color w:val="auto"/>
                <w:kern w:val="0"/>
                <w:sz w:val="24"/>
                <w:highlight w:val="none"/>
                <w:lang w:bidi="ar"/>
              </w:rPr>
              <w:t>合理选择应用乡土、适生植物，优先使用本地苗圃培育的种苗，严格控制反季节种植、更换行道树树种等；</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eastAsia" w:ascii="Times New Roman" w:hAnsi="Times New Roman"/>
                <w:color w:val="auto"/>
                <w:kern w:val="0"/>
                <w:sz w:val="24"/>
                <w:highlight w:val="none"/>
                <w:lang w:bidi="ar"/>
              </w:rPr>
              <w:t>提升项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26</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大树移植、行道树树种更换等控制管理</w:t>
            </w:r>
          </w:p>
        </w:tc>
        <w:tc>
          <w:tcPr>
            <w:tcW w:w="4289" w:type="dxa"/>
            <w:shd w:val="clear" w:color="auto" w:fill="auto"/>
            <w:noWrap/>
            <w:tcMar>
              <w:top w:w="10" w:type="dxa"/>
              <w:left w:w="10" w:type="dxa"/>
              <w:right w:w="10" w:type="dxa"/>
            </w:tcMar>
            <w:vAlign w:val="center"/>
          </w:tcPr>
          <w:p>
            <w:pPr>
              <w:widowControl/>
              <w:jc w:val="left"/>
              <w:textAlignment w:val="center"/>
              <w:rPr>
                <w:rFonts w:ascii="Times New Roman" w:hAnsi="Times New Roman"/>
                <w:color w:val="auto"/>
                <w:sz w:val="24"/>
                <w:highlight w:val="none"/>
              </w:rPr>
            </w:pPr>
            <w:r>
              <w:rPr>
                <w:rFonts w:hint="default" w:ascii="Times New Roman" w:hAnsi="Times New Roman" w:cs="Times New Roman"/>
                <w:color w:val="auto"/>
                <w:kern w:val="0"/>
                <w:sz w:val="24"/>
                <w:highlight w:val="none"/>
                <w:lang w:bidi="ar"/>
              </w:rPr>
              <w:t>①</w:t>
            </w:r>
            <w:r>
              <w:rPr>
                <w:rFonts w:ascii="Times New Roman" w:hAnsi="Times New Roman"/>
                <w:color w:val="auto"/>
                <w:kern w:val="0"/>
                <w:sz w:val="24"/>
                <w:highlight w:val="none"/>
                <w:lang w:bidi="ar"/>
              </w:rPr>
              <w:t>制定严格控制大树移植及随意更换行道树树种的制度或管控措施，并落实良好；</w:t>
            </w:r>
            <w:r>
              <w:rPr>
                <w:rFonts w:hint="default" w:ascii="Times New Roman" w:hAnsi="Times New Roman" w:cs="Times New Roman"/>
                <w:color w:val="auto"/>
                <w:kern w:val="0"/>
                <w:sz w:val="24"/>
                <w:highlight w:val="none"/>
                <w:lang w:bidi="ar"/>
              </w:rPr>
              <w:t>②</w:t>
            </w:r>
            <w:r>
              <w:rPr>
                <w:rFonts w:ascii="Times New Roman" w:hAnsi="Times New Roman"/>
                <w:color w:val="auto"/>
                <w:kern w:val="0"/>
                <w:sz w:val="24"/>
                <w:highlight w:val="none"/>
                <w:lang w:bidi="ar"/>
              </w:rPr>
              <w:t>近2年（含申报年），公园绿地、道路绿化建设或改、扩建中未曾发生大规模、未经专家论证及社会公示认可而更换行道树树种等现象。</w:t>
            </w:r>
          </w:p>
        </w:tc>
        <w:tc>
          <w:tcPr>
            <w:tcW w:w="1111" w:type="dxa"/>
            <w:shd w:val="clear" w:color="auto" w:fill="auto"/>
            <w:noWrap/>
            <w:tcMar>
              <w:top w:w="10" w:type="dxa"/>
              <w:left w:w="10" w:type="dxa"/>
              <w:right w:w="10" w:type="dxa"/>
            </w:tcMar>
            <w:vAlign w:val="center"/>
          </w:tcPr>
          <w:p>
            <w:pPr>
              <w:widowControl/>
              <w:jc w:val="center"/>
              <w:textAlignment w:val="center"/>
              <w:rPr>
                <w:rFonts w:hint="default" w:ascii="Times New Roman" w:hAnsi="Times New Roman" w:eastAsia="宋体"/>
                <w:color w:val="auto"/>
                <w:sz w:val="24"/>
                <w:highlight w:val="none"/>
                <w:lang w:val="en-US" w:eastAsia="zh-CN"/>
              </w:rPr>
            </w:pPr>
            <w:r>
              <w:rPr>
                <w:rFonts w:ascii="Times New Roman" w:hAnsi="Times New Roman"/>
                <w:color w:val="auto"/>
                <w:kern w:val="0"/>
                <w:sz w:val="24"/>
                <w:highlight w:val="none"/>
                <w:lang w:bidi="ar"/>
              </w:rPr>
              <w:t>县住建局</w:t>
            </w:r>
            <w:r>
              <w:rPr>
                <w:rFonts w:hint="eastAsia" w:ascii="Times New Roman" w:hAnsi="Times New Roman"/>
                <w:color w:val="auto"/>
                <w:kern w:val="0"/>
                <w:sz w:val="24"/>
                <w:highlight w:val="none"/>
                <w:lang w:eastAsia="zh-CN" w:bidi="ar"/>
              </w:rPr>
              <w:t>、</w:t>
            </w:r>
            <w:r>
              <w:rPr>
                <w:rFonts w:hint="eastAsia" w:ascii="Times New Roman" w:hAnsi="Times New Roman"/>
                <w:color w:val="auto"/>
                <w:kern w:val="0"/>
                <w:sz w:val="24"/>
                <w:highlight w:val="none"/>
                <w:lang w:val="en-US" w:eastAsia="zh-CN" w:bidi="ar"/>
              </w:rPr>
              <w:t>林业局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21</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2021年6月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5</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公园规范化管理</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s="Times New Roman"/>
                <w:color w:val="auto"/>
                <w:kern w:val="0"/>
                <w:sz w:val="24"/>
                <w:highlight w:val="none"/>
                <w:lang w:bidi="ar"/>
              </w:rPr>
              <w:t>①</w:t>
            </w:r>
            <w:r>
              <w:rPr>
                <w:rFonts w:ascii="Times New Roman" w:hAnsi="Times New Roman"/>
                <w:color w:val="auto"/>
                <w:kern w:val="0"/>
                <w:sz w:val="24"/>
                <w:highlight w:val="none"/>
                <w:lang w:bidi="ar"/>
              </w:rPr>
              <w:t>县城公园免费开率100%；</w:t>
            </w:r>
            <w:r>
              <w:rPr>
                <w:rFonts w:hint="default" w:ascii="Times New Roman" w:hAnsi="Times New Roman" w:cs="Times New Roman"/>
                <w:color w:val="auto"/>
                <w:kern w:val="0"/>
                <w:sz w:val="24"/>
                <w:highlight w:val="none"/>
                <w:lang w:bidi="ar"/>
              </w:rPr>
              <w:t>②</w:t>
            </w:r>
            <w:r>
              <w:rPr>
                <w:rFonts w:ascii="Times New Roman" w:hAnsi="Times New Roman"/>
                <w:color w:val="auto"/>
                <w:kern w:val="0"/>
                <w:sz w:val="24"/>
                <w:highlight w:val="none"/>
                <w:lang w:bidi="ar"/>
              </w:rPr>
              <w:t>公园设计符合《公园设计规范》等相关标准规范要求，公园功能完善，设施完好，安全运行；</w:t>
            </w:r>
            <w:r>
              <w:rPr>
                <w:rFonts w:hint="default" w:ascii="Times New Roman" w:hAnsi="Times New Roman" w:cs="Times New Roman"/>
                <w:color w:val="auto"/>
                <w:kern w:val="0"/>
                <w:sz w:val="24"/>
                <w:highlight w:val="none"/>
                <w:lang w:bidi="ar"/>
              </w:rPr>
              <w:t>③</w:t>
            </w:r>
            <w:r>
              <w:rPr>
                <w:rFonts w:ascii="Times New Roman" w:hAnsi="Times New Roman"/>
                <w:color w:val="auto"/>
                <w:kern w:val="0"/>
                <w:sz w:val="24"/>
                <w:highlight w:val="none"/>
                <w:lang w:bidi="ar"/>
              </w:rPr>
              <w:t>公园配套服务设施经营管理符合《城市公园配套服务项目经营管理暂行办法》等要求，保障公园的公益属性。</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eastAsia" w:ascii="Times New Roman" w:hAnsi="Times New Roman"/>
                <w:color w:val="auto"/>
                <w:kern w:val="0"/>
                <w:sz w:val="24"/>
                <w:highlight w:val="none"/>
                <w:lang w:bidi="ar"/>
              </w:rPr>
              <w:t>提升项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22</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w:t>
            </w:r>
            <w:r>
              <w:rPr>
                <w:rFonts w:hint="eastAsia" w:ascii="Times New Roman" w:hAnsi="Times New Roman"/>
                <w:color w:val="auto"/>
                <w:kern w:val="0"/>
                <w:sz w:val="24"/>
                <w:highlight w:val="none"/>
                <w:lang w:eastAsia="zh-CN" w:bidi="ar"/>
              </w:rPr>
              <w:t>1</w:t>
            </w:r>
            <w:r>
              <w:rPr>
                <w:rFonts w:ascii="Times New Roman" w:hAnsi="Times New Roman"/>
                <w:color w:val="auto"/>
                <w:kern w:val="0"/>
                <w:sz w:val="24"/>
                <w:highlight w:val="none"/>
                <w:lang w:bidi="ar"/>
              </w:rPr>
              <w:t>年</w:t>
            </w:r>
            <w:r>
              <w:rPr>
                <w:rFonts w:hint="eastAsia" w:ascii="Times New Roman" w:hAnsi="Times New Roman"/>
                <w:color w:val="auto"/>
                <w:kern w:val="0"/>
                <w:sz w:val="24"/>
                <w:highlight w:val="none"/>
                <w:lang w:eastAsia="zh-CN" w:bidi="ar"/>
              </w:rPr>
              <w:t>6</w:t>
            </w:r>
            <w:r>
              <w:rPr>
                <w:rFonts w:ascii="Times New Roman" w:hAnsi="Times New Roman"/>
                <w:color w:val="auto"/>
                <w:kern w:val="0"/>
                <w:sz w:val="24"/>
                <w:highlight w:val="none"/>
                <w:lang w:bidi="ar"/>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6</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公园绿地应急避险功能完善建设</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s="Times New Roman"/>
                <w:color w:val="auto"/>
                <w:kern w:val="0"/>
                <w:sz w:val="24"/>
                <w:highlight w:val="none"/>
                <w:lang w:bidi="ar"/>
              </w:rPr>
              <w:t>①</w:t>
            </w:r>
            <w:r>
              <w:rPr>
                <w:rFonts w:ascii="Times New Roman" w:hAnsi="Times New Roman"/>
                <w:color w:val="auto"/>
                <w:kern w:val="0"/>
                <w:sz w:val="24"/>
                <w:highlight w:val="none"/>
                <w:lang w:bidi="ar"/>
              </w:rPr>
              <w:t>在全面摸底评估的基础上，编制《县城绿地系统防灾避险规划》或在《县城绿地系统规划》中有专章；</w:t>
            </w:r>
            <w:r>
              <w:rPr>
                <w:rFonts w:hint="default" w:ascii="Times New Roman" w:hAnsi="Times New Roman" w:cs="Times New Roman"/>
                <w:color w:val="auto"/>
                <w:kern w:val="0"/>
                <w:sz w:val="24"/>
                <w:highlight w:val="none"/>
                <w:lang w:bidi="ar"/>
              </w:rPr>
              <w:t>②</w:t>
            </w:r>
            <w:r>
              <w:rPr>
                <w:rFonts w:ascii="Times New Roman" w:hAnsi="Times New Roman"/>
                <w:color w:val="auto"/>
                <w:kern w:val="0"/>
                <w:sz w:val="24"/>
                <w:highlight w:val="none"/>
                <w:lang w:bidi="ar"/>
              </w:rPr>
              <w:t>承担防灾避险功能的公园绿地中水、电、通讯、标识等设施符合相关标准规范要求。</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县应急管理局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23</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w:t>
            </w:r>
            <w:r>
              <w:rPr>
                <w:rFonts w:hint="eastAsia" w:ascii="Times New Roman" w:hAnsi="Times New Roman"/>
                <w:color w:val="auto"/>
                <w:kern w:val="0"/>
                <w:sz w:val="24"/>
                <w:highlight w:val="none"/>
                <w:lang w:eastAsia="zh-CN" w:bidi="ar"/>
              </w:rPr>
              <w:t>1</w:t>
            </w:r>
            <w:r>
              <w:rPr>
                <w:rFonts w:ascii="Times New Roman" w:hAnsi="Times New Roman"/>
                <w:color w:val="auto"/>
                <w:kern w:val="0"/>
                <w:sz w:val="24"/>
                <w:highlight w:val="none"/>
                <w:lang w:bidi="ar"/>
              </w:rPr>
              <w:t>年</w:t>
            </w:r>
            <w:r>
              <w:rPr>
                <w:rFonts w:hint="eastAsia" w:ascii="Times New Roman" w:hAnsi="Times New Roman"/>
                <w:color w:val="auto"/>
                <w:kern w:val="0"/>
                <w:sz w:val="24"/>
                <w:highlight w:val="none"/>
                <w:lang w:eastAsia="zh-CN" w:bidi="ar"/>
              </w:rPr>
              <w:t>6</w:t>
            </w:r>
            <w:r>
              <w:rPr>
                <w:rFonts w:ascii="Times New Roman" w:hAnsi="Times New Roman"/>
                <w:color w:val="auto"/>
                <w:kern w:val="0"/>
                <w:sz w:val="24"/>
                <w:highlight w:val="none"/>
                <w:lang w:bidi="ar"/>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54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7</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公众对园林绿化的满意率</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委托第三方专业调查机构调查公众对县城园林绿化的满意率</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县住建局、县统计局、县林业局、县公用事业事务中心</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8</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w:t>
            </w:r>
            <w:r>
              <w:rPr>
                <w:rFonts w:hint="eastAsia" w:ascii="Times New Roman" w:hAnsi="Times New Roman"/>
                <w:color w:val="auto"/>
                <w:kern w:val="0"/>
                <w:sz w:val="24"/>
                <w:highlight w:val="none"/>
                <w:lang w:eastAsia="zh-CN" w:bidi="ar"/>
              </w:rPr>
              <w:t>6</w:t>
            </w:r>
            <w:r>
              <w:rPr>
                <w:rFonts w:ascii="Times New Roman" w:hAnsi="Times New Roman"/>
                <w:color w:val="auto"/>
                <w:kern w:val="0"/>
                <w:sz w:val="24"/>
                <w:highlight w:val="none"/>
                <w:lang w:bidi="ar"/>
              </w:rPr>
              <w:t>月</w:t>
            </w:r>
          </w:p>
        </w:tc>
      </w:tr>
    </w:tbl>
    <w:p>
      <w:pPr>
        <w:pStyle w:val="2"/>
        <w:ind w:left="0" w:leftChars="0" w:firstLine="0" w:firstLineChars="0"/>
        <w:rPr>
          <w:rFonts w:ascii="Times New Roman" w:hAnsi="Times New Roman" w:eastAsia="宋体"/>
          <w:color w:val="auto"/>
          <w:sz w:val="21"/>
          <w:highlight w:val="none"/>
        </w:rPr>
      </w:pPr>
    </w:p>
    <w:p>
      <w:pPr>
        <w:pStyle w:val="2"/>
        <w:ind w:left="0" w:leftChars="0" w:firstLine="0" w:firstLineChars="0"/>
        <w:rPr>
          <w:rFonts w:ascii="Times New Roman" w:hAnsi="Times New Roman" w:eastAsia="宋体"/>
          <w:color w:val="auto"/>
          <w:sz w:val="21"/>
          <w:highlight w:val="none"/>
        </w:rPr>
      </w:pPr>
    </w:p>
    <w:p>
      <w:pPr>
        <w:pStyle w:val="5"/>
        <w:rPr>
          <w:rFonts w:ascii="Times New Roman" w:hAnsi="Times New Roman"/>
          <w:color w:val="auto"/>
          <w:sz w:val="28"/>
          <w:szCs w:val="28"/>
          <w:highlight w:val="none"/>
        </w:rPr>
      </w:pPr>
      <w:bookmarkStart w:id="244" w:name="_Toc5108"/>
      <w:bookmarkStart w:id="245" w:name="_Toc159"/>
      <w:bookmarkStart w:id="246" w:name="_Toc1577"/>
      <w:bookmarkStart w:id="247" w:name="_Toc1014"/>
      <w:bookmarkStart w:id="248" w:name="_Toc4362"/>
      <w:bookmarkStart w:id="249" w:name="_Toc4208"/>
      <w:r>
        <w:rPr>
          <w:rFonts w:hint="default" w:ascii="Times New Roman" w:hAnsi="Times New Roman"/>
          <w:color w:val="auto"/>
          <w:sz w:val="28"/>
          <w:szCs w:val="28"/>
          <w:highlight w:val="none"/>
        </w:rPr>
        <w:t>行动二：提质增绿，市民共享绿色县城空间</w:t>
      </w:r>
      <w:bookmarkEnd w:id="244"/>
      <w:bookmarkEnd w:id="245"/>
      <w:bookmarkEnd w:id="246"/>
      <w:bookmarkEnd w:id="247"/>
      <w:bookmarkEnd w:id="248"/>
      <w:bookmarkEnd w:id="249"/>
    </w:p>
    <w:tbl>
      <w:tblPr>
        <w:tblStyle w:val="20"/>
        <w:tblW w:w="9555" w:type="dxa"/>
        <w:tblInd w:w="-6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33"/>
        <w:gridCol w:w="1578"/>
        <w:gridCol w:w="4289"/>
        <w:gridCol w:w="1100"/>
        <w:gridCol w:w="566"/>
        <w:gridCol w:w="756"/>
        <w:gridCol w:w="7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tblHeader/>
        </w:trPr>
        <w:tc>
          <w:tcPr>
            <w:tcW w:w="533" w:type="dxa"/>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序号</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项目</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内容</w:t>
            </w:r>
          </w:p>
        </w:tc>
        <w:tc>
          <w:tcPr>
            <w:tcW w:w="1100" w:type="dxa"/>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责任单位</w:t>
            </w:r>
          </w:p>
        </w:tc>
        <w:tc>
          <w:tcPr>
            <w:tcW w:w="566" w:type="dxa"/>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性质</w:t>
            </w:r>
          </w:p>
        </w:tc>
        <w:tc>
          <w:tcPr>
            <w:tcW w:w="756" w:type="dxa"/>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对应考核指标</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完成时间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trPr>
        <w:tc>
          <w:tcPr>
            <w:tcW w:w="9555" w:type="dxa"/>
            <w:gridSpan w:val="7"/>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kern w:val="0"/>
                <w:sz w:val="24"/>
                <w:highlight w:val="none"/>
                <w:lang w:bidi="ar"/>
              </w:rPr>
            </w:pPr>
            <w:r>
              <w:rPr>
                <w:rFonts w:hint="default" w:ascii="Times New Roman" w:hAnsi="Times New Roman"/>
                <w:b/>
                <w:color w:val="auto"/>
                <w:sz w:val="24"/>
                <w:highlight w:val="none"/>
              </w:rPr>
              <w:t>绿地建设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533"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1</w:t>
            </w:r>
          </w:p>
        </w:tc>
        <w:tc>
          <w:tcPr>
            <w:tcW w:w="1578"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hint="default" w:ascii="Times New Roman" w:hAnsi="Times New Roman"/>
                <w:color w:val="auto"/>
                <w:sz w:val="24"/>
                <w:highlight w:val="none"/>
              </w:rPr>
              <w:t>公园绿地建设</w:t>
            </w:r>
          </w:p>
        </w:tc>
        <w:tc>
          <w:tcPr>
            <w:tcW w:w="4289"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hint="default" w:ascii="Times New Roman" w:hAnsi="Times New Roman"/>
                <w:color w:val="auto"/>
                <w:sz w:val="24"/>
                <w:highlight w:val="none"/>
              </w:rPr>
              <w:t>综合考虑建成区绿地分布的总体情况，进行公园的新建、改造。改造</w:t>
            </w:r>
            <w:r>
              <w:rPr>
                <w:rFonts w:hint="eastAsia" w:ascii="Times New Roman" w:hAnsi="Times New Roman"/>
                <w:color w:val="auto"/>
                <w:sz w:val="24"/>
                <w:highlight w:val="none"/>
                <w:lang w:val="en-US" w:eastAsia="zh-CN"/>
              </w:rPr>
              <w:t>12</w:t>
            </w:r>
            <w:r>
              <w:rPr>
                <w:rFonts w:hint="default" w:ascii="Times New Roman" w:hAnsi="Times New Roman"/>
                <w:color w:val="auto"/>
                <w:sz w:val="24"/>
                <w:highlight w:val="none"/>
              </w:rPr>
              <w:t>个公园。</w:t>
            </w:r>
          </w:p>
        </w:tc>
        <w:tc>
          <w:tcPr>
            <w:tcW w:w="1100"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hint="default" w:ascii="Times New Roman" w:hAnsi="Times New Roman"/>
                <w:color w:val="auto"/>
                <w:sz w:val="24"/>
                <w:highlight w:val="none"/>
              </w:rPr>
              <w:t>县住建局、县城三镇、公用事业事务中心、林业局</w:t>
            </w:r>
          </w:p>
        </w:tc>
        <w:tc>
          <w:tcPr>
            <w:tcW w:w="566"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hint="default" w:ascii="Times New Roman" w:hAnsi="Times New Roman"/>
                <w:color w:val="auto"/>
                <w:sz w:val="24"/>
                <w:highlight w:val="none"/>
              </w:rPr>
              <w:t>完善项</w:t>
            </w:r>
          </w:p>
        </w:tc>
        <w:tc>
          <w:tcPr>
            <w:tcW w:w="756"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9</w:t>
            </w:r>
            <w:r>
              <w:rPr>
                <w:rFonts w:hint="default" w:ascii="Times New Roman" w:hAnsi="Times New Roman"/>
                <w:color w:val="auto"/>
                <w:sz w:val="24"/>
                <w:highlight w:val="none"/>
              </w:rPr>
              <w:t>、</w:t>
            </w:r>
            <w:r>
              <w:rPr>
                <w:rFonts w:ascii="Times New Roman" w:hAnsi="Times New Roman"/>
                <w:color w:val="auto"/>
                <w:sz w:val="24"/>
                <w:highlight w:val="none"/>
              </w:rPr>
              <w:t>10</w:t>
            </w:r>
            <w:r>
              <w:rPr>
                <w:rFonts w:hint="default" w:ascii="Times New Roman" w:hAnsi="Times New Roman"/>
                <w:color w:val="auto"/>
                <w:sz w:val="24"/>
                <w:highlight w:val="none"/>
              </w:rPr>
              <w:t>、</w:t>
            </w:r>
            <w:r>
              <w:rPr>
                <w:rFonts w:ascii="Times New Roman" w:hAnsi="Times New Roman"/>
                <w:color w:val="auto"/>
                <w:sz w:val="24"/>
                <w:highlight w:val="none"/>
              </w:rPr>
              <w:t>11</w:t>
            </w:r>
            <w:r>
              <w:rPr>
                <w:rFonts w:hint="default" w:ascii="Times New Roman" w:hAnsi="Times New Roman"/>
                <w:color w:val="auto"/>
                <w:sz w:val="24"/>
                <w:highlight w:val="none"/>
              </w:rPr>
              <w:t>、</w:t>
            </w:r>
            <w:r>
              <w:rPr>
                <w:rFonts w:ascii="Times New Roman" w:hAnsi="Times New Roman"/>
                <w:color w:val="auto"/>
                <w:sz w:val="24"/>
                <w:highlight w:val="none"/>
              </w:rPr>
              <w:t>12</w:t>
            </w:r>
          </w:p>
        </w:tc>
        <w:tc>
          <w:tcPr>
            <w:tcW w:w="733"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2021年9月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533"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2</w:t>
            </w:r>
          </w:p>
        </w:tc>
        <w:tc>
          <w:tcPr>
            <w:tcW w:w="1578"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hint="default" w:ascii="Times New Roman" w:hAnsi="Times New Roman"/>
                <w:color w:val="auto"/>
                <w:sz w:val="24"/>
                <w:highlight w:val="none"/>
              </w:rPr>
              <w:t>防护绿地建设</w:t>
            </w:r>
          </w:p>
        </w:tc>
        <w:tc>
          <w:tcPr>
            <w:tcW w:w="4289"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hint="default" w:ascii="Times New Roman" w:hAnsi="Times New Roman"/>
                <w:color w:val="auto"/>
                <w:sz w:val="24"/>
                <w:highlight w:val="none"/>
              </w:rPr>
              <w:t>保留防护绿地面积</w:t>
            </w:r>
            <w:r>
              <w:rPr>
                <w:rFonts w:ascii="Times New Roman" w:hAnsi="Times New Roman"/>
                <w:color w:val="auto"/>
                <w:sz w:val="24"/>
                <w:highlight w:val="none"/>
              </w:rPr>
              <w:t>324.65</w:t>
            </w:r>
            <w:r>
              <w:rPr>
                <w:rFonts w:hint="default" w:ascii="Times New Roman" w:hAnsi="Times New Roman"/>
                <w:color w:val="auto"/>
                <w:sz w:val="24"/>
                <w:highlight w:val="none"/>
              </w:rPr>
              <w:t>公顷，位于大云岭南部以及青年水库水坝防护绿地，注意防护绿地的限制性保护管理，作为水源地防护绿地，涵养水源，保护城市饮用水。</w:t>
            </w:r>
          </w:p>
        </w:tc>
        <w:tc>
          <w:tcPr>
            <w:tcW w:w="1100"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hint="default" w:ascii="Times New Roman" w:hAnsi="Times New Roman"/>
                <w:color w:val="auto"/>
                <w:sz w:val="24"/>
                <w:highlight w:val="none"/>
              </w:rPr>
              <w:t>县住建局、林业局</w:t>
            </w:r>
          </w:p>
        </w:tc>
        <w:tc>
          <w:tcPr>
            <w:tcW w:w="566"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hint="default" w:ascii="Times New Roman" w:hAnsi="Times New Roman"/>
                <w:color w:val="auto"/>
                <w:sz w:val="24"/>
                <w:highlight w:val="none"/>
              </w:rPr>
              <w:t>完善项</w:t>
            </w:r>
          </w:p>
        </w:tc>
        <w:tc>
          <w:tcPr>
            <w:tcW w:w="756"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9</w:t>
            </w:r>
            <w:r>
              <w:rPr>
                <w:rFonts w:hint="default" w:ascii="Times New Roman" w:hAnsi="Times New Roman"/>
                <w:color w:val="auto"/>
                <w:sz w:val="24"/>
                <w:highlight w:val="none"/>
              </w:rPr>
              <w:t>、</w:t>
            </w:r>
            <w:r>
              <w:rPr>
                <w:rFonts w:ascii="Times New Roman" w:hAnsi="Times New Roman"/>
                <w:color w:val="auto"/>
                <w:sz w:val="24"/>
                <w:highlight w:val="none"/>
              </w:rPr>
              <w:t>10</w:t>
            </w:r>
            <w:r>
              <w:rPr>
                <w:rFonts w:hint="default" w:ascii="Times New Roman" w:hAnsi="Times New Roman"/>
                <w:color w:val="auto"/>
                <w:sz w:val="24"/>
                <w:highlight w:val="none"/>
              </w:rPr>
              <w:t>、</w:t>
            </w:r>
            <w:r>
              <w:rPr>
                <w:rFonts w:ascii="Times New Roman" w:hAnsi="Times New Roman"/>
                <w:color w:val="auto"/>
                <w:sz w:val="24"/>
                <w:highlight w:val="none"/>
              </w:rPr>
              <w:t>18</w:t>
            </w:r>
          </w:p>
        </w:tc>
        <w:tc>
          <w:tcPr>
            <w:tcW w:w="733"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2021年9月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533"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3</w:t>
            </w:r>
          </w:p>
        </w:tc>
        <w:tc>
          <w:tcPr>
            <w:tcW w:w="1578"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hint="default" w:ascii="Times New Roman" w:hAnsi="Times New Roman"/>
                <w:color w:val="auto"/>
                <w:sz w:val="24"/>
                <w:highlight w:val="none"/>
              </w:rPr>
              <w:t>道路及河道绿地建设</w:t>
            </w:r>
          </w:p>
        </w:tc>
        <w:tc>
          <w:tcPr>
            <w:tcW w:w="4289"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hint="default" w:ascii="Times New Roman" w:hAnsi="Times New Roman"/>
                <w:color w:val="auto"/>
                <w:sz w:val="24"/>
                <w:highlight w:val="none"/>
              </w:rPr>
              <w:t>改造提升道路</w:t>
            </w:r>
            <w:r>
              <w:rPr>
                <w:rFonts w:ascii="Times New Roman" w:hAnsi="Times New Roman"/>
                <w:color w:val="auto"/>
                <w:sz w:val="24"/>
                <w:highlight w:val="none"/>
              </w:rPr>
              <w:t>151731.4m</w:t>
            </w:r>
            <w:r>
              <w:rPr>
                <w:rFonts w:ascii="Times New Roman" w:hAnsi="Times New Roman"/>
                <w:color w:val="auto"/>
                <w:sz w:val="24"/>
                <w:highlight w:val="none"/>
                <w:vertAlign w:val="superscript"/>
              </w:rPr>
              <w:t>2</w:t>
            </w:r>
          </w:p>
        </w:tc>
        <w:tc>
          <w:tcPr>
            <w:tcW w:w="1100"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hint="default" w:ascii="Times New Roman" w:hAnsi="Times New Roman"/>
                <w:color w:val="auto"/>
                <w:sz w:val="24"/>
                <w:highlight w:val="none"/>
              </w:rPr>
              <w:t>公用事业事务中心、林业局</w:t>
            </w:r>
          </w:p>
        </w:tc>
        <w:tc>
          <w:tcPr>
            <w:tcW w:w="566"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hint="default" w:ascii="Times New Roman" w:hAnsi="Times New Roman"/>
                <w:color w:val="auto"/>
                <w:sz w:val="24"/>
                <w:highlight w:val="none"/>
              </w:rPr>
              <w:t>完善项</w:t>
            </w:r>
          </w:p>
        </w:tc>
        <w:tc>
          <w:tcPr>
            <w:tcW w:w="756"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16</w:t>
            </w:r>
            <w:r>
              <w:rPr>
                <w:rFonts w:hint="default" w:ascii="Times New Roman" w:hAnsi="Times New Roman"/>
                <w:color w:val="auto"/>
                <w:sz w:val="24"/>
                <w:highlight w:val="none"/>
              </w:rPr>
              <w:t>、</w:t>
            </w:r>
            <w:r>
              <w:rPr>
                <w:rFonts w:ascii="Times New Roman" w:hAnsi="Times New Roman"/>
                <w:color w:val="auto"/>
                <w:sz w:val="24"/>
                <w:highlight w:val="none"/>
              </w:rPr>
              <w:t>17</w:t>
            </w:r>
            <w:r>
              <w:rPr>
                <w:rFonts w:hint="default" w:ascii="Times New Roman" w:hAnsi="Times New Roman"/>
                <w:color w:val="auto"/>
                <w:sz w:val="24"/>
                <w:highlight w:val="none"/>
              </w:rPr>
              <w:t>、</w:t>
            </w:r>
            <w:r>
              <w:rPr>
                <w:rFonts w:ascii="Times New Roman" w:hAnsi="Times New Roman"/>
                <w:color w:val="auto"/>
                <w:sz w:val="24"/>
                <w:highlight w:val="none"/>
              </w:rPr>
              <w:t>19</w:t>
            </w:r>
            <w:r>
              <w:rPr>
                <w:rFonts w:hint="default" w:ascii="Times New Roman" w:hAnsi="Times New Roman"/>
                <w:color w:val="auto"/>
                <w:sz w:val="24"/>
                <w:highlight w:val="none"/>
              </w:rPr>
              <w:t>、</w:t>
            </w:r>
            <w:r>
              <w:rPr>
                <w:rFonts w:ascii="Times New Roman" w:hAnsi="Times New Roman"/>
                <w:color w:val="auto"/>
                <w:sz w:val="24"/>
                <w:highlight w:val="none"/>
              </w:rPr>
              <w:t>41</w:t>
            </w:r>
          </w:p>
        </w:tc>
        <w:tc>
          <w:tcPr>
            <w:tcW w:w="733"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2021年9月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533"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4</w:t>
            </w:r>
          </w:p>
        </w:tc>
        <w:tc>
          <w:tcPr>
            <w:tcW w:w="1578"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hint="default" w:ascii="Times New Roman" w:hAnsi="Times New Roman"/>
                <w:color w:val="auto"/>
                <w:sz w:val="24"/>
                <w:highlight w:val="none"/>
              </w:rPr>
              <w:t>立体绿化推广建设</w:t>
            </w:r>
          </w:p>
        </w:tc>
        <w:tc>
          <w:tcPr>
            <w:tcW w:w="4289"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hint="default" w:ascii="Times New Roman" w:hAnsi="Times New Roman"/>
                <w:color w:val="auto"/>
                <w:sz w:val="24"/>
                <w:highlight w:val="none"/>
              </w:rPr>
              <w:t>做好立体绿化推广宣传鼓励措施和技术指导，在县城实施</w:t>
            </w:r>
            <w:r>
              <w:rPr>
                <w:rFonts w:ascii="Times New Roman" w:hAnsi="Times New Roman"/>
                <w:color w:val="auto"/>
                <w:sz w:val="24"/>
                <w:highlight w:val="none"/>
              </w:rPr>
              <w:t>2-3</w:t>
            </w:r>
            <w:r>
              <w:rPr>
                <w:rFonts w:hint="default" w:ascii="Times New Roman" w:hAnsi="Times New Roman"/>
                <w:color w:val="auto"/>
                <w:sz w:val="24"/>
                <w:highlight w:val="none"/>
              </w:rPr>
              <w:t>项立体绿化示范工程</w:t>
            </w:r>
          </w:p>
        </w:tc>
        <w:tc>
          <w:tcPr>
            <w:tcW w:w="1100"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hint="default" w:ascii="Times New Roman" w:hAnsi="Times New Roman"/>
                <w:color w:val="auto"/>
                <w:sz w:val="24"/>
                <w:highlight w:val="none"/>
              </w:rPr>
              <w:t>县住建局</w:t>
            </w:r>
          </w:p>
        </w:tc>
        <w:tc>
          <w:tcPr>
            <w:tcW w:w="566"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hint="default" w:ascii="Times New Roman" w:hAnsi="Times New Roman"/>
                <w:color w:val="auto"/>
                <w:sz w:val="24"/>
                <w:highlight w:val="none"/>
              </w:rPr>
              <w:t>完善项</w:t>
            </w:r>
          </w:p>
        </w:tc>
        <w:tc>
          <w:tcPr>
            <w:tcW w:w="756"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27</w:t>
            </w:r>
          </w:p>
        </w:tc>
        <w:tc>
          <w:tcPr>
            <w:tcW w:w="733"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2021年9月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9555" w:type="dxa"/>
            <w:gridSpan w:val="7"/>
            <w:shd w:val="clear" w:color="auto" w:fill="auto"/>
            <w:noWrap/>
            <w:tcMar>
              <w:top w:w="10" w:type="dxa"/>
              <w:left w:w="10" w:type="dxa"/>
              <w:right w:w="10" w:type="dxa"/>
            </w:tcMar>
            <w:vAlign w:val="center"/>
          </w:tcPr>
          <w:p>
            <w:pPr>
              <w:jc w:val="center"/>
              <w:rPr>
                <w:rFonts w:ascii="Times New Roman" w:hAnsi="Times New Roman"/>
                <w:b/>
                <w:color w:val="auto"/>
                <w:sz w:val="24"/>
                <w:highlight w:val="none"/>
              </w:rPr>
            </w:pPr>
            <w:r>
              <w:rPr>
                <w:rFonts w:hint="default" w:ascii="Times New Roman" w:hAnsi="Times New Roman"/>
                <w:b/>
                <w:color w:val="auto"/>
                <w:sz w:val="24"/>
                <w:highlight w:val="none"/>
              </w:rPr>
              <w:t>绿色生态居住区建设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533"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1</w:t>
            </w:r>
          </w:p>
        </w:tc>
        <w:tc>
          <w:tcPr>
            <w:tcW w:w="1578"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hint="default" w:ascii="Times New Roman" w:hAnsi="Times New Roman"/>
                <w:color w:val="auto"/>
                <w:sz w:val="24"/>
                <w:highlight w:val="none"/>
              </w:rPr>
              <w:t>新建、改建居住区绿地规划建设</w:t>
            </w:r>
          </w:p>
        </w:tc>
        <w:tc>
          <w:tcPr>
            <w:tcW w:w="4289"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hint="default" w:ascii="Times New Roman" w:hAnsi="Times New Roman"/>
                <w:color w:val="auto"/>
                <w:sz w:val="24"/>
                <w:highlight w:val="none"/>
              </w:rPr>
              <w:t>严格控制新建改建居住区绿地率达标</w:t>
            </w:r>
          </w:p>
        </w:tc>
        <w:tc>
          <w:tcPr>
            <w:tcW w:w="1100"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hint="default" w:ascii="Times New Roman" w:hAnsi="Times New Roman"/>
                <w:color w:val="auto"/>
                <w:sz w:val="24"/>
                <w:highlight w:val="none"/>
              </w:rPr>
              <w:t>县自然资源局</w:t>
            </w:r>
          </w:p>
          <w:p>
            <w:pPr>
              <w:jc w:val="center"/>
              <w:rPr>
                <w:rFonts w:ascii="Times New Roman" w:hAnsi="Times New Roman"/>
                <w:color w:val="auto"/>
                <w:sz w:val="24"/>
                <w:highlight w:val="none"/>
              </w:rPr>
            </w:pPr>
            <w:r>
              <w:rPr>
                <w:rFonts w:hint="default" w:ascii="Times New Roman" w:hAnsi="Times New Roman"/>
                <w:color w:val="auto"/>
                <w:sz w:val="24"/>
                <w:highlight w:val="none"/>
              </w:rPr>
              <w:t>县住建局</w:t>
            </w:r>
          </w:p>
        </w:tc>
        <w:tc>
          <w:tcPr>
            <w:tcW w:w="566"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hint="default" w:ascii="Times New Roman" w:hAnsi="Times New Roman"/>
                <w:color w:val="auto"/>
                <w:sz w:val="24"/>
                <w:highlight w:val="none"/>
              </w:rPr>
              <w:t>完善项</w:t>
            </w:r>
          </w:p>
        </w:tc>
        <w:tc>
          <w:tcPr>
            <w:tcW w:w="756"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14</w:t>
            </w:r>
          </w:p>
        </w:tc>
        <w:tc>
          <w:tcPr>
            <w:tcW w:w="733"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2021年9月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533"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2</w:t>
            </w:r>
          </w:p>
        </w:tc>
        <w:tc>
          <w:tcPr>
            <w:tcW w:w="1578"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hint="default" w:ascii="Times New Roman" w:hAnsi="Times New Roman"/>
                <w:color w:val="auto"/>
                <w:sz w:val="24"/>
                <w:highlight w:val="none"/>
              </w:rPr>
              <w:t>园林式居住区（单位）评选</w:t>
            </w:r>
          </w:p>
        </w:tc>
        <w:tc>
          <w:tcPr>
            <w:tcW w:w="4289"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hint="default" w:ascii="Times New Roman" w:hAnsi="Times New Roman"/>
                <w:color w:val="auto"/>
                <w:sz w:val="24"/>
                <w:highlight w:val="none"/>
              </w:rPr>
              <w:t>专项组织园林式居住区（单位）评审，达标率大于</w:t>
            </w:r>
            <w:r>
              <w:rPr>
                <w:rFonts w:ascii="Times New Roman" w:hAnsi="Times New Roman"/>
                <w:color w:val="auto"/>
                <w:sz w:val="24"/>
                <w:highlight w:val="none"/>
              </w:rPr>
              <w:t>50%</w:t>
            </w:r>
            <w:r>
              <w:rPr>
                <w:rFonts w:hint="default" w:ascii="Times New Roman" w:hAnsi="Times New Roman"/>
                <w:color w:val="auto"/>
                <w:sz w:val="24"/>
                <w:highlight w:val="none"/>
              </w:rPr>
              <w:t>，授牌</w:t>
            </w:r>
          </w:p>
        </w:tc>
        <w:tc>
          <w:tcPr>
            <w:tcW w:w="1100"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hint="default" w:ascii="Times New Roman" w:hAnsi="Times New Roman"/>
                <w:color w:val="auto"/>
                <w:sz w:val="24"/>
                <w:highlight w:val="none"/>
              </w:rPr>
              <w:t>县住建局</w:t>
            </w:r>
          </w:p>
        </w:tc>
        <w:tc>
          <w:tcPr>
            <w:tcW w:w="566"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hint="default" w:ascii="Times New Roman" w:hAnsi="Times New Roman"/>
                <w:color w:val="auto"/>
                <w:sz w:val="24"/>
                <w:highlight w:val="none"/>
              </w:rPr>
              <w:t>完善项</w:t>
            </w:r>
          </w:p>
        </w:tc>
        <w:tc>
          <w:tcPr>
            <w:tcW w:w="756"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15</w:t>
            </w:r>
          </w:p>
        </w:tc>
        <w:tc>
          <w:tcPr>
            <w:tcW w:w="733"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2021年9月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9555" w:type="dxa"/>
            <w:gridSpan w:val="7"/>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hint="default" w:ascii="Times New Roman" w:hAnsi="Times New Roman"/>
                <w:b/>
                <w:color w:val="auto"/>
                <w:sz w:val="24"/>
                <w:highlight w:val="none"/>
              </w:rPr>
              <w:t>园林绿化品质提升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533"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1</w:t>
            </w:r>
          </w:p>
        </w:tc>
        <w:tc>
          <w:tcPr>
            <w:tcW w:w="1578"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hint="default" w:ascii="Times New Roman" w:hAnsi="Times New Roman"/>
                <w:color w:val="auto"/>
                <w:sz w:val="24"/>
                <w:highlight w:val="none"/>
              </w:rPr>
              <w:t>严格控制大树移植</w:t>
            </w:r>
          </w:p>
        </w:tc>
        <w:tc>
          <w:tcPr>
            <w:tcW w:w="4289"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hint="default" w:ascii="Times New Roman" w:hAnsi="Times New Roman"/>
                <w:color w:val="auto"/>
                <w:sz w:val="24"/>
                <w:highlight w:val="none"/>
              </w:rPr>
              <w:t>联合制定严格控制天然大树移植的管理制定，并联合发布执行</w:t>
            </w:r>
          </w:p>
        </w:tc>
        <w:tc>
          <w:tcPr>
            <w:tcW w:w="1100"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hint="default" w:ascii="Times New Roman" w:hAnsi="Times New Roman"/>
                <w:color w:val="auto"/>
                <w:sz w:val="24"/>
                <w:highlight w:val="none"/>
              </w:rPr>
              <w:t>县住建局、林业局</w:t>
            </w:r>
          </w:p>
        </w:tc>
        <w:tc>
          <w:tcPr>
            <w:tcW w:w="566"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hint="default" w:ascii="Times New Roman" w:hAnsi="Times New Roman"/>
                <w:color w:val="auto"/>
                <w:sz w:val="24"/>
                <w:highlight w:val="none"/>
              </w:rPr>
              <w:t>完善项</w:t>
            </w:r>
          </w:p>
        </w:tc>
        <w:tc>
          <w:tcPr>
            <w:tcW w:w="756"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21</w:t>
            </w:r>
          </w:p>
        </w:tc>
        <w:tc>
          <w:tcPr>
            <w:tcW w:w="733"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2021年9月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533"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3</w:t>
            </w:r>
          </w:p>
        </w:tc>
        <w:tc>
          <w:tcPr>
            <w:tcW w:w="1578"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hint="default" w:ascii="Times New Roman" w:hAnsi="Times New Roman"/>
                <w:color w:val="auto"/>
                <w:sz w:val="24"/>
                <w:highlight w:val="none"/>
              </w:rPr>
              <w:t>绿化管养品质提升</w:t>
            </w:r>
          </w:p>
        </w:tc>
        <w:tc>
          <w:tcPr>
            <w:tcW w:w="4289"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hint="default" w:ascii="Times New Roman" w:hAnsi="Times New Roman"/>
                <w:color w:val="auto"/>
                <w:sz w:val="24"/>
                <w:highlight w:val="none"/>
              </w:rPr>
              <w:t>根据住建部印发的《园林绿化养护标准》（</w:t>
            </w:r>
            <w:r>
              <w:rPr>
                <w:rFonts w:ascii="Times New Roman" w:hAnsi="Times New Roman"/>
                <w:color w:val="auto"/>
                <w:sz w:val="24"/>
                <w:highlight w:val="none"/>
              </w:rPr>
              <w:t>CJJT 287-2018</w:t>
            </w:r>
            <w:r>
              <w:rPr>
                <w:rFonts w:hint="default" w:ascii="Times New Roman" w:hAnsi="Times New Roman"/>
                <w:color w:val="auto"/>
                <w:sz w:val="24"/>
                <w:highlight w:val="none"/>
              </w:rPr>
              <w:t>）进行高品质养护，制定海丰县绿化养护标准，切实提高绿化养护品质。</w:t>
            </w:r>
          </w:p>
        </w:tc>
        <w:tc>
          <w:tcPr>
            <w:tcW w:w="1100"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hint="default" w:ascii="Times New Roman" w:hAnsi="Times New Roman"/>
                <w:color w:val="auto"/>
                <w:sz w:val="24"/>
                <w:highlight w:val="none"/>
              </w:rPr>
              <w:t>县住建局、林业局、公用事业事务中心、水务局</w:t>
            </w:r>
          </w:p>
        </w:tc>
        <w:tc>
          <w:tcPr>
            <w:tcW w:w="566"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hint="default" w:ascii="Times New Roman" w:hAnsi="Times New Roman"/>
                <w:color w:val="auto"/>
                <w:sz w:val="24"/>
                <w:highlight w:val="none"/>
              </w:rPr>
              <w:t>完善项</w:t>
            </w:r>
          </w:p>
        </w:tc>
        <w:tc>
          <w:tcPr>
            <w:tcW w:w="756"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6</w:t>
            </w:r>
          </w:p>
        </w:tc>
        <w:tc>
          <w:tcPr>
            <w:tcW w:w="733"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2021年9月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9555" w:type="dxa"/>
            <w:gridSpan w:val="7"/>
            <w:shd w:val="clear" w:color="auto" w:fill="auto"/>
            <w:noWrap/>
            <w:tcMar>
              <w:top w:w="10" w:type="dxa"/>
              <w:left w:w="10" w:type="dxa"/>
              <w:right w:w="10" w:type="dxa"/>
            </w:tcMar>
            <w:vAlign w:val="center"/>
          </w:tcPr>
          <w:p>
            <w:pPr>
              <w:jc w:val="center"/>
              <w:rPr>
                <w:rFonts w:ascii="Times New Roman" w:hAnsi="Times New Roman"/>
                <w:b/>
                <w:color w:val="auto"/>
                <w:sz w:val="24"/>
                <w:highlight w:val="none"/>
              </w:rPr>
            </w:pPr>
            <w:r>
              <w:rPr>
                <w:rFonts w:hint="default" w:ascii="Times New Roman" w:hAnsi="Times New Roman"/>
                <w:b/>
                <w:color w:val="auto"/>
                <w:sz w:val="24"/>
                <w:highlight w:val="none"/>
              </w:rPr>
              <w:t>智慧科技园林建设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533"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1</w:t>
            </w:r>
          </w:p>
        </w:tc>
        <w:tc>
          <w:tcPr>
            <w:tcW w:w="1578"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hint="default" w:ascii="Times New Roman" w:hAnsi="Times New Roman"/>
                <w:color w:val="auto"/>
                <w:sz w:val="24"/>
                <w:highlight w:val="none"/>
              </w:rPr>
              <w:t>园林绿化管理信息技术应用</w:t>
            </w:r>
          </w:p>
        </w:tc>
        <w:tc>
          <w:tcPr>
            <w:tcW w:w="4289"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hint="default" w:ascii="Times New Roman" w:hAnsi="Times New Roman"/>
                <w:color w:val="auto"/>
                <w:sz w:val="24"/>
                <w:highlight w:val="none"/>
              </w:rPr>
              <w:t>建立园林绿化信息数据库、网络化监管系统</w:t>
            </w:r>
          </w:p>
        </w:tc>
        <w:tc>
          <w:tcPr>
            <w:tcW w:w="1100"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hint="default" w:ascii="Times New Roman" w:hAnsi="Times New Roman"/>
                <w:color w:val="auto"/>
                <w:sz w:val="24"/>
                <w:highlight w:val="none"/>
              </w:rPr>
              <w:t>住建局</w:t>
            </w:r>
          </w:p>
        </w:tc>
        <w:tc>
          <w:tcPr>
            <w:tcW w:w="566"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hint="default" w:ascii="Times New Roman" w:hAnsi="Times New Roman"/>
                <w:color w:val="auto"/>
                <w:sz w:val="24"/>
                <w:highlight w:val="none"/>
              </w:rPr>
              <w:t>完善项</w:t>
            </w:r>
          </w:p>
        </w:tc>
        <w:tc>
          <w:tcPr>
            <w:tcW w:w="756"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7</w:t>
            </w:r>
          </w:p>
        </w:tc>
        <w:tc>
          <w:tcPr>
            <w:tcW w:w="733"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2021年6月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533"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2</w:t>
            </w:r>
          </w:p>
        </w:tc>
        <w:tc>
          <w:tcPr>
            <w:tcW w:w="1578"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hint="default" w:ascii="Times New Roman" w:hAnsi="Times New Roman"/>
                <w:color w:val="auto"/>
                <w:sz w:val="24"/>
                <w:highlight w:val="none"/>
              </w:rPr>
              <w:t>园林绿化科研开发与应用</w:t>
            </w:r>
          </w:p>
        </w:tc>
        <w:tc>
          <w:tcPr>
            <w:tcW w:w="4289"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hint="default" w:ascii="Times New Roman" w:hAnsi="Times New Roman"/>
                <w:color w:val="auto"/>
                <w:sz w:val="24"/>
                <w:highlight w:val="none"/>
              </w:rPr>
              <w:t>积极引进和应用新技术、尤其是在新优植物材料使用、乡土植物开发、透气和透水铺装材料、节水灌溉设施和中水利用技术、立体绿化技术、古树复壮技术、病虫害综合防治技术等</w:t>
            </w:r>
          </w:p>
        </w:tc>
        <w:tc>
          <w:tcPr>
            <w:tcW w:w="1100"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hint="default" w:ascii="Times New Roman" w:hAnsi="Times New Roman"/>
                <w:color w:val="auto"/>
                <w:sz w:val="24"/>
                <w:highlight w:val="none"/>
              </w:rPr>
              <w:t>林业局、公用事业事务中心</w:t>
            </w:r>
          </w:p>
        </w:tc>
        <w:tc>
          <w:tcPr>
            <w:tcW w:w="566"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hint="default" w:ascii="Times New Roman" w:hAnsi="Times New Roman"/>
                <w:color w:val="auto"/>
                <w:sz w:val="24"/>
                <w:highlight w:val="none"/>
              </w:rPr>
              <w:t>完善项</w:t>
            </w:r>
          </w:p>
        </w:tc>
        <w:tc>
          <w:tcPr>
            <w:tcW w:w="756"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3</w:t>
            </w:r>
          </w:p>
        </w:tc>
        <w:tc>
          <w:tcPr>
            <w:tcW w:w="733" w:type="dxa"/>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r>
              <w:rPr>
                <w:rFonts w:ascii="Times New Roman" w:hAnsi="Times New Roman"/>
                <w:color w:val="auto"/>
                <w:sz w:val="24"/>
                <w:highlight w:val="none"/>
              </w:rPr>
              <w:t>2021年9月</w:t>
            </w:r>
          </w:p>
        </w:tc>
      </w:tr>
    </w:tbl>
    <w:p>
      <w:pPr>
        <w:pStyle w:val="2"/>
        <w:ind w:left="0" w:leftChars="0" w:firstLine="0" w:firstLineChars="0"/>
        <w:rPr>
          <w:rFonts w:ascii="Times New Roman" w:hAnsi="Times New Roman"/>
          <w:color w:val="auto"/>
          <w:highlight w:val="none"/>
        </w:rPr>
      </w:pPr>
    </w:p>
    <w:p>
      <w:pPr>
        <w:pStyle w:val="5"/>
        <w:rPr>
          <w:rFonts w:ascii="Times New Roman" w:hAnsi="Times New Roman" w:eastAsia="宋体"/>
          <w:color w:val="auto"/>
          <w:sz w:val="28"/>
          <w:szCs w:val="28"/>
          <w:highlight w:val="none"/>
        </w:rPr>
      </w:pPr>
      <w:bookmarkStart w:id="250" w:name="_Toc13785"/>
      <w:bookmarkStart w:id="251" w:name="_Toc16996"/>
      <w:bookmarkStart w:id="252" w:name="_Toc11073"/>
      <w:bookmarkStart w:id="253" w:name="_Toc2831"/>
      <w:bookmarkStart w:id="254" w:name="_Toc669"/>
      <w:bookmarkStart w:id="255" w:name="_Toc17968"/>
      <w:r>
        <w:rPr>
          <w:rFonts w:ascii="Times New Roman" w:hAnsi="Times New Roman" w:eastAsia="宋体"/>
          <w:color w:val="auto"/>
          <w:sz w:val="28"/>
          <w:szCs w:val="28"/>
          <w:highlight w:val="none"/>
        </w:rPr>
        <w:t>行动三：生态保护，守护县城生态安全</w:t>
      </w:r>
      <w:bookmarkEnd w:id="250"/>
      <w:bookmarkEnd w:id="251"/>
      <w:bookmarkEnd w:id="252"/>
      <w:bookmarkEnd w:id="253"/>
      <w:bookmarkEnd w:id="254"/>
      <w:bookmarkEnd w:id="255"/>
    </w:p>
    <w:tbl>
      <w:tblPr>
        <w:tblStyle w:val="20"/>
        <w:tblW w:w="9566" w:type="dxa"/>
        <w:tblInd w:w="-6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44"/>
        <w:gridCol w:w="1578"/>
        <w:gridCol w:w="4289"/>
        <w:gridCol w:w="1111"/>
        <w:gridCol w:w="556"/>
        <w:gridCol w:w="755"/>
        <w:gridCol w:w="7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tblHeader/>
        </w:trPr>
        <w:tc>
          <w:tcPr>
            <w:tcW w:w="544" w:type="dxa"/>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序号</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项目</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内容</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责任单位</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性质</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对应考核指标</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完成时间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0" w:hRule="atLeast"/>
        </w:trPr>
        <w:tc>
          <w:tcPr>
            <w:tcW w:w="9566" w:type="dxa"/>
            <w:gridSpan w:val="7"/>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生物保护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544"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古树名木和后备资源保护</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s="Times New Roman"/>
                <w:color w:val="auto"/>
                <w:kern w:val="0"/>
                <w:sz w:val="24"/>
                <w:highlight w:val="none"/>
                <w:lang w:bidi="ar"/>
              </w:rPr>
              <w:t>①</w:t>
            </w:r>
            <w:r>
              <w:rPr>
                <w:rFonts w:ascii="Times New Roman" w:hAnsi="Times New Roman"/>
                <w:color w:val="auto"/>
                <w:kern w:val="0"/>
                <w:sz w:val="24"/>
                <w:highlight w:val="none"/>
                <w:lang w:bidi="ar"/>
              </w:rPr>
              <w:t>严禁移植古树名木,古树名木保护率100%；</w:t>
            </w:r>
            <w:r>
              <w:rPr>
                <w:rFonts w:hint="default" w:ascii="Times New Roman" w:hAnsi="Times New Roman" w:cs="Times New Roman"/>
                <w:color w:val="auto"/>
                <w:kern w:val="0"/>
                <w:sz w:val="24"/>
                <w:highlight w:val="none"/>
                <w:lang w:bidi="ar"/>
              </w:rPr>
              <w:t>②</w:t>
            </w:r>
            <w:r>
              <w:rPr>
                <w:rFonts w:ascii="Times New Roman" w:hAnsi="Times New Roman"/>
                <w:color w:val="auto"/>
                <w:kern w:val="0"/>
                <w:sz w:val="24"/>
                <w:highlight w:val="none"/>
                <w:lang w:bidi="ar"/>
              </w:rPr>
              <w:t>完成树龄超过50年（含）以上古树名木后备资源普查、建档、挂牌并确定保护责任单位或责任人。</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县林业局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25</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w:t>
            </w:r>
            <w:r>
              <w:rPr>
                <w:rFonts w:hint="eastAsia" w:ascii="Times New Roman" w:hAnsi="Times New Roman"/>
                <w:color w:val="auto"/>
                <w:kern w:val="0"/>
                <w:sz w:val="24"/>
                <w:highlight w:val="none"/>
                <w:lang w:eastAsia="zh-CN" w:bidi="ar"/>
              </w:rPr>
              <w:t>1</w:t>
            </w:r>
            <w:r>
              <w:rPr>
                <w:rFonts w:ascii="Times New Roman" w:hAnsi="Times New Roman"/>
                <w:color w:val="auto"/>
                <w:kern w:val="0"/>
                <w:sz w:val="24"/>
                <w:highlight w:val="none"/>
                <w:lang w:bidi="ar"/>
              </w:rPr>
              <w:t>年</w:t>
            </w:r>
            <w:r>
              <w:rPr>
                <w:rFonts w:hint="eastAsia" w:ascii="Times New Roman" w:hAnsi="Times New Roman"/>
                <w:color w:val="auto"/>
                <w:kern w:val="0"/>
                <w:sz w:val="24"/>
                <w:highlight w:val="none"/>
                <w:lang w:eastAsia="zh-CN" w:bidi="ar"/>
              </w:rPr>
              <w:t>6</w:t>
            </w:r>
            <w:r>
              <w:rPr>
                <w:rFonts w:ascii="Times New Roman" w:hAnsi="Times New Roman"/>
                <w:color w:val="auto"/>
                <w:kern w:val="0"/>
                <w:sz w:val="24"/>
                <w:highlight w:val="none"/>
                <w:lang w:bidi="ar"/>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544"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生物资源普查</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s="Times New Roman"/>
                <w:color w:val="auto"/>
                <w:kern w:val="0"/>
                <w:sz w:val="24"/>
                <w:highlight w:val="none"/>
                <w:lang w:bidi="ar"/>
              </w:rPr>
              <w:t>①</w:t>
            </w:r>
            <w:r>
              <w:rPr>
                <w:rFonts w:ascii="Times New Roman" w:hAnsi="Times New Roman"/>
                <w:color w:val="auto"/>
                <w:kern w:val="0"/>
                <w:sz w:val="24"/>
                <w:highlight w:val="none"/>
                <w:lang w:bidi="ar"/>
              </w:rPr>
              <w:t>已完成不小于县域范围的生物物种资源普查；</w:t>
            </w:r>
            <w:r>
              <w:rPr>
                <w:rFonts w:hint="default" w:ascii="Times New Roman" w:hAnsi="Times New Roman" w:cs="Times New Roman"/>
                <w:color w:val="auto"/>
                <w:kern w:val="0"/>
                <w:sz w:val="24"/>
                <w:highlight w:val="none"/>
                <w:lang w:bidi="ar"/>
              </w:rPr>
              <w:t>②</w:t>
            </w:r>
            <w:r>
              <w:rPr>
                <w:rFonts w:ascii="Times New Roman" w:hAnsi="Times New Roman"/>
                <w:color w:val="auto"/>
                <w:kern w:val="0"/>
                <w:sz w:val="24"/>
                <w:highlight w:val="none"/>
                <w:lang w:bidi="ar"/>
              </w:rPr>
              <w:t>生物物种总量保持合理增长，重要物种及其栖息地得到有效保护。</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县林业局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31</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544"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种质资源库建设</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结合风景名胜区、植物专类园、综合公园、生产苗圃等建立乡土、适生植物种质资源库，并开展相应的引种驯化研究；</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县林业局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32</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w:t>
            </w:r>
            <w:r>
              <w:rPr>
                <w:rFonts w:hint="eastAsia" w:ascii="Times New Roman" w:hAnsi="Times New Roman"/>
                <w:color w:val="auto"/>
                <w:kern w:val="0"/>
                <w:sz w:val="24"/>
                <w:highlight w:val="none"/>
                <w:lang w:eastAsia="zh-CN" w:bidi="ar"/>
              </w:rPr>
              <w:t>1</w:t>
            </w:r>
            <w:r>
              <w:rPr>
                <w:rFonts w:ascii="Times New Roman" w:hAnsi="Times New Roman"/>
                <w:color w:val="auto"/>
                <w:kern w:val="0"/>
                <w:sz w:val="24"/>
                <w:highlight w:val="none"/>
                <w:lang w:bidi="ar"/>
              </w:rPr>
              <w:t>年</w:t>
            </w:r>
            <w:r>
              <w:rPr>
                <w:rFonts w:hint="eastAsia" w:ascii="Times New Roman" w:hAnsi="Times New Roman"/>
                <w:color w:val="auto"/>
                <w:kern w:val="0"/>
                <w:sz w:val="24"/>
                <w:highlight w:val="none"/>
                <w:lang w:val="en-US" w:eastAsia="zh-CN" w:bidi="ar"/>
              </w:rPr>
              <w:t>8</w:t>
            </w:r>
            <w:r>
              <w:rPr>
                <w:rFonts w:ascii="Times New Roman" w:hAnsi="Times New Roman"/>
                <w:color w:val="auto"/>
                <w:kern w:val="0"/>
                <w:sz w:val="24"/>
                <w:highlight w:val="none"/>
                <w:lang w:bidi="ar"/>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544"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乡土植物使用</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s="Times New Roman"/>
                <w:color w:val="auto"/>
                <w:kern w:val="0"/>
                <w:sz w:val="24"/>
                <w:highlight w:val="none"/>
                <w:lang w:bidi="ar"/>
              </w:rPr>
              <w:t>①</w:t>
            </w:r>
            <w:r>
              <w:rPr>
                <w:rStyle w:val="29"/>
                <w:rFonts w:hint="default" w:ascii="Times New Roman" w:hAnsi="Times New Roman" w:cs="Times New Roman"/>
                <w:color w:val="auto"/>
                <w:highlight w:val="none"/>
                <w:lang w:bidi="ar"/>
              </w:rPr>
              <w:t>积极推广应用乡土及适生植物，丰富地被植物品种；②本地木本植物植物≥0.70。</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县林业局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eastAsia" w:ascii="Times New Roman" w:hAnsi="Times New Roman"/>
                <w:color w:val="auto"/>
                <w:kern w:val="0"/>
                <w:sz w:val="24"/>
                <w:highlight w:val="none"/>
                <w:lang w:bidi="ar"/>
              </w:rPr>
              <w:t>提升项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32</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w:t>
            </w:r>
            <w:r>
              <w:rPr>
                <w:rFonts w:hint="eastAsia" w:ascii="Times New Roman" w:hAnsi="Times New Roman"/>
                <w:color w:val="auto"/>
                <w:kern w:val="0"/>
                <w:sz w:val="24"/>
                <w:highlight w:val="none"/>
                <w:lang w:eastAsia="zh-CN" w:bidi="ar"/>
              </w:rPr>
              <w:t>1</w:t>
            </w:r>
            <w:r>
              <w:rPr>
                <w:rFonts w:ascii="Times New Roman" w:hAnsi="Times New Roman"/>
                <w:color w:val="auto"/>
                <w:kern w:val="0"/>
                <w:sz w:val="24"/>
                <w:highlight w:val="none"/>
                <w:lang w:bidi="ar"/>
              </w:rPr>
              <w:t>年</w:t>
            </w:r>
            <w:r>
              <w:rPr>
                <w:rFonts w:hint="eastAsia" w:ascii="Times New Roman" w:hAnsi="Times New Roman"/>
                <w:color w:val="auto"/>
                <w:kern w:val="0"/>
                <w:sz w:val="24"/>
                <w:highlight w:val="none"/>
                <w:lang w:val="en-US" w:eastAsia="zh-CN" w:bidi="ar"/>
              </w:rPr>
              <w:t>8</w:t>
            </w:r>
            <w:r>
              <w:rPr>
                <w:rFonts w:ascii="Times New Roman" w:hAnsi="Times New Roman"/>
                <w:color w:val="auto"/>
                <w:kern w:val="0"/>
                <w:sz w:val="24"/>
                <w:highlight w:val="none"/>
                <w:lang w:bidi="ar"/>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544"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5</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湿地资源普查</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完成规划区内湿地资源普查工作</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县林业局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33</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w:t>
            </w:r>
            <w:r>
              <w:rPr>
                <w:rFonts w:hint="eastAsia" w:ascii="Times New Roman" w:hAnsi="Times New Roman"/>
                <w:color w:val="auto"/>
                <w:kern w:val="0"/>
                <w:sz w:val="24"/>
                <w:highlight w:val="none"/>
                <w:lang w:val="en-US" w:eastAsia="zh-CN" w:bidi="ar"/>
              </w:rPr>
              <w:t>21</w:t>
            </w:r>
            <w:r>
              <w:rPr>
                <w:rFonts w:ascii="Times New Roman" w:hAnsi="Times New Roman"/>
                <w:color w:val="auto"/>
                <w:kern w:val="0"/>
                <w:sz w:val="24"/>
                <w:highlight w:val="none"/>
                <w:lang w:bidi="ar"/>
              </w:rPr>
              <w:t>年</w:t>
            </w:r>
            <w:r>
              <w:rPr>
                <w:rFonts w:hint="eastAsia" w:ascii="Times New Roman" w:hAnsi="Times New Roman"/>
                <w:color w:val="auto"/>
                <w:kern w:val="0"/>
                <w:sz w:val="24"/>
                <w:highlight w:val="none"/>
                <w:lang w:eastAsia="zh-CN" w:bidi="ar"/>
              </w:rPr>
              <w:t>6</w:t>
            </w:r>
            <w:r>
              <w:rPr>
                <w:rFonts w:ascii="Times New Roman" w:hAnsi="Times New Roman"/>
                <w:color w:val="auto"/>
                <w:kern w:val="0"/>
                <w:sz w:val="24"/>
                <w:highlight w:val="none"/>
                <w:lang w:bidi="ar"/>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544"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6</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建立湿地保护管理机构</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明确保护管理职责，落实管理资金</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县林业局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33</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w:t>
            </w:r>
            <w:r>
              <w:rPr>
                <w:rFonts w:hint="eastAsia" w:ascii="Times New Roman" w:hAnsi="Times New Roman"/>
                <w:color w:val="auto"/>
                <w:kern w:val="0"/>
                <w:sz w:val="24"/>
                <w:highlight w:val="none"/>
                <w:lang w:eastAsia="zh-CN" w:bidi="ar"/>
              </w:rPr>
              <w:t>1</w:t>
            </w:r>
            <w:r>
              <w:rPr>
                <w:rFonts w:ascii="Times New Roman" w:hAnsi="Times New Roman"/>
                <w:color w:val="auto"/>
                <w:kern w:val="0"/>
                <w:sz w:val="24"/>
                <w:highlight w:val="none"/>
                <w:lang w:bidi="ar"/>
              </w:rPr>
              <w:t>年</w:t>
            </w:r>
            <w:r>
              <w:rPr>
                <w:rFonts w:hint="eastAsia" w:ascii="Times New Roman" w:hAnsi="Times New Roman"/>
                <w:color w:val="auto"/>
                <w:kern w:val="0"/>
                <w:sz w:val="24"/>
                <w:highlight w:val="none"/>
                <w:lang w:eastAsia="zh-CN" w:bidi="ar"/>
              </w:rPr>
              <w:t>6</w:t>
            </w:r>
            <w:r>
              <w:rPr>
                <w:rFonts w:ascii="Times New Roman" w:hAnsi="Times New Roman"/>
                <w:color w:val="auto"/>
                <w:kern w:val="0"/>
                <w:sz w:val="24"/>
                <w:highlight w:val="none"/>
                <w:lang w:bidi="ar"/>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trPr>
        <w:tc>
          <w:tcPr>
            <w:tcW w:w="9566" w:type="dxa"/>
            <w:gridSpan w:val="7"/>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sz w:val="22"/>
                <w:szCs w:val="22"/>
                <w:highlight w:val="none"/>
              </w:rPr>
            </w:pPr>
            <w:r>
              <w:rPr>
                <w:rFonts w:ascii="Times New Roman" w:hAnsi="Times New Roman"/>
                <w:b/>
                <w:color w:val="auto"/>
                <w:kern w:val="0"/>
                <w:sz w:val="22"/>
                <w:szCs w:val="22"/>
                <w:highlight w:val="none"/>
                <w:lang w:bidi="ar"/>
              </w:rPr>
              <w:t>绿水青山蓝天行动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544"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水体岸线绿化</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对规划区范围内的河流、水库进行专项整治，确保自然河流无截弯取直、筑坝截流、违法取沙现象，水体岸线自然化绿不小于80%。</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县水务局、县自然资源局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eastAsia" w:ascii="Times New Roman" w:hAnsi="Times New Roman"/>
                <w:color w:val="auto"/>
                <w:kern w:val="0"/>
                <w:sz w:val="24"/>
                <w:highlight w:val="none"/>
                <w:lang w:bidi="ar"/>
              </w:rPr>
              <w:t>提升项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30</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544"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地表水治理</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s="Times New Roman"/>
                <w:color w:val="auto"/>
                <w:kern w:val="0"/>
                <w:sz w:val="24"/>
                <w:highlight w:val="none"/>
                <w:lang w:bidi="ar"/>
              </w:rPr>
              <w:t>①</w:t>
            </w:r>
            <w:r>
              <w:rPr>
                <w:rStyle w:val="29"/>
                <w:rFonts w:hint="default" w:ascii="Times New Roman" w:hAnsi="Times New Roman" w:cs="Times New Roman"/>
                <w:color w:val="auto"/>
                <w:highlight w:val="none"/>
                <w:lang w:bidi="ar"/>
              </w:rPr>
              <w:t>公平、青年、红花地水库、大湖鸟类保护区、黄江流域污染综合整治；②龙津河水环境综合整治等重点水利工程，19条县城黑臭水体整治；③确保地表水Ⅳ类及以上水体比例≥60%，构建水生态修复项目库。</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县水务局、</w:t>
            </w:r>
            <w:r>
              <w:rPr>
                <w:rFonts w:hint="eastAsia" w:ascii="Times New Roman" w:hAnsi="Times New Roman"/>
                <w:color w:val="auto"/>
                <w:kern w:val="0"/>
                <w:sz w:val="24"/>
                <w:highlight w:val="none"/>
                <w:lang w:val="en-US" w:eastAsia="zh-CN" w:bidi="ar"/>
              </w:rPr>
              <w:t>市</w:t>
            </w:r>
            <w:r>
              <w:rPr>
                <w:rFonts w:hint="eastAsia" w:ascii="Times New Roman" w:hAnsi="Times New Roman"/>
                <w:color w:val="auto"/>
                <w:kern w:val="0"/>
                <w:sz w:val="24"/>
                <w:highlight w:val="none"/>
                <w:lang w:eastAsia="zh-CN" w:bidi="ar"/>
              </w:rPr>
              <w:t>生态环境局</w:t>
            </w:r>
            <w:r>
              <w:rPr>
                <w:rFonts w:ascii="Times New Roman" w:hAnsi="Times New Roman"/>
                <w:color w:val="auto"/>
                <w:kern w:val="0"/>
                <w:sz w:val="24"/>
                <w:highlight w:val="none"/>
                <w:lang w:bidi="ar"/>
              </w:rPr>
              <w:t>海丰分局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eastAsia" w:ascii="Times New Roman" w:hAnsi="Times New Roman"/>
                <w:color w:val="auto"/>
                <w:kern w:val="0"/>
                <w:sz w:val="24"/>
                <w:highlight w:val="none"/>
                <w:lang w:bidi="ar"/>
              </w:rPr>
              <w:t>提升项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30、35</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2021年6月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544"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碧道建设</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完成</w:t>
            </w:r>
            <w:r>
              <w:rPr>
                <w:rFonts w:hint="eastAsia" w:ascii="Times New Roman" w:hAnsi="Times New Roman"/>
                <w:color w:val="auto"/>
                <w:kern w:val="0"/>
                <w:sz w:val="24"/>
                <w:highlight w:val="none"/>
                <w:lang w:val="en-US" w:eastAsia="zh-CN" w:bidi="ar"/>
              </w:rPr>
              <w:t>8</w:t>
            </w:r>
            <w:r>
              <w:rPr>
                <w:rFonts w:ascii="Times New Roman" w:hAnsi="Times New Roman"/>
                <w:color w:val="auto"/>
                <w:kern w:val="0"/>
                <w:sz w:val="24"/>
                <w:highlight w:val="none"/>
                <w:lang w:bidi="ar"/>
              </w:rPr>
              <w:t>公里黄江河碧道海丰县段-1、</w:t>
            </w:r>
            <w:r>
              <w:rPr>
                <w:rFonts w:hint="eastAsia" w:ascii="Times New Roman" w:hAnsi="Times New Roman"/>
                <w:color w:val="auto"/>
                <w:kern w:val="0"/>
                <w:sz w:val="24"/>
                <w:highlight w:val="none"/>
                <w:lang w:val="en-US" w:eastAsia="zh-CN" w:bidi="ar"/>
              </w:rPr>
              <w:t>13</w:t>
            </w:r>
            <w:r>
              <w:rPr>
                <w:rFonts w:ascii="Times New Roman" w:hAnsi="Times New Roman"/>
                <w:color w:val="auto"/>
                <w:kern w:val="0"/>
                <w:sz w:val="24"/>
                <w:highlight w:val="none"/>
                <w:lang w:bidi="ar"/>
              </w:rPr>
              <w:t>公里龙津河碧道和</w:t>
            </w:r>
            <w:r>
              <w:rPr>
                <w:rFonts w:hint="eastAsia" w:ascii="Times New Roman" w:hAnsi="Times New Roman"/>
                <w:color w:val="auto"/>
                <w:kern w:val="0"/>
                <w:sz w:val="24"/>
                <w:highlight w:val="none"/>
                <w:lang w:val="en-US" w:eastAsia="zh-CN" w:bidi="ar"/>
              </w:rPr>
              <w:t>18</w:t>
            </w:r>
            <w:r>
              <w:rPr>
                <w:rFonts w:ascii="Times New Roman" w:hAnsi="Times New Roman"/>
                <w:color w:val="auto"/>
                <w:kern w:val="0"/>
                <w:sz w:val="24"/>
                <w:highlight w:val="none"/>
                <w:lang w:bidi="ar"/>
              </w:rPr>
              <w:t>公里大液河碧道建设</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县水务局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提升项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30</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w:t>
            </w:r>
            <w:r>
              <w:rPr>
                <w:rFonts w:hint="eastAsia" w:ascii="Times New Roman" w:hAnsi="Times New Roman"/>
                <w:color w:val="auto"/>
                <w:kern w:val="0"/>
                <w:sz w:val="24"/>
                <w:highlight w:val="none"/>
                <w:lang w:eastAsia="zh-CN" w:bidi="ar"/>
              </w:rPr>
              <w:t>9</w:t>
            </w:r>
            <w:r>
              <w:rPr>
                <w:rFonts w:ascii="Times New Roman" w:hAnsi="Times New Roman"/>
                <w:color w:val="auto"/>
                <w:kern w:val="0"/>
                <w:sz w:val="24"/>
                <w:highlight w:val="none"/>
                <w:lang w:bidi="ar"/>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544"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山体保护</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山体无违法违规开山取石、采矿及随意推山取平等现象，并对受损山体进行生态修复，构建山体生态修复项目库</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县自然资源局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eastAsia" w:ascii="Times New Roman" w:hAnsi="Times New Roman"/>
                <w:color w:val="auto"/>
                <w:kern w:val="0"/>
                <w:sz w:val="24"/>
                <w:highlight w:val="none"/>
                <w:lang w:bidi="ar"/>
              </w:rPr>
              <w:t>提升项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30</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w:t>
            </w:r>
            <w:r>
              <w:rPr>
                <w:rFonts w:hint="eastAsia" w:ascii="Times New Roman" w:hAnsi="Times New Roman"/>
                <w:color w:val="auto"/>
                <w:kern w:val="0"/>
                <w:sz w:val="24"/>
                <w:highlight w:val="none"/>
                <w:lang w:eastAsia="zh-CN" w:bidi="ar"/>
              </w:rPr>
              <w:t>1</w:t>
            </w:r>
            <w:r>
              <w:rPr>
                <w:rFonts w:ascii="Times New Roman" w:hAnsi="Times New Roman"/>
                <w:color w:val="auto"/>
                <w:kern w:val="0"/>
                <w:sz w:val="24"/>
                <w:highlight w:val="none"/>
                <w:lang w:bidi="ar"/>
              </w:rPr>
              <w:t>年</w:t>
            </w:r>
            <w:r>
              <w:rPr>
                <w:rFonts w:hint="eastAsia" w:ascii="Times New Roman" w:hAnsi="Times New Roman"/>
                <w:color w:val="auto"/>
                <w:kern w:val="0"/>
                <w:sz w:val="24"/>
                <w:highlight w:val="none"/>
                <w:lang w:eastAsia="zh-CN" w:bidi="ar"/>
              </w:rPr>
              <w:t>9</w:t>
            </w:r>
            <w:r>
              <w:rPr>
                <w:rFonts w:ascii="Times New Roman" w:hAnsi="Times New Roman"/>
                <w:color w:val="auto"/>
                <w:kern w:val="0"/>
                <w:sz w:val="24"/>
                <w:highlight w:val="none"/>
                <w:lang w:bidi="ar"/>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544"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5</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森林质量提升</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default" w:ascii="Times New Roman" w:hAnsi="Times New Roman" w:cs="Times New Roman"/>
                <w:color w:val="auto"/>
                <w:kern w:val="0"/>
                <w:sz w:val="24"/>
                <w:highlight w:val="none"/>
                <w:lang w:bidi="ar"/>
              </w:rPr>
              <w:t>①</w:t>
            </w:r>
            <w:r>
              <w:rPr>
                <w:rFonts w:ascii="Times New Roman" w:hAnsi="Times New Roman"/>
                <w:color w:val="auto"/>
                <w:kern w:val="0"/>
                <w:sz w:val="24"/>
                <w:highlight w:val="none"/>
                <w:lang w:bidi="ar"/>
              </w:rPr>
              <w:t>25691亩森林碳汇重点生态工程造林项目；</w:t>
            </w:r>
            <w:r>
              <w:rPr>
                <w:rFonts w:hint="default" w:ascii="Times New Roman" w:hAnsi="Times New Roman" w:cs="Times New Roman"/>
                <w:color w:val="auto"/>
                <w:kern w:val="0"/>
                <w:sz w:val="24"/>
                <w:highlight w:val="none"/>
                <w:lang w:bidi="ar"/>
              </w:rPr>
              <w:t>②</w:t>
            </w:r>
            <w:r>
              <w:rPr>
                <w:rFonts w:ascii="Times New Roman" w:hAnsi="Times New Roman"/>
                <w:color w:val="auto"/>
                <w:kern w:val="0"/>
                <w:sz w:val="24"/>
                <w:highlight w:val="none"/>
                <w:lang w:bidi="ar"/>
              </w:rPr>
              <w:t>50000亩省级森林碳汇林抚育；</w:t>
            </w:r>
            <w:r>
              <w:rPr>
                <w:rFonts w:hint="default" w:ascii="Times New Roman" w:hAnsi="Times New Roman" w:cs="Times New Roman"/>
                <w:color w:val="auto"/>
                <w:kern w:val="0"/>
                <w:sz w:val="24"/>
                <w:highlight w:val="none"/>
                <w:lang w:bidi="ar"/>
              </w:rPr>
              <w:t>③</w:t>
            </w:r>
            <w:r>
              <w:rPr>
                <w:rFonts w:ascii="Times New Roman" w:hAnsi="Times New Roman"/>
                <w:color w:val="auto"/>
                <w:kern w:val="0"/>
                <w:sz w:val="24"/>
                <w:highlight w:val="none"/>
                <w:lang w:bidi="ar"/>
              </w:rPr>
              <w:t>30000亩中央财政森林抚育补助项目；</w:t>
            </w:r>
            <w:r>
              <w:rPr>
                <w:rFonts w:hint="default" w:ascii="Times New Roman" w:hAnsi="Times New Roman" w:cs="Times New Roman"/>
                <w:color w:val="auto"/>
                <w:kern w:val="0"/>
                <w:sz w:val="24"/>
                <w:highlight w:val="none"/>
                <w:lang w:bidi="ar"/>
              </w:rPr>
              <w:t>④</w:t>
            </w:r>
            <w:r>
              <w:rPr>
                <w:rFonts w:ascii="Times New Roman" w:hAnsi="Times New Roman"/>
                <w:color w:val="auto"/>
                <w:kern w:val="0"/>
                <w:sz w:val="24"/>
                <w:highlight w:val="none"/>
                <w:lang w:bidi="ar"/>
              </w:rPr>
              <w:t>2300亩沿海防护林体系建设项目；</w:t>
            </w:r>
            <w:r>
              <w:rPr>
                <w:rFonts w:hint="default" w:ascii="Times New Roman" w:hAnsi="Times New Roman" w:cs="Times New Roman"/>
                <w:color w:val="auto"/>
                <w:kern w:val="0"/>
                <w:sz w:val="24"/>
                <w:highlight w:val="none"/>
                <w:lang w:bidi="ar"/>
              </w:rPr>
              <w:t>⑤</w:t>
            </w:r>
            <w:r>
              <w:rPr>
                <w:rFonts w:ascii="Times New Roman" w:hAnsi="Times New Roman"/>
                <w:color w:val="auto"/>
                <w:kern w:val="0"/>
                <w:sz w:val="24"/>
                <w:highlight w:val="none"/>
                <w:lang w:bidi="ar"/>
              </w:rPr>
              <w:t>生物防火林带建设项目和林业有害生物治理项目。</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县林业局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提升项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30</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2021年6月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544"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6</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蓝天行动</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持续开展“散乱污”工业企业（场所）综合整治，全面禁止露天焚烧，加快绿色公交、新能源出租车全覆盖，落实挥发性有机物整治工作。</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eastAsia" w:ascii="Times New Roman" w:hAnsi="Times New Roman"/>
                <w:color w:val="auto"/>
                <w:kern w:val="0"/>
                <w:sz w:val="24"/>
                <w:highlight w:val="none"/>
                <w:lang w:val="en-US" w:eastAsia="zh-CN" w:bidi="ar"/>
              </w:rPr>
              <w:t>市</w:t>
            </w:r>
            <w:r>
              <w:rPr>
                <w:rFonts w:hint="eastAsia" w:ascii="Times New Roman" w:hAnsi="Times New Roman"/>
                <w:color w:val="auto"/>
                <w:kern w:val="0"/>
                <w:sz w:val="24"/>
                <w:highlight w:val="none"/>
                <w:lang w:eastAsia="zh-CN" w:bidi="ar"/>
              </w:rPr>
              <w:t>生态环境局</w:t>
            </w:r>
            <w:r>
              <w:rPr>
                <w:rFonts w:ascii="Times New Roman" w:hAnsi="Times New Roman"/>
                <w:color w:val="auto"/>
                <w:kern w:val="0"/>
                <w:sz w:val="24"/>
                <w:highlight w:val="none"/>
                <w:lang w:bidi="ar"/>
              </w:rPr>
              <w:t>海丰分局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提升项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34</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2021年1月</w:t>
            </w:r>
          </w:p>
        </w:tc>
      </w:tr>
    </w:tbl>
    <w:p>
      <w:pPr>
        <w:rPr>
          <w:rFonts w:ascii="Times New Roman" w:hAnsi="Times New Roman"/>
          <w:color w:val="auto"/>
          <w:highlight w:val="none"/>
        </w:rPr>
      </w:pPr>
    </w:p>
    <w:p>
      <w:pPr>
        <w:pStyle w:val="5"/>
        <w:rPr>
          <w:rFonts w:ascii="Times New Roman" w:hAnsi="Times New Roman" w:eastAsia="宋体"/>
          <w:color w:val="auto"/>
          <w:sz w:val="28"/>
          <w:szCs w:val="28"/>
          <w:highlight w:val="none"/>
        </w:rPr>
      </w:pPr>
      <w:bookmarkStart w:id="256" w:name="_Toc32645"/>
      <w:bookmarkStart w:id="257" w:name="_Toc16428"/>
      <w:bookmarkStart w:id="258" w:name="_Toc26921"/>
      <w:bookmarkStart w:id="259" w:name="_Toc6702"/>
      <w:bookmarkStart w:id="260" w:name="_Toc19318"/>
      <w:bookmarkStart w:id="261" w:name="_Toc15067"/>
      <w:r>
        <w:rPr>
          <w:rFonts w:ascii="Times New Roman" w:hAnsi="Times New Roman" w:eastAsia="宋体"/>
          <w:color w:val="auto"/>
          <w:sz w:val="28"/>
          <w:szCs w:val="28"/>
          <w:highlight w:val="none"/>
        </w:rPr>
        <w:t>行动四：城市管理，创建环保、便捷县城</w:t>
      </w:r>
      <w:bookmarkEnd w:id="256"/>
      <w:bookmarkEnd w:id="257"/>
      <w:bookmarkEnd w:id="258"/>
      <w:bookmarkEnd w:id="259"/>
      <w:bookmarkEnd w:id="260"/>
      <w:bookmarkEnd w:id="261"/>
    </w:p>
    <w:tbl>
      <w:tblPr>
        <w:tblStyle w:val="20"/>
        <w:tblW w:w="95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33"/>
        <w:gridCol w:w="1578"/>
        <w:gridCol w:w="4289"/>
        <w:gridCol w:w="1111"/>
        <w:gridCol w:w="556"/>
        <w:gridCol w:w="755"/>
        <w:gridCol w:w="7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Header/>
          <w:jc w:val="center"/>
        </w:trPr>
        <w:tc>
          <w:tcPr>
            <w:tcW w:w="533" w:type="dxa"/>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序号</w:t>
            </w:r>
          </w:p>
        </w:tc>
        <w:tc>
          <w:tcPr>
            <w:tcW w:w="1578" w:type="dxa"/>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项目</w:t>
            </w:r>
          </w:p>
        </w:tc>
        <w:tc>
          <w:tcPr>
            <w:tcW w:w="4289" w:type="dxa"/>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内容</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责任单位</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性质</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对应考核指标</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完成时间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555" w:type="dxa"/>
            <w:gridSpan w:val="7"/>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城市美化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33"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w:t>
            </w:r>
          </w:p>
        </w:tc>
        <w:tc>
          <w:tcPr>
            <w:tcW w:w="1578" w:type="dxa"/>
            <w:vMerge w:val="restart"/>
            <w:shd w:val="clear" w:color="auto" w:fill="auto"/>
            <w:noWrap/>
            <w:tcMar>
              <w:top w:w="10" w:type="dxa"/>
              <w:left w:w="10" w:type="dxa"/>
              <w:right w:w="10" w:type="dxa"/>
            </w:tcMar>
            <w:vAlign w:val="center"/>
          </w:tcPr>
          <w:p>
            <w:pPr>
              <w:widowControl/>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加强污水处理能力</w:t>
            </w:r>
          </w:p>
        </w:tc>
        <w:tc>
          <w:tcPr>
            <w:tcW w:w="4289" w:type="dxa"/>
            <w:vMerge w:val="restart"/>
            <w:shd w:val="clear" w:color="auto" w:fill="auto"/>
            <w:noWrap/>
            <w:tcMar>
              <w:top w:w="10" w:type="dxa"/>
              <w:left w:w="10" w:type="dxa"/>
              <w:right w:w="10" w:type="dxa"/>
            </w:tcMar>
            <w:vAlign w:val="center"/>
          </w:tcPr>
          <w:p>
            <w:pPr>
              <w:widowControl/>
              <w:textAlignment w:val="center"/>
              <w:rPr>
                <w:rFonts w:ascii="Times New Roman" w:hAnsi="Times New Roman"/>
                <w:color w:val="auto"/>
                <w:sz w:val="24"/>
                <w:highlight w:val="none"/>
              </w:rPr>
            </w:pPr>
            <w:r>
              <w:rPr>
                <w:rFonts w:hint="default" w:ascii="Times New Roman" w:hAnsi="Times New Roman" w:cs="Times New Roman"/>
                <w:color w:val="auto"/>
                <w:kern w:val="0"/>
                <w:sz w:val="24"/>
                <w:highlight w:val="none"/>
                <w:lang w:bidi="ar"/>
              </w:rPr>
              <w:t>①</w:t>
            </w:r>
            <w:r>
              <w:rPr>
                <w:rStyle w:val="30"/>
                <w:rFonts w:hint="default" w:ascii="Times New Roman" w:hAnsi="Times New Roman" w:cs="Times New Roman"/>
                <w:color w:val="auto"/>
                <w:highlight w:val="none"/>
                <w:lang w:bidi="ar"/>
              </w:rPr>
              <w:t>快县城污水处理厂提标升级工作以及第二污水处理厂和梅陇镇区污水收集管网建设工作；</w:t>
            </w:r>
          </w:p>
        </w:tc>
        <w:tc>
          <w:tcPr>
            <w:tcW w:w="1111"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县水务局</w:t>
            </w:r>
            <w:r>
              <w:rPr>
                <w:rFonts w:hint="eastAsia" w:ascii="Times New Roman" w:hAnsi="Times New Roman"/>
                <w:color w:val="auto"/>
                <w:kern w:val="0"/>
                <w:sz w:val="24"/>
                <w:highlight w:val="none"/>
                <w:lang w:bidi="ar"/>
              </w:rPr>
              <w:t>县住建局</w:t>
            </w:r>
          </w:p>
        </w:tc>
        <w:tc>
          <w:tcPr>
            <w:tcW w:w="556"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提升项</w:t>
            </w:r>
          </w:p>
        </w:tc>
        <w:tc>
          <w:tcPr>
            <w:tcW w:w="755"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38</w:t>
            </w:r>
          </w:p>
        </w:tc>
        <w:tc>
          <w:tcPr>
            <w:tcW w:w="733"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33"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1578" w:type="dxa"/>
            <w:vMerge w:val="continue"/>
            <w:shd w:val="clear" w:color="auto" w:fill="auto"/>
            <w:noWrap/>
            <w:tcMar>
              <w:top w:w="10" w:type="dxa"/>
              <w:left w:w="10" w:type="dxa"/>
              <w:right w:w="10" w:type="dxa"/>
            </w:tcMar>
            <w:vAlign w:val="center"/>
          </w:tcPr>
          <w:p>
            <w:pPr>
              <w:rPr>
                <w:rFonts w:ascii="Times New Roman" w:hAnsi="Times New Roman"/>
                <w:color w:val="auto"/>
                <w:sz w:val="24"/>
                <w:highlight w:val="none"/>
              </w:rPr>
            </w:pPr>
          </w:p>
        </w:tc>
        <w:tc>
          <w:tcPr>
            <w:tcW w:w="4289" w:type="dxa"/>
            <w:vMerge w:val="continue"/>
            <w:shd w:val="clear" w:color="auto" w:fill="auto"/>
            <w:noWrap/>
            <w:tcMar>
              <w:top w:w="10" w:type="dxa"/>
              <w:left w:w="10" w:type="dxa"/>
              <w:right w:w="10" w:type="dxa"/>
            </w:tcMar>
            <w:vAlign w:val="center"/>
          </w:tcPr>
          <w:p>
            <w:pPr>
              <w:rPr>
                <w:rFonts w:ascii="Times New Roman" w:hAnsi="Times New Roman"/>
                <w:color w:val="auto"/>
                <w:sz w:val="24"/>
                <w:highlight w:val="none"/>
              </w:rPr>
            </w:pPr>
          </w:p>
        </w:tc>
        <w:tc>
          <w:tcPr>
            <w:tcW w:w="1111"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556"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755"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733"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33"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1578" w:type="dxa"/>
            <w:vMerge w:val="continue"/>
            <w:shd w:val="clear" w:color="auto" w:fill="auto"/>
            <w:noWrap/>
            <w:tcMar>
              <w:top w:w="10" w:type="dxa"/>
              <w:left w:w="10" w:type="dxa"/>
              <w:right w:w="10" w:type="dxa"/>
            </w:tcMar>
            <w:vAlign w:val="center"/>
          </w:tcPr>
          <w:p>
            <w:pPr>
              <w:rPr>
                <w:rFonts w:ascii="Times New Roman" w:hAnsi="Times New Roman"/>
                <w:color w:val="auto"/>
                <w:sz w:val="24"/>
                <w:highlight w:val="none"/>
              </w:rPr>
            </w:pPr>
          </w:p>
        </w:tc>
        <w:tc>
          <w:tcPr>
            <w:tcW w:w="4289" w:type="dxa"/>
            <w:vMerge w:val="restart"/>
            <w:shd w:val="clear" w:color="auto" w:fill="auto"/>
            <w:noWrap/>
            <w:tcMar>
              <w:top w:w="10" w:type="dxa"/>
              <w:left w:w="10" w:type="dxa"/>
              <w:right w:w="10" w:type="dxa"/>
            </w:tcMar>
            <w:vAlign w:val="center"/>
          </w:tcPr>
          <w:p>
            <w:pPr>
              <w:widowControl/>
              <w:textAlignment w:val="center"/>
              <w:rPr>
                <w:rFonts w:ascii="Times New Roman" w:hAnsi="Times New Roman"/>
                <w:color w:val="auto"/>
                <w:sz w:val="24"/>
                <w:highlight w:val="none"/>
              </w:rPr>
            </w:pPr>
            <w:r>
              <w:rPr>
                <w:rFonts w:hint="default" w:ascii="Times New Roman" w:hAnsi="Times New Roman" w:cs="Times New Roman"/>
                <w:color w:val="auto"/>
                <w:kern w:val="0"/>
                <w:sz w:val="24"/>
                <w:highlight w:val="none"/>
                <w:lang w:bidi="ar"/>
              </w:rPr>
              <w:t>②</w:t>
            </w:r>
            <w:r>
              <w:rPr>
                <w:rFonts w:ascii="Times New Roman" w:hAnsi="Times New Roman"/>
                <w:color w:val="auto"/>
                <w:kern w:val="0"/>
                <w:sz w:val="24"/>
                <w:highlight w:val="none"/>
                <w:lang w:bidi="ar"/>
              </w:rPr>
              <w:t>确保县城污水处理率≥85%。</w:t>
            </w:r>
          </w:p>
        </w:tc>
        <w:tc>
          <w:tcPr>
            <w:tcW w:w="1111"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w:t>
            </w:r>
          </w:p>
        </w:tc>
        <w:tc>
          <w:tcPr>
            <w:tcW w:w="556"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eastAsia" w:ascii="Times New Roman" w:hAnsi="Times New Roman"/>
                <w:color w:val="auto"/>
                <w:kern w:val="0"/>
                <w:sz w:val="24"/>
                <w:highlight w:val="none"/>
                <w:lang w:bidi="ar"/>
              </w:rPr>
              <w:t>提升项</w:t>
            </w:r>
          </w:p>
        </w:tc>
        <w:tc>
          <w:tcPr>
            <w:tcW w:w="755"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38</w:t>
            </w:r>
          </w:p>
        </w:tc>
        <w:tc>
          <w:tcPr>
            <w:tcW w:w="733"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w:t>
            </w:r>
            <w:r>
              <w:rPr>
                <w:rFonts w:hint="eastAsia" w:ascii="Times New Roman" w:hAnsi="Times New Roman"/>
                <w:color w:val="auto"/>
                <w:kern w:val="0"/>
                <w:sz w:val="24"/>
                <w:highlight w:val="none"/>
                <w:lang w:eastAsia="zh-CN" w:bidi="ar"/>
              </w:rPr>
              <w:t>1</w:t>
            </w:r>
            <w:r>
              <w:rPr>
                <w:rFonts w:ascii="Times New Roman" w:hAnsi="Times New Roman"/>
                <w:color w:val="auto"/>
                <w:kern w:val="0"/>
                <w:sz w:val="24"/>
                <w:highlight w:val="none"/>
                <w:lang w:bidi="ar"/>
              </w:rPr>
              <w:t>年</w:t>
            </w:r>
            <w:r>
              <w:rPr>
                <w:rFonts w:hint="eastAsia" w:ascii="Times New Roman" w:hAnsi="Times New Roman"/>
                <w:color w:val="auto"/>
                <w:kern w:val="0"/>
                <w:sz w:val="24"/>
                <w:highlight w:val="none"/>
                <w:lang w:eastAsia="zh-CN" w:bidi="ar"/>
              </w:rPr>
              <w:t>9</w:t>
            </w:r>
            <w:r>
              <w:rPr>
                <w:rFonts w:ascii="Times New Roman" w:hAnsi="Times New Roman"/>
                <w:color w:val="auto"/>
                <w:kern w:val="0"/>
                <w:sz w:val="24"/>
                <w:highlight w:val="none"/>
                <w:lang w:bidi="ar"/>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33"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1578" w:type="dxa"/>
            <w:vMerge w:val="continue"/>
            <w:shd w:val="clear" w:color="auto" w:fill="auto"/>
            <w:noWrap/>
            <w:tcMar>
              <w:top w:w="10" w:type="dxa"/>
              <w:left w:w="10" w:type="dxa"/>
              <w:right w:w="10" w:type="dxa"/>
            </w:tcMar>
            <w:vAlign w:val="center"/>
          </w:tcPr>
          <w:p>
            <w:pPr>
              <w:rPr>
                <w:rFonts w:ascii="Times New Roman" w:hAnsi="Times New Roman"/>
                <w:color w:val="auto"/>
                <w:sz w:val="24"/>
                <w:highlight w:val="none"/>
              </w:rPr>
            </w:pPr>
          </w:p>
        </w:tc>
        <w:tc>
          <w:tcPr>
            <w:tcW w:w="4289" w:type="dxa"/>
            <w:vMerge w:val="continue"/>
            <w:shd w:val="clear" w:color="auto" w:fill="auto"/>
            <w:noWrap/>
            <w:tcMar>
              <w:top w:w="10" w:type="dxa"/>
              <w:left w:w="10" w:type="dxa"/>
              <w:right w:w="10" w:type="dxa"/>
            </w:tcMar>
            <w:vAlign w:val="center"/>
          </w:tcPr>
          <w:p>
            <w:pPr>
              <w:rPr>
                <w:rFonts w:ascii="Times New Roman" w:hAnsi="Times New Roman"/>
                <w:color w:val="auto"/>
                <w:sz w:val="24"/>
                <w:highlight w:val="none"/>
              </w:rPr>
            </w:pPr>
          </w:p>
        </w:tc>
        <w:tc>
          <w:tcPr>
            <w:tcW w:w="1111"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556"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755"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733"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33"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w:t>
            </w:r>
          </w:p>
        </w:tc>
        <w:tc>
          <w:tcPr>
            <w:tcW w:w="1578"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加强生活垃圾处理能力</w:t>
            </w:r>
          </w:p>
        </w:tc>
        <w:tc>
          <w:tcPr>
            <w:tcW w:w="4289" w:type="dxa"/>
            <w:vMerge w:val="restart"/>
            <w:shd w:val="clear" w:color="auto" w:fill="auto"/>
            <w:noWrap/>
            <w:tcMar>
              <w:top w:w="10" w:type="dxa"/>
              <w:left w:w="10" w:type="dxa"/>
              <w:right w:w="10" w:type="dxa"/>
            </w:tcMar>
            <w:vAlign w:val="center"/>
          </w:tcPr>
          <w:p>
            <w:pPr>
              <w:widowControl/>
              <w:textAlignment w:val="center"/>
              <w:rPr>
                <w:rFonts w:hint="eastAsia" w:ascii="Times New Roman" w:hAnsi="Times New Roman" w:eastAsia="宋体"/>
                <w:color w:val="auto"/>
                <w:kern w:val="0"/>
                <w:sz w:val="24"/>
                <w:highlight w:val="none"/>
                <w:lang w:eastAsia="zh-CN" w:bidi="ar"/>
              </w:rPr>
            </w:pPr>
            <w:r>
              <w:rPr>
                <w:rFonts w:hint="default" w:ascii="Times New Roman" w:hAnsi="Times New Roman" w:cs="Times New Roman"/>
                <w:color w:val="auto"/>
                <w:kern w:val="0"/>
                <w:sz w:val="24"/>
                <w:highlight w:val="none"/>
                <w:lang w:bidi="ar"/>
              </w:rPr>
              <w:t>①</w:t>
            </w:r>
            <w:r>
              <w:rPr>
                <w:rFonts w:ascii="Times New Roman" w:hAnsi="Times New Roman"/>
                <w:color w:val="auto"/>
                <w:kern w:val="0"/>
                <w:sz w:val="24"/>
                <w:highlight w:val="none"/>
                <w:lang w:bidi="ar"/>
              </w:rPr>
              <w:t>完善生活垃圾收运处理体系；</w:t>
            </w:r>
          </w:p>
          <w:p>
            <w:pPr>
              <w:widowControl/>
              <w:textAlignment w:val="center"/>
              <w:rPr>
                <w:rFonts w:hint="eastAsia" w:ascii="Times New Roman" w:hAnsi="Times New Roman" w:eastAsia="宋体"/>
                <w:color w:val="auto"/>
                <w:kern w:val="0"/>
                <w:sz w:val="24"/>
                <w:highlight w:val="none"/>
                <w:lang w:eastAsia="zh-CN" w:bidi="ar"/>
              </w:rPr>
            </w:pPr>
            <w:r>
              <w:rPr>
                <w:rFonts w:hint="default" w:ascii="Times New Roman" w:hAnsi="Times New Roman" w:cs="Times New Roman"/>
                <w:color w:val="auto"/>
                <w:kern w:val="0"/>
                <w:sz w:val="24"/>
                <w:highlight w:val="none"/>
                <w:lang w:bidi="ar"/>
              </w:rPr>
              <w:t>②</w:t>
            </w:r>
            <w:r>
              <w:rPr>
                <w:rFonts w:ascii="Times New Roman" w:hAnsi="Times New Roman"/>
                <w:color w:val="auto"/>
                <w:kern w:val="0"/>
                <w:sz w:val="24"/>
                <w:highlight w:val="none"/>
                <w:lang w:bidi="ar"/>
              </w:rPr>
              <w:t>加强垃圾分类工作力度；</w:t>
            </w:r>
          </w:p>
          <w:p>
            <w:pPr>
              <w:widowControl/>
              <w:textAlignment w:val="center"/>
              <w:rPr>
                <w:rFonts w:ascii="Times New Roman" w:hAnsi="Times New Roman"/>
                <w:color w:val="auto"/>
                <w:sz w:val="24"/>
                <w:highlight w:val="none"/>
              </w:rPr>
            </w:pPr>
            <w:r>
              <w:rPr>
                <w:rFonts w:hint="default" w:ascii="Times New Roman" w:hAnsi="Times New Roman" w:cs="Times New Roman"/>
                <w:color w:val="auto"/>
                <w:kern w:val="0"/>
                <w:sz w:val="24"/>
                <w:highlight w:val="none"/>
                <w:lang w:bidi="ar"/>
              </w:rPr>
              <w:t>③</w:t>
            </w:r>
            <w:r>
              <w:rPr>
                <w:rFonts w:ascii="Times New Roman" w:hAnsi="Times New Roman"/>
                <w:color w:val="auto"/>
                <w:kern w:val="0"/>
                <w:sz w:val="24"/>
                <w:highlight w:val="none"/>
                <w:lang w:bidi="ar"/>
              </w:rPr>
              <w:t>确保县城生活垃圾无害化处理率≥90%。</w:t>
            </w:r>
          </w:p>
        </w:tc>
        <w:tc>
          <w:tcPr>
            <w:tcW w:w="1111"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w:t>
            </w:r>
          </w:p>
        </w:tc>
        <w:tc>
          <w:tcPr>
            <w:tcW w:w="556"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eastAsia" w:ascii="Times New Roman" w:hAnsi="Times New Roman"/>
                <w:color w:val="auto"/>
                <w:kern w:val="0"/>
                <w:sz w:val="24"/>
                <w:highlight w:val="none"/>
                <w:lang w:bidi="ar"/>
              </w:rPr>
              <w:t>提升项</w:t>
            </w:r>
          </w:p>
        </w:tc>
        <w:tc>
          <w:tcPr>
            <w:tcW w:w="755"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30、35</w:t>
            </w:r>
          </w:p>
        </w:tc>
        <w:tc>
          <w:tcPr>
            <w:tcW w:w="733"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2021年6月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33"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1578"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4289" w:type="dxa"/>
            <w:vMerge w:val="continue"/>
            <w:shd w:val="clear" w:color="auto" w:fill="auto"/>
            <w:noWrap/>
            <w:tcMar>
              <w:top w:w="10" w:type="dxa"/>
              <w:left w:w="10" w:type="dxa"/>
              <w:right w:w="10" w:type="dxa"/>
            </w:tcMar>
            <w:vAlign w:val="center"/>
          </w:tcPr>
          <w:p>
            <w:pPr>
              <w:rPr>
                <w:rFonts w:ascii="Times New Roman" w:hAnsi="Times New Roman"/>
                <w:color w:val="auto"/>
                <w:sz w:val="24"/>
                <w:highlight w:val="none"/>
              </w:rPr>
            </w:pPr>
          </w:p>
        </w:tc>
        <w:tc>
          <w:tcPr>
            <w:tcW w:w="1111"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556"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755"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733"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33"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1578"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4289" w:type="dxa"/>
            <w:vMerge w:val="continue"/>
            <w:shd w:val="clear" w:color="auto" w:fill="auto"/>
            <w:noWrap/>
            <w:tcMar>
              <w:top w:w="10" w:type="dxa"/>
              <w:left w:w="10" w:type="dxa"/>
              <w:right w:w="10" w:type="dxa"/>
            </w:tcMar>
            <w:vAlign w:val="center"/>
          </w:tcPr>
          <w:p>
            <w:pPr>
              <w:rPr>
                <w:rFonts w:ascii="Times New Roman" w:hAnsi="Times New Roman"/>
                <w:color w:val="auto"/>
                <w:sz w:val="24"/>
                <w:highlight w:val="none"/>
              </w:rPr>
            </w:pPr>
          </w:p>
        </w:tc>
        <w:tc>
          <w:tcPr>
            <w:tcW w:w="1111"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556"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755"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733"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4" w:hRule="atLeast"/>
          <w:jc w:val="center"/>
        </w:trPr>
        <w:tc>
          <w:tcPr>
            <w:tcW w:w="5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w:t>
            </w:r>
          </w:p>
        </w:tc>
        <w:tc>
          <w:tcPr>
            <w:tcW w:w="1578" w:type="dxa"/>
            <w:shd w:val="clear" w:color="auto" w:fill="auto"/>
            <w:noWrap/>
            <w:tcMar>
              <w:top w:w="10" w:type="dxa"/>
              <w:left w:w="10" w:type="dxa"/>
              <w:right w:w="10" w:type="dxa"/>
            </w:tcMar>
            <w:vAlign w:val="center"/>
          </w:tcPr>
          <w:p>
            <w:pPr>
              <w:widowControl/>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加强县城秩序管理</w:t>
            </w:r>
          </w:p>
        </w:tc>
        <w:tc>
          <w:tcPr>
            <w:tcW w:w="4289" w:type="dxa"/>
            <w:shd w:val="clear" w:color="auto" w:fill="auto"/>
            <w:noWrap/>
            <w:tcMar>
              <w:top w:w="10" w:type="dxa"/>
              <w:left w:w="10" w:type="dxa"/>
              <w:right w:w="10" w:type="dxa"/>
            </w:tcMar>
            <w:vAlign w:val="center"/>
          </w:tcPr>
          <w:p>
            <w:pPr>
              <w:widowControl/>
              <w:textAlignment w:val="center"/>
              <w:rPr>
                <w:rFonts w:ascii="Times New Roman" w:hAnsi="Times New Roman"/>
                <w:color w:val="auto"/>
                <w:kern w:val="0"/>
                <w:sz w:val="24"/>
                <w:highlight w:val="none"/>
                <w:lang w:bidi="ar"/>
              </w:rPr>
            </w:pPr>
            <w:r>
              <w:rPr>
                <w:rFonts w:hint="default" w:ascii="Times New Roman" w:hAnsi="Times New Roman" w:cs="Times New Roman"/>
                <w:color w:val="auto"/>
                <w:kern w:val="0"/>
                <w:sz w:val="24"/>
                <w:highlight w:val="none"/>
                <w:lang w:bidi="ar"/>
              </w:rPr>
              <w:t>①</w:t>
            </w:r>
            <w:r>
              <w:rPr>
                <w:rStyle w:val="30"/>
                <w:rFonts w:hint="default" w:ascii="Times New Roman" w:hAnsi="Times New Roman" w:cs="Times New Roman"/>
                <w:color w:val="auto"/>
                <w:highlight w:val="none"/>
                <w:lang w:bidi="ar"/>
              </w:rPr>
              <w:t>继续推进“门前三包”工作；</w:t>
            </w:r>
          </w:p>
          <w:p>
            <w:pPr>
              <w:widowControl/>
              <w:textAlignment w:val="center"/>
              <w:rPr>
                <w:rFonts w:ascii="Times New Roman" w:hAnsi="Times New Roman"/>
                <w:color w:val="auto"/>
                <w:sz w:val="24"/>
                <w:highlight w:val="none"/>
              </w:rPr>
            </w:pPr>
            <w:r>
              <w:rPr>
                <w:rFonts w:hint="default" w:ascii="Times New Roman" w:hAnsi="Times New Roman" w:cs="Times New Roman"/>
                <w:color w:val="auto"/>
                <w:kern w:val="0"/>
                <w:sz w:val="24"/>
                <w:highlight w:val="none"/>
                <w:lang w:bidi="ar"/>
              </w:rPr>
              <w:t>②</w:t>
            </w:r>
            <w:r>
              <w:rPr>
                <w:rStyle w:val="30"/>
                <w:rFonts w:hint="default" w:ascii="Times New Roman" w:hAnsi="Times New Roman" w:cs="Times New Roman"/>
                <w:color w:val="auto"/>
                <w:highlight w:val="none"/>
                <w:lang w:bidi="ar"/>
              </w:rPr>
              <w:t>加强交通与停车管理；</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eastAsia" w:ascii="Times New Roman" w:hAnsi="Times New Roman"/>
                <w:color w:val="auto"/>
                <w:kern w:val="0"/>
                <w:sz w:val="24"/>
                <w:highlight w:val="none"/>
                <w:lang w:bidi="ar"/>
              </w:rPr>
              <w:t>提升项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36</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2021年6月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555" w:type="dxa"/>
            <w:gridSpan w:val="7"/>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便捷县城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w:t>
            </w:r>
          </w:p>
        </w:tc>
        <w:tc>
          <w:tcPr>
            <w:tcW w:w="1578" w:type="dxa"/>
            <w:shd w:val="clear" w:color="auto" w:fill="auto"/>
            <w:noWrap/>
            <w:tcMar>
              <w:top w:w="10" w:type="dxa"/>
              <w:left w:w="10" w:type="dxa"/>
              <w:right w:w="10" w:type="dxa"/>
            </w:tcMar>
            <w:vAlign w:val="center"/>
          </w:tcPr>
          <w:p>
            <w:pPr>
              <w:widowControl/>
              <w:jc w:val="left"/>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无障碍设施建设管理</w:t>
            </w:r>
          </w:p>
        </w:tc>
        <w:tc>
          <w:tcPr>
            <w:tcW w:w="4289" w:type="dxa"/>
            <w:shd w:val="clear" w:color="auto" w:fill="auto"/>
            <w:noWrap/>
            <w:tcMar>
              <w:top w:w="10" w:type="dxa"/>
              <w:left w:w="10" w:type="dxa"/>
              <w:right w:w="10" w:type="dxa"/>
            </w:tcMar>
            <w:vAlign w:val="center"/>
          </w:tcPr>
          <w:p>
            <w:pPr>
              <w:widowControl/>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确保县城建成区内主要道路、公园、公共建筑等公共场所均设有无障碍设施，且维护管理状况良好。</w:t>
            </w:r>
          </w:p>
        </w:tc>
        <w:tc>
          <w:tcPr>
            <w:tcW w:w="1111"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县住建局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eastAsia" w:ascii="Times New Roman" w:hAnsi="Times New Roman"/>
                <w:color w:val="auto"/>
                <w:kern w:val="0"/>
                <w:sz w:val="24"/>
                <w:highlight w:val="none"/>
                <w:lang w:bidi="ar"/>
              </w:rPr>
              <w:t>提升项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43</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33"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w:t>
            </w:r>
          </w:p>
        </w:tc>
        <w:tc>
          <w:tcPr>
            <w:tcW w:w="1578" w:type="dxa"/>
            <w:vMerge w:val="restart"/>
            <w:shd w:val="clear" w:color="auto" w:fill="auto"/>
            <w:noWrap/>
            <w:tcMar>
              <w:top w:w="10" w:type="dxa"/>
              <w:left w:w="10" w:type="dxa"/>
              <w:right w:w="10" w:type="dxa"/>
            </w:tcMar>
            <w:vAlign w:val="center"/>
          </w:tcPr>
          <w:p>
            <w:pPr>
              <w:widowControl/>
              <w:jc w:val="left"/>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公厕建设管理</w:t>
            </w:r>
          </w:p>
        </w:tc>
        <w:tc>
          <w:tcPr>
            <w:tcW w:w="4289" w:type="dxa"/>
            <w:vMerge w:val="restart"/>
            <w:shd w:val="clear" w:color="auto" w:fill="auto"/>
            <w:noWrap/>
            <w:tcMar>
              <w:top w:w="10" w:type="dxa"/>
              <w:left w:w="10" w:type="dxa"/>
              <w:right w:w="10" w:type="dxa"/>
            </w:tcMar>
            <w:vAlign w:val="center"/>
          </w:tcPr>
          <w:p>
            <w:pPr>
              <w:widowControl/>
              <w:jc w:val="left"/>
              <w:textAlignment w:val="center"/>
              <w:rPr>
                <w:rFonts w:hint="eastAsia" w:ascii="Times New Roman" w:hAnsi="Times New Roman" w:eastAsia="宋体"/>
                <w:color w:val="auto"/>
                <w:kern w:val="0"/>
                <w:sz w:val="24"/>
                <w:highlight w:val="none"/>
                <w:lang w:eastAsia="zh-CN" w:bidi="ar"/>
              </w:rPr>
            </w:pPr>
            <w:r>
              <w:rPr>
                <w:rFonts w:hint="default" w:ascii="Times New Roman" w:hAnsi="Times New Roman" w:cs="Times New Roman"/>
                <w:color w:val="auto"/>
                <w:kern w:val="0"/>
                <w:sz w:val="24"/>
                <w:highlight w:val="none"/>
                <w:lang w:bidi="ar"/>
              </w:rPr>
              <w:t>①</w:t>
            </w:r>
            <w:r>
              <w:rPr>
                <w:rFonts w:ascii="Times New Roman" w:hAnsi="Times New Roman"/>
                <w:color w:val="auto"/>
                <w:kern w:val="0"/>
                <w:sz w:val="24"/>
                <w:highlight w:val="none"/>
                <w:lang w:bidi="ar"/>
              </w:rPr>
              <w:t>按照相关规范对建设和管理县城公厕；</w:t>
            </w:r>
          </w:p>
          <w:p>
            <w:pPr>
              <w:widowControl/>
              <w:jc w:val="left"/>
              <w:textAlignment w:val="center"/>
              <w:rPr>
                <w:rFonts w:ascii="Times New Roman" w:hAnsi="Times New Roman"/>
                <w:color w:val="auto"/>
                <w:sz w:val="24"/>
                <w:highlight w:val="none"/>
              </w:rPr>
            </w:pPr>
            <w:r>
              <w:rPr>
                <w:rFonts w:hint="default" w:ascii="Times New Roman" w:hAnsi="Times New Roman" w:cs="Times New Roman"/>
                <w:color w:val="auto"/>
                <w:kern w:val="0"/>
                <w:sz w:val="24"/>
                <w:highlight w:val="none"/>
                <w:lang w:bidi="ar"/>
              </w:rPr>
              <w:t>②</w:t>
            </w:r>
            <w:r>
              <w:rPr>
                <w:rFonts w:ascii="Times New Roman" w:hAnsi="Times New Roman"/>
                <w:color w:val="auto"/>
                <w:kern w:val="0"/>
                <w:sz w:val="24"/>
                <w:highlight w:val="none"/>
                <w:lang w:bidi="ar"/>
              </w:rPr>
              <w:t>Ⅱ类标准以上公厕密度≥3座/平方公里。</w:t>
            </w:r>
          </w:p>
        </w:tc>
        <w:tc>
          <w:tcPr>
            <w:tcW w:w="1111" w:type="dxa"/>
            <w:vMerge w:val="restart"/>
            <w:shd w:val="clear" w:color="auto" w:fill="auto"/>
            <w:noWrap/>
            <w:tcMar>
              <w:top w:w="10" w:type="dxa"/>
              <w:left w:w="10" w:type="dxa"/>
              <w:right w:w="10" w:type="dxa"/>
            </w:tcMar>
            <w:vAlign w:val="center"/>
          </w:tcPr>
          <w:p>
            <w:pPr>
              <w:widowControl/>
              <w:jc w:val="center"/>
              <w:textAlignment w:val="center"/>
              <w:rPr>
                <w:rFonts w:hint="eastAsia" w:ascii="Times New Roman" w:hAnsi="Times New Roman" w:eastAsia="宋体"/>
                <w:color w:val="auto"/>
                <w:kern w:val="0"/>
                <w:sz w:val="24"/>
                <w:highlight w:val="none"/>
                <w:lang w:eastAsia="zh-CN" w:bidi="ar"/>
              </w:rPr>
            </w:pPr>
            <w:r>
              <w:rPr>
                <w:rFonts w:ascii="Times New Roman" w:hAnsi="Times New Roman"/>
                <w:color w:val="auto"/>
                <w:kern w:val="0"/>
                <w:sz w:val="24"/>
                <w:highlight w:val="none"/>
                <w:lang w:bidi="ar"/>
              </w:rPr>
              <w:t>县住建局</w:t>
            </w:r>
          </w:p>
          <w:p>
            <w:pPr>
              <w:widowControl/>
              <w:jc w:val="center"/>
              <w:textAlignment w:val="center"/>
              <w:rPr>
                <w:rFonts w:hint="eastAsia" w:ascii="Times New Roman" w:hAnsi="Times New Roman" w:eastAsia="宋体"/>
                <w:color w:val="auto"/>
                <w:kern w:val="0"/>
                <w:sz w:val="24"/>
                <w:highlight w:val="none"/>
                <w:lang w:eastAsia="zh-CN" w:bidi="ar"/>
              </w:rPr>
            </w:pPr>
            <w:r>
              <w:rPr>
                <w:rFonts w:ascii="Times New Roman" w:hAnsi="Times New Roman"/>
                <w:color w:val="auto"/>
                <w:kern w:val="0"/>
                <w:sz w:val="24"/>
                <w:highlight w:val="none"/>
                <w:lang w:bidi="ar"/>
              </w:rPr>
              <w:t>县城三镇</w:t>
            </w:r>
          </w:p>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县公用事业事务中心</w:t>
            </w:r>
          </w:p>
        </w:tc>
        <w:tc>
          <w:tcPr>
            <w:tcW w:w="556"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eastAsia" w:ascii="Times New Roman" w:hAnsi="Times New Roman"/>
                <w:color w:val="auto"/>
                <w:kern w:val="0"/>
                <w:sz w:val="24"/>
                <w:highlight w:val="none"/>
                <w:lang w:bidi="ar"/>
              </w:rPr>
              <w:t>提升项</w:t>
            </w:r>
          </w:p>
        </w:tc>
        <w:tc>
          <w:tcPr>
            <w:tcW w:w="755"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36</w:t>
            </w:r>
          </w:p>
        </w:tc>
        <w:tc>
          <w:tcPr>
            <w:tcW w:w="733"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2021年6月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33"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1578" w:type="dxa"/>
            <w:vMerge w:val="continue"/>
            <w:shd w:val="clear" w:color="auto" w:fill="auto"/>
            <w:noWrap/>
            <w:tcMar>
              <w:top w:w="10" w:type="dxa"/>
              <w:left w:w="10" w:type="dxa"/>
              <w:right w:w="10" w:type="dxa"/>
            </w:tcMar>
            <w:vAlign w:val="center"/>
          </w:tcPr>
          <w:p>
            <w:pPr>
              <w:jc w:val="left"/>
              <w:rPr>
                <w:rFonts w:ascii="Times New Roman" w:hAnsi="Times New Roman"/>
                <w:color w:val="auto"/>
                <w:sz w:val="24"/>
                <w:highlight w:val="none"/>
              </w:rPr>
            </w:pPr>
          </w:p>
        </w:tc>
        <w:tc>
          <w:tcPr>
            <w:tcW w:w="4289" w:type="dxa"/>
            <w:vMerge w:val="continue"/>
            <w:shd w:val="clear" w:color="auto" w:fill="auto"/>
            <w:noWrap/>
            <w:tcMar>
              <w:top w:w="10" w:type="dxa"/>
              <w:left w:w="10" w:type="dxa"/>
              <w:right w:w="10" w:type="dxa"/>
            </w:tcMar>
            <w:vAlign w:val="center"/>
          </w:tcPr>
          <w:p>
            <w:pPr>
              <w:rPr>
                <w:rFonts w:ascii="Times New Roman" w:hAnsi="Times New Roman"/>
                <w:color w:val="auto"/>
                <w:sz w:val="24"/>
                <w:highlight w:val="none"/>
              </w:rPr>
            </w:pPr>
          </w:p>
        </w:tc>
        <w:tc>
          <w:tcPr>
            <w:tcW w:w="1111"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556"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755"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733"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33"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1578" w:type="dxa"/>
            <w:vMerge w:val="continue"/>
            <w:shd w:val="clear" w:color="auto" w:fill="auto"/>
            <w:noWrap/>
            <w:tcMar>
              <w:top w:w="10" w:type="dxa"/>
              <w:left w:w="10" w:type="dxa"/>
              <w:right w:w="10" w:type="dxa"/>
            </w:tcMar>
            <w:vAlign w:val="center"/>
          </w:tcPr>
          <w:p>
            <w:pPr>
              <w:jc w:val="left"/>
              <w:rPr>
                <w:rFonts w:ascii="Times New Roman" w:hAnsi="Times New Roman"/>
                <w:color w:val="auto"/>
                <w:sz w:val="24"/>
                <w:highlight w:val="none"/>
              </w:rPr>
            </w:pPr>
          </w:p>
        </w:tc>
        <w:tc>
          <w:tcPr>
            <w:tcW w:w="4289" w:type="dxa"/>
            <w:vMerge w:val="continue"/>
            <w:shd w:val="clear" w:color="auto" w:fill="auto"/>
            <w:noWrap/>
            <w:tcMar>
              <w:top w:w="10" w:type="dxa"/>
              <w:left w:w="10" w:type="dxa"/>
              <w:right w:w="10" w:type="dxa"/>
            </w:tcMar>
            <w:vAlign w:val="center"/>
          </w:tcPr>
          <w:p>
            <w:pPr>
              <w:rPr>
                <w:rFonts w:ascii="Times New Roman" w:hAnsi="Times New Roman"/>
                <w:color w:val="auto"/>
                <w:sz w:val="24"/>
                <w:highlight w:val="none"/>
              </w:rPr>
            </w:pPr>
          </w:p>
        </w:tc>
        <w:tc>
          <w:tcPr>
            <w:tcW w:w="1111"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556"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755"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733"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555" w:type="dxa"/>
            <w:gridSpan w:val="7"/>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低碳县城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33"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w:t>
            </w:r>
          </w:p>
        </w:tc>
        <w:tc>
          <w:tcPr>
            <w:tcW w:w="1578" w:type="dxa"/>
            <w:vMerge w:val="restart"/>
            <w:shd w:val="clear" w:color="auto" w:fill="auto"/>
            <w:noWrap/>
            <w:tcMar>
              <w:top w:w="10" w:type="dxa"/>
              <w:left w:w="10" w:type="dxa"/>
              <w:right w:w="10" w:type="dxa"/>
            </w:tcMar>
            <w:vAlign w:val="center"/>
          </w:tcPr>
          <w:p>
            <w:pPr>
              <w:widowControl/>
              <w:jc w:val="left"/>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绿道建设规划</w:t>
            </w:r>
          </w:p>
        </w:tc>
        <w:tc>
          <w:tcPr>
            <w:tcW w:w="4289" w:type="dxa"/>
            <w:shd w:val="clear" w:color="auto" w:fill="auto"/>
            <w:noWrap/>
            <w:tcMar>
              <w:top w:w="10" w:type="dxa"/>
              <w:left w:w="10" w:type="dxa"/>
              <w:right w:w="10" w:type="dxa"/>
            </w:tcMar>
            <w:vAlign w:val="center"/>
          </w:tcPr>
          <w:p>
            <w:pPr>
              <w:widowControl/>
              <w:jc w:val="left"/>
              <w:textAlignment w:val="center"/>
              <w:rPr>
                <w:rFonts w:ascii="Times New Roman" w:hAnsi="Times New Roman"/>
                <w:color w:val="auto"/>
                <w:sz w:val="24"/>
                <w:highlight w:val="none"/>
              </w:rPr>
            </w:pPr>
            <w:r>
              <w:rPr>
                <w:rFonts w:hint="default" w:ascii="Times New Roman" w:hAnsi="Times New Roman" w:cs="Times New Roman"/>
                <w:color w:val="auto"/>
                <w:sz w:val="24"/>
                <w:highlight w:val="none"/>
              </w:rPr>
              <w:t>①依托龙津河水环境综合整治工程，建设总长度</w:t>
            </w:r>
            <w:r>
              <w:rPr>
                <w:rFonts w:ascii="Times New Roman" w:hAnsi="Times New Roman"/>
                <w:color w:val="auto"/>
                <w:sz w:val="24"/>
                <w:highlight w:val="none"/>
              </w:rPr>
              <w:t>4.6</w:t>
            </w:r>
            <w:r>
              <w:rPr>
                <w:rFonts w:hint="default" w:ascii="Times New Roman" w:hAnsi="Times New Roman" w:cs="Times New Roman"/>
                <w:color w:val="auto"/>
                <w:sz w:val="24"/>
                <w:highlight w:val="none"/>
              </w:rPr>
              <w:t>公里的休闲绿道，并配套相关绿道设施。</w:t>
            </w:r>
          </w:p>
        </w:tc>
        <w:tc>
          <w:tcPr>
            <w:tcW w:w="1111" w:type="dxa"/>
            <w:shd w:val="clear" w:color="auto" w:fill="auto"/>
            <w:noWrap/>
            <w:tcMar>
              <w:top w:w="10" w:type="dxa"/>
              <w:left w:w="10" w:type="dxa"/>
              <w:right w:w="10" w:type="dxa"/>
            </w:tcMar>
            <w:vAlign w:val="center"/>
          </w:tcPr>
          <w:p>
            <w:pPr>
              <w:widowControl/>
              <w:jc w:val="left"/>
              <w:textAlignment w:val="center"/>
              <w:rPr>
                <w:rFonts w:ascii="Times New Roman" w:hAnsi="Times New Roman"/>
                <w:color w:val="auto"/>
                <w:sz w:val="24"/>
                <w:highlight w:val="none"/>
              </w:rPr>
            </w:pPr>
            <w:r>
              <w:rPr>
                <w:rFonts w:ascii="Times New Roman" w:hAnsi="Times New Roman"/>
                <w:color w:val="auto"/>
                <w:kern w:val="0"/>
                <w:sz w:val="24"/>
                <w:highlight w:val="none"/>
              </w:rPr>
              <w:t>县水务局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rPr>
              <w:t>提升项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eastAsia" w:ascii="Times New Roman" w:hAnsi="Times New Roman"/>
                <w:color w:val="auto"/>
                <w:kern w:val="0"/>
                <w:sz w:val="24"/>
                <w:highlight w:val="none"/>
              </w:rPr>
              <w:t>24</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eastAsia" w:ascii="Times New Roman" w:hAnsi="Times New Roman"/>
                <w:bCs/>
                <w:color w:val="auto"/>
                <w:kern w:val="0"/>
                <w:sz w:val="24"/>
                <w:highlight w:val="none"/>
              </w:rPr>
              <w:t>2021年6月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33" w:type="dxa"/>
            <w:vMerge w:val="continue"/>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kern w:val="0"/>
                <w:sz w:val="24"/>
                <w:highlight w:val="none"/>
                <w:lang w:bidi="ar"/>
              </w:rPr>
            </w:pPr>
          </w:p>
        </w:tc>
        <w:tc>
          <w:tcPr>
            <w:tcW w:w="1578" w:type="dxa"/>
            <w:vMerge w:val="continue"/>
            <w:shd w:val="clear" w:color="auto" w:fill="auto"/>
            <w:noWrap/>
            <w:tcMar>
              <w:top w:w="10" w:type="dxa"/>
              <w:left w:w="10" w:type="dxa"/>
              <w:right w:w="10" w:type="dxa"/>
            </w:tcMar>
            <w:vAlign w:val="center"/>
          </w:tcPr>
          <w:p>
            <w:pPr>
              <w:widowControl/>
              <w:jc w:val="left"/>
              <w:textAlignment w:val="center"/>
              <w:rPr>
                <w:rFonts w:ascii="Times New Roman" w:hAnsi="Times New Roman"/>
                <w:color w:val="auto"/>
                <w:kern w:val="0"/>
                <w:sz w:val="24"/>
                <w:highlight w:val="none"/>
                <w:lang w:bidi="ar"/>
              </w:rPr>
            </w:pPr>
          </w:p>
        </w:tc>
        <w:tc>
          <w:tcPr>
            <w:tcW w:w="4289" w:type="dxa"/>
            <w:shd w:val="clear" w:color="auto" w:fill="auto"/>
            <w:noWrap/>
            <w:tcMar>
              <w:top w:w="10" w:type="dxa"/>
              <w:left w:w="10" w:type="dxa"/>
              <w:right w:w="10" w:type="dxa"/>
            </w:tcMar>
            <w:vAlign w:val="center"/>
          </w:tcPr>
          <w:p>
            <w:pPr>
              <w:widowControl/>
              <w:jc w:val="left"/>
              <w:textAlignment w:val="center"/>
              <w:rPr>
                <w:rFonts w:ascii="Times New Roman" w:hAnsi="Times New Roman" w:cs="Times New Roman"/>
                <w:color w:val="auto"/>
                <w:kern w:val="0"/>
                <w:sz w:val="24"/>
                <w:highlight w:val="none"/>
                <w:lang w:bidi="ar"/>
              </w:rPr>
            </w:pPr>
            <w:r>
              <w:rPr>
                <w:rFonts w:hint="default" w:ascii="Times New Roman" w:hAnsi="Times New Roman" w:cs="Times New Roman"/>
                <w:color w:val="auto"/>
                <w:kern w:val="0"/>
                <w:sz w:val="24"/>
                <w:highlight w:val="none"/>
                <w:lang w:bidi="ar"/>
              </w:rPr>
              <w:t>②</w:t>
            </w:r>
            <w:r>
              <w:rPr>
                <w:rFonts w:ascii="Times New Roman" w:hAnsi="Times New Roman"/>
                <w:color w:val="auto"/>
                <w:kern w:val="0"/>
                <w:sz w:val="24"/>
                <w:highlight w:val="none"/>
                <w:lang w:bidi="ar"/>
              </w:rPr>
              <w:t>青年水库绿道改造提升；</w:t>
            </w:r>
          </w:p>
        </w:tc>
        <w:tc>
          <w:tcPr>
            <w:tcW w:w="1111" w:type="dxa"/>
            <w:shd w:val="clear" w:color="auto" w:fill="auto"/>
            <w:noWrap/>
            <w:tcMar>
              <w:top w:w="10" w:type="dxa"/>
              <w:left w:w="10" w:type="dxa"/>
              <w:right w:w="10" w:type="dxa"/>
            </w:tcMar>
            <w:vAlign w:val="center"/>
          </w:tcPr>
          <w:p>
            <w:pPr>
              <w:widowControl/>
              <w:jc w:val="left"/>
              <w:textAlignment w:val="center"/>
              <w:rPr>
                <w:rFonts w:ascii="Times New Roman" w:hAnsi="Times New Roman"/>
                <w:color w:val="auto"/>
                <w:kern w:val="0"/>
                <w:sz w:val="24"/>
                <w:highlight w:val="none"/>
                <w:lang w:bidi="ar"/>
              </w:rPr>
            </w:pPr>
            <w:r>
              <w:rPr>
                <w:rFonts w:ascii="Times New Roman" w:hAnsi="Times New Roman"/>
                <w:color w:val="auto"/>
                <w:kern w:val="0"/>
                <w:sz w:val="24"/>
                <w:highlight w:val="none"/>
                <w:lang w:bidi="ar"/>
              </w:rPr>
              <w:t>县住建局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kern w:val="0"/>
                <w:sz w:val="24"/>
                <w:highlight w:val="none"/>
                <w:lang w:bidi="ar"/>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kern w:val="0"/>
                <w:sz w:val="24"/>
                <w:highlight w:val="none"/>
                <w:lang w:bidi="ar"/>
              </w:rPr>
            </w:pPr>
            <w:r>
              <w:rPr>
                <w:rFonts w:ascii="Times New Roman" w:hAnsi="Times New Roman"/>
                <w:color w:val="auto"/>
                <w:kern w:val="0"/>
                <w:sz w:val="24"/>
                <w:highlight w:val="none"/>
                <w:lang w:bidi="ar"/>
              </w:rPr>
              <w:t>24</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kern w:val="0"/>
                <w:sz w:val="24"/>
                <w:highlight w:val="none"/>
                <w:lang w:bidi="ar"/>
              </w:rPr>
            </w:pPr>
            <w:r>
              <w:rPr>
                <w:rFonts w:ascii="Times New Roman" w:hAnsi="Times New Roman"/>
                <w:color w:val="auto"/>
                <w:kern w:val="0"/>
                <w:sz w:val="24"/>
                <w:highlight w:val="none"/>
                <w:lang w:bidi="ar"/>
              </w:rPr>
              <w:t>202</w:t>
            </w:r>
            <w:r>
              <w:rPr>
                <w:rFonts w:hint="eastAsia" w:ascii="Times New Roman" w:hAnsi="Times New Roman"/>
                <w:color w:val="auto"/>
                <w:kern w:val="0"/>
                <w:sz w:val="24"/>
                <w:highlight w:val="none"/>
                <w:lang w:eastAsia="zh-CN" w:bidi="ar"/>
              </w:rPr>
              <w:t>1</w:t>
            </w:r>
            <w:r>
              <w:rPr>
                <w:rFonts w:ascii="Times New Roman" w:hAnsi="Times New Roman"/>
                <w:color w:val="auto"/>
                <w:kern w:val="0"/>
                <w:sz w:val="24"/>
                <w:highlight w:val="none"/>
                <w:lang w:bidi="ar"/>
              </w:rPr>
              <w:t>年</w:t>
            </w:r>
            <w:r>
              <w:rPr>
                <w:rFonts w:hint="eastAsia" w:ascii="Times New Roman" w:hAnsi="Times New Roman"/>
                <w:color w:val="auto"/>
                <w:kern w:val="0"/>
                <w:sz w:val="24"/>
                <w:highlight w:val="none"/>
                <w:lang w:eastAsia="zh-CN" w:bidi="ar"/>
              </w:rPr>
              <w:t>6</w:t>
            </w:r>
            <w:r>
              <w:rPr>
                <w:rFonts w:ascii="Times New Roman" w:hAnsi="Times New Roman"/>
                <w:color w:val="auto"/>
                <w:kern w:val="0"/>
                <w:sz w:val="24"/>
                <w:highlight w:val="none"/>
                <w:lang w:bidi="ar"/>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33" w:type="dxa"/>
            <w:vMerge w:val="continue"/>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kern w:val="0"/>
                <w:sz w:val="24"/>
                <w:highlight w:val="none"/>
                <w:lang w:bidi="ar"/>
              </w:rPr>
            </w:pPr>
          </w:p>
        </w:tc>
        <w:tc>
          <w:tcPr>
            <w:tcW w:w="1578" w:type="dxa"/>
            <w:vMerge w:val="continue"/>
            <w:shd w:val="clear" w:color="auto" w:fill="auto"/>
            <w:noWrap/>
            <w:tcMar>
              <w:top w:w="10" w:type="dxa"/>
              <w:left w:w="10" w:type="dxa"/>
              <w:right w:w="10" w:type="dxa"/>
            </w:tcMar>
            <w:vAlign w:val="center"/>
          </w:tcPr>
          <w:p>
            <w:pPr>
              <w:widowControl/>
              <w:jc w:val="left"/>
              <w:textAlignment w:val="center"/>
              <w:rPr>
                <w:rFonts w:ascii="Times New Roman" w:hAnsi="Times New Roman"/>
                <w:color w:val="auto"/>
                <w:kern w:val="0"/>
                <w:sz w:val="24"/>
                <w:highlight w:val="none"/>
                <w:lang w:bidi="ar"/>
              </w:rPr>
            </w:pPr>
          </w:p>
        </w:tc>
        <w:tc>
          <w:tcPr>
            <w:tcW w:w="4289" w:type="dxa"/>
            <w:shd w:val="clear" w:color="auto" w:fill="auto"/>
            <w:noWrap/>
            <w:tcMar>
              <w:top w:w="10" w:type="dxa"/>
              <w:left w:w="10" w:type="dxa"/>
              <w:right w:w="10" w:type="dxa"/>
            </w:tcMar>
            <w:vAlign w:val="center"/>
          </w:tcPr>
          <w:p>
            <w:pPr>
              <w:widowControl/>
              <w:jc w:val="left"/>
              <w:textAlignment w:val="center"/>
              <w:rPr>
                <w:rFonts w:ascii="Times New Roman" w:hAnsi="Times New Roman" w:cs="Times New Roman"/>
                <w:color w:val="auto"/>
                <w:kern w:val="0"/>
                <w:sz w:val="24"/>
                <w:highlight w:val="none"/>
                <w:lang w:bidi="ar"/>
              </w:rPr>
            </w:pPr>
            <w:r>
              <w:rPr>
                <w:rFonts w:hint="default" w:ascii="Times New Roman" w:hAnsi="Times New Roman" w:cs="Times New Roman"/>
                <w:color w:val="auto"/>
                <w:kern w:val="0"/>
                <w:sz w:val="24"/>
                <w:highlight w:val="none"/>
                <w:lang w:bidi="ar"/>
              </w:rPr>
              <w:t>③建设49公里汕尾海丰湿地线（郊野型绿道）和73公里汕尾线（郊生态型绿道）</w:t>
            </w:r>
          </w:p>
        </w:tc>
        <w:tc>
          <w:tcPr>
            <w:tcW w:w="1111" w:type="dxa"/>
            <w:shd w:val="clear" w:color="auto" w:fill="auto"/>
            <w:noWrap/>
            <w:tcMar>
              <w:top w:w="10" w:type="dxa"/>
              <w:left w:w="10" w:type="dxa"/>
              <w:right w:w="10" w:type="dxa"/>
            </w:tcMar>
            <w:vAlign w:val="center"/>
          </w:tcPr>
          <w:p>
            <w:pPr>
              <w:widowControl/>
              <w:jc w:val="left"/>
              <w:textAlignment w:val="center"/>
              <w:rPr>
                <w:rFonts w:ascii="Times New Roman" w:hAnsi="Times New Roman"/>
                <w:color w:val="auto"/>
                <w:kern w:val="0"/>
                <w:sz w:val="24"/>
                <w:highlight w:val="none"/>
                <w:lang w:bidi="ar"/>
              </w:rPr>
            </w:pPr>
            <w:r>
              <w:rPr>
                <w:rFonts w:hint="eastAsia" w:ascii="Times New Roman" w:hAnsi="Times New Roman"/>
                <w:color w:val="auto"/>
                <w:kern w:val="0"/>
                <w:sz w:val="24"/>
                <w:highlight w:val="none"/>
                <w:lang w:bidi="ar"/>
              </w:rPr>
              <w:t>县住建局</w:t>
            </w:r>
          </w:p>
          <w:p>
            <w:pPr>
              <w:widowControl/>
              <w:jc w:val="left"/>
              <w:textAlignment w:val="center"/>
              <w:rPr>
                <w:rFonts w:ascii="Times New Roman" w:hAnsi="Times New Roman"/>
                <w:color w:val="auto"/>
                <w:kern w:val="0"/>
                <w:sz w:val="24"/>
                <w:highlight w:val="none"/>
                <w:lang w:bidi="ar"/>
              </w:rPr>
            </w:pPr>
            <w:r>
              <w:rPr>
                <w:rFonts w:hint="eastAsia" w:ascii="Times New Roman" w:hAnsi="Times New Roman"/>
                <w:color w:val="auto"/>
                <w:kern w:val="0"/>
                <w:sz w:val="24"/>
                <w:highlight w:val="none"/>
                <w:lang w:bidi="ar"/>
              </w:rPr>
              <w:t>县林业局</w:t>
            </w:r>
          </w:p>
          <w:p>
            <w:pPr>
              <w:widowControl/>
              <w:jc w:val="left"/>
              <w:textAlignment w:val="center"/>
              <w:rPr>
                <w:rFonts w:ascii="Times New Roman" w:hAnsi="Times New Roman"/>
                <w:color w:val="auto"/>
                <w:kern w:val="0"/>
                <w:sz w:val="24"/>
                <w:highlight w:val="none"/>
                <w:lang w:bidi="ar"/>
              </w:rPr>
            </w:pPr>
            <w:r>
              <w:rPr>
                <w:rFonts w:hint="eastAsia" w:ascii="Times New Roman" w:hAnsi="Times New Roman"/>
                <w:color w:val="auto"/>
                <w:kern w:val="0"/>
                <w:sz w:val="24"/>
                <w:highlight w:val="none"/>
                <w:lang w:bidi="ar"/>
              </w:rPr>
              <w:t>县水务局</w:t>
            </w: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kern w:val="0"/>
                <w:sz w:val="24"/>
                <w:highlight w:val="none"/>
                <w:lang w:bidi="ar"/>
              </w:rPr>
            </w:pPr>
            <w:r>
              <w:rPr>
                <w:rFonts w:hint="eastAsia" w:ascii="Times New Roman" w:hAnsi="Times New Roman"/>
                <w:color w:val="auto"/>
                <w:kern w:val="0"/>
                <w:sz w:val="24"/>
                <w:highlight w:val="none"/>
                <w:lang w:bidi="ar"/>
              </w:rPr>
              <w:t>提升项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kern w:val="0"/>
                <w:sz w:val="24"/>
                <w:highlight w:val="none"/>
                <w:lang w:bidi="ar"/>
              </w:rPr>
            </w:pPr>
            <w:r>
              <w:rPr>
                <w:rFonts w:hint="eastAsia" w:ascii="Times New Roman" w:hAnsi="Times New Roman"/>
                <w:color w:val="auto"/>
                <w:kern w:val="0"/>
                <w:sz w:val="24"/>
                <w:highlight w:val="none"/>
                <w:lang w:bidi="ar"/>
              </w:rPr>
              <w:t>24</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kern w:val="0"/>
                <w:sz w:val="24"/>
                <w:highlight w:val="none"/>
                <w:lang w:bidi="ar"/>
              </w:rPr>
            </w:pPr>
            <w:r>
              <w:rPr>
                <w:rFonts w:hint="eastAsia" w:ascii="Times New Roman" w:hAnsi="Times New Roman"/>
                <w:color w:val="auto"/>
                <w:kern w:val="0"/>
                <w:sz w:val="24"/>
                <w:highlight w:val="none"/>
                <w:lang w:bidi="ar"/>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33"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eastAsia" w:ascii="Times New Roman" w:hAnsi="Times New Roman"/>
                <w:color w:val="auto"/>
                <w:kern w:val="0"/>
                <w:sz w:val="24"/>
                <w:highlight w:val="none"/>
                <w:lang w:bidi="ar"/>
              </w:rPr>
              <w:t>2</w:t>
            </w:r>
          </w:p>
        </w:tc>
        <w:tc>
          <w:tcPr>
            <w:tcW w:w="1578"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林荫路建设规划</w:t>
            </w:r>
          </w:p>
        </w:tc>
        <w:tc>
          <w:tcPr>
            <w:tcW w:w="4289" w:type="dxa"/>
            <w:vMerge w:val="restart"/>
            <w:shd w:val="clear" w:color="auto" w:fill="auto"/>
            <w:noWrap/>
            <w:tcMar>
              <w:top w:w="10" w:type="dxa"/>
              <w:left w:w="10" w:type="dxa"/>
              <w:right w:w="10" w:type="dxa"/>
            </w:tcMar>
            <w:vAlign w:val="center"/>
          </w:tcPr>
          <w:p>
            <w:pPr>
              <w:widowControl/>
              <w:jc w:val="left"/>
              <w:textAlignment w:val="center"/>
              <w:rPr>
                <w:rFonts w:ascii="Times New Roman" w:hAnsi="Times New Roman"/>
                <w:color w:val="auto"/>
                <w:sz w:val="24"/>
                <w:highlight w:val="none"/>
              </w:rPr>
            </w:pPr>
            <w:r>
              <w:rPr>
                <w:rFonts w:hint="default" w:ascii="Times New Roman" w:hAnsi="Times New Roman" w:cs="Times New Roman"/>
                <w:color w:val="auto"/>
                <w:kern w:val="0"/>
                <w:sz w:val="24"/>
                <w:highlight w:val="none"/>
                <w:lang w:bidi="ar"/>
              </w:rPr>
              <w:t>①</w:t>
            </w:r>
            <w:r>
              <w:rPr>
                <w:rFonts w:ascii="Times New Roman" w:hAnsi="Times New Roman"/>
                <w:color w:val="auto"/>
                <w:kern w:val="0"/>
                <w:sz w:val="24"/>
                <w:highlight w:val="none"/>
                <w:lang w:bidi="ar"/>
              </w:rPr>
              <w:t>林荫路提质工程。对县城现有2</w:t>
            </w:r>
            <w:r>
              <w:rPr>
                <w:rFonts w:hint="eastAsia" w:ascii="Times New Roman" w:hAnsi="Times New Roman"/>
                <w:color w:val="auto"/>
                <w:kern w:val="0"/>
                <w:sz w:val="24"/>
                <w:highlight w:val="none"/>
                <w:lang w:bidi="ar"/>
              </w:rPr>
              <w:t>5</w:t>
            </w:r>
            <w:r>
              <w:rPr>
                <w:rFonts w:ascii="Times New Roman" w:hAnsi="Times New Roman"/>
                <w:color w:val="auto"/>
                <w:kern w:val="0"/>
                <w:sz w:val="24"/>
                <w:highlight w:val="none"/>
                <w:lang w:bidi="ar"/>
              </w:rPr>
              <w:t>条林荫路和30条有行道树非林荫路进行精细养护；</w:t>
            </w:r>
          </w:p>
        </w:tc>
        <w:tc>
          <w:tcPr>
            <w:tcW w:w="1111" w:type="dxa"/>
            <w:vMerge w:val="restart"/>
            <w:shd w:val="clear" w:color="auto" w:fill="auto"/>
            <w:noWrap/>
            <w:tcMar>
              <w:top w:w="10" w:type="dxa"/>
              <w:left w:w="10" w:type="dxa"/>
              <w:right w:w="10" w:type="dxa"/>
            </w:tcMar>
            <w:vAlign w:val="center"/>
          </w:tcPr>
          <w:p>
            <w:pPr>
              <w:widowControl/>
              <w:jc w:val="center"/>
              <w:textAlignment w:val="center"/>
              <w:rPr>
                <w:rFonts w:hint="eastAsia" w:ascii="Times New Roman" w:hAnsi="Times New Roman" w:eastAsia="宋体"/>
                <w:color w:val="auto"/>
                <w:kern w:val="0"/>
                <w:sz w:val="24"/>
                <w:highlight w:val="none"/>
                <w:lang w:eastAsia="zh-CN" w:bidi="ar"/>
              </w:rPr>
            </w:pPr>
            <w:r>
              <w:rPr>
                <w:rFonts w:ascii="Times New Roman" w:hAnsi="Times New Roman"/>
                <w:color w:val="auto"/>
                <w:kern w:val="0"/>
                <w:sz w:val="24"/>
                <w:highlight w:val="none"/>
                <w:lang w:bidi="ar"/>
              </w:rPr>
              <w:t>县林业局</w:t>
            </w:r>
          </w:p>
          <w:p>
            <w:pPr>
              <w:widowControl/>
              <w:jc w:val="center"/>
              <w:textAlignment w:val="center"/>
              <w:rPr>
                <w:rFonts w:hint="eastAsia" w:ascii="Times New Roman" w:hAnsi="Times New Roman" w:eastAsia="宋体"/>
                <w:color w:val="auto"/>
                <w:kern w:val="0"/>
                <w:sz w:val="24"/>
                <w:highlight w:val="none"/>
                <w:lang w:eastAsia="zh-CN" w:bidi="ar"/>
              </w:rPr>
            </w:pPr>
            <w:r>
              <w:rPr>
                <w:rFonts w:ascii="Times New Roman" w:hAnsi="Times New Roman"/>
                <w:color w:val="auto"/>
                <w:kern w:val="0"/>
                <w:sz w:val="24"/>
                <w:highlight w:val="none"/>
                <w:lang w:bidi="ar"/>
              </w:rPr>
              <w:t>县公用事业事务中心</w:t>
            </w:r>
          </w:p>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县城三镇</w:t>
            </w:r>
          </w:p>
        </w:tc>
        <w:tc>
          <w:tcPr>
            <w:tcW w:w="556"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45</w:t>
            </w:r>
          </w:p>
        </w:tc>
        <w:tc>
          <w:tcPr>
            <w:tcW w:w="733"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w:t>
            </w:r>
            <w:r>
              <w:rPr>
                <w:rFonts w:hint="eastAsia" w:ascii="Times New Roman" w:hAnsi="Times New Roman"/>
                <w:color w:val="auto"/>
                <w:kern w:val="0"/>
                <w:sz w:val="24"/>
                <w:highlight w:val="none"/>
                <w:lang w:eastAsia="zh-CN" w:bidi="ar"/>
              </w:rPr>
              <w:t>2</w:t>
            </w:r>
            <w:r>
              <w:rPr>
                <w:rFonts w:hint="eastAsia" w:ascii="Times New Roman" w:hAnsi="Times New Roman"/>
                <w:color w:val="auto"/>
                <w:kern w:val="0"/>
                <w:sz w:val="24"/>
                <w:highlight w:val="none"/>
                <w:lang w:val="en-US" w:eastAsia="zh-CN" w:bidi="ar"/>
              </w:rPr>
              <w:t>1</w:t>
            </w:r>
            <w:r>
              <w:rPr>
                <w:rFonts w:ascii="Times New Roman" w:hAnsi="Times New Roman"/>
                <w:color w:val="auto"/>
                <w:kern w:val="0"/>
                <w:sz w:val="24"/>
                <w:highlight w:val="none"/>
                <w:lang w:bidi="ar"/>
              </w:rPr>
              <w:t>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33"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1578"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4289" w:type="dxa"/>
            <w:vMerge w:val="continue"/>
            <w:shd w:val="clear" w:color="auto" w:fill="auto"/>
            <w:noWrap/>
            <w:tcMar>
              <w:top w:w="10" w:type="dxa"/>
              <w:left w:w="10" w:type="dxa"/>
              <w:right w:w="10" w:type="dxa"/>
            </w:tcMar>
            <w:vAlign w:val="center"/>
          </w:tcPr>
          <w:p>
            <w:pPr>
              <w:rPr>
                <w:rFonts w:ascii="Times New Roman" w:hAnsi="Times New Roman"/>
                <w:color w:val="auto"/>
                <w:sz w:val="24"/>
                <w:highlight w:val="none"/>
              </w:rPr>
            </w:pPr>
          </w:p>
        </w:tc>
        <w:tc>
          <w:tcPr>
            <w:tcW w:w="1111"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556"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755"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733"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33"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1578"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4289" w:type="dxa"/>
            <w:vMerge w:val="continue"/>
            <w:shd w:val="clear" w:color="auto" w:fill="auto"/>
            <w:noWrap/>
            <w:tcMar>
              <w:top w:w="10" w:type="dxa"/>
              <w:left w:w="10" w:type="dxa"/>
              <w:right w:w="10" w:type="dxa"/>
            </w:tcMar>
            <w:vAlign w:val="center"/>
          </w:tcPr>
          <w:p>
            <w:pPr>
              <w:rPr>
                <w:rFonts w:ascii="Times New Roman" w:hAnsi="Times New Roman"/>
                <w:color w:val="auto"/>
                <w:sz w:val="24"/>
                <w:highlight w:val="none"/>
              </w:rPr>
            </w:pPr>
          </w:p>
        </w:tc>
        <w:tc>
          <w:tcPr>
            <w:tcW w:w="1111"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556"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755"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733"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33"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1578"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4289" w:type="dxa"/>
            <w:shd w:val="clear" w:color="auto" w:fill="auto"/>
            <w:noWrap/>
            <w:tcMar>
              <w:top w:w="10" w:type="dxa"/>
              <w:left w:w="10" w:type="dxa"/>
              <w:right w:w="10" w:type="dxa"/>
            </w:tcMar>
            <w:vAlign w:val="center"/>
          </w:tcPr>
          <w:p>
            <w:pPr>
              <w:widowControl/>
              <w:jc w:val="left"/>
              <w:textAlignment w:val="center"/>
              <w:rPr>
                <w:rFonts w:ascii="Times New Roman" w:hAnsi="Times New Roman"/>
                <w:color w:val="auto"/>
                <w:sz w:val="24"/>
                <w:highlight w:val="none"/>
              </w:rPr>
            </w:pPr>
            <w:r>
              <w:rPr>
                <w:rFonts w:hint="default" w:ascii="Times New Roman" w:hAnsi="Times New Roman" w:cs="Times New Roman"/>
                <w:color w:val="auto"/>
                <w:kern w:val="0"/>
                <w:sz w:val="24"/>
                <w:highlight w:val="none"/>
                <w:lang w:bidi="ar"/>
              </w:rPr>
              <w:t>②</w:t>
            </w:r>
            <w:r>
              <w:rPr>
                <w:rFonts w:ascii="Times New Roman" w:hAnsi="Times New Roman"/>
                <w:color w:val="auto"/>
                <w:kern w:val="0"/>
                <w:sz w:val="24"/>
                <w:highlight w:val="none"/>
                <w:lang w:bidi="ar"/>
              </w:rPr>
              <w:t>对缺乏行道树的</w:t>
            </w:r>
            <w:r>
              <w:rPr>
                <w:rFonts w:hint="eastAsia" w:ascii="Times New Roman" w:hAnsi="Times New Roman"/>
                <w:color w:val="auto"/>
                <w:kern w:val="0"/>
                <w:sz w:val="24"/>
                <w:highlight w:val="none"/>
                <w:lang w:bidi="ar"/>
              </w:rPr>
              <w:t>66</w:t>
            </w:r>
            <w:r>
              <w:rPr>
                <w:rFonts w:ascii="Times New Roman" w:hAnsi="Times New Roman"/>
                <w:color w:val="auto"/>
                <w:kern w:val="0"/>
                <w:sz w:val="24"/>
                <w:highlight w:val="none"/>
                <w:lang w:bidi="ar"/>
              </w:rPr>
              <w:t>道路进行改造，补植行道树。</w:t>
            </w:r>
          </w:p>
        </w:tc>
        <w:tc>
          <w:tcPr>
            <w:tcW w:w="1111" w:type="dxa"/>
            <w:vMerge w:val="continue"/>
            <w:shd w:val="clear" w:color="auto" w:fill="auto"/>
            <w:noWrap/>
            <w:tcMar>
              <w:top w:w="10" w:type="dxa"/>
              <w:left w:w="10" w:type="dxa"/>
              <w:right w:w="10" w:type="dxa"/>
            </w:tcMar>
            <w:vAlign w:val="center"/>
          </w:tcPr>
          <w:p>
            <w:pPr>
              <w:jc w:val="center"/>
              <w:rPr>
                <w:rFonts w:ascii="Times New Roman" w:hAnsi="Times New Roman"/>
                <w:color w:val="auto"/>
                <w:sz w:val="24"/>
                <w:highlight w:val="none"/>
              </w:rPr>
            </w:pPr>
          </w:p>
        </w:tc>
        <w:tc>
          <w:tcPr>
            <w:tcW w:w="55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完善项</w:t>
            </w:r>
          </w:p>
        </w:tc>
        <w:tc>
          <w:tcPr>
            <w:tcW w:w="75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45</w:t>
            </w:r>
          </w:p>
        </w:tc>
        <w:tc>
          <w:tcPr>
            <w:tcW w:w="7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bl>
    <w:p>
      <w:pPr>
        <w:rPr>
          <w:rFonts w:ascii="Times New Roman" w:hAnsi="Times New Roman"/>
          <w:color w:val="auto"/>
          <w:highlight w:val="none"/>
        </w:rPr>
      </w:pPr>
    </w:p>
    <w:p>
      <w:pPr>
        <w:pStyle w:val="5"/>
        <w:rPr>
          <w:rFonts w:ascii="Times New Roman" w:hAnsi="Times New Roman" w:eastAsia="宋体"/>
          <w:color w:val="auto"/>
          <w:sz w:val="28"/>
          <w:szCs w:val="28"/>
          <w:highlight w:val="none"/>
        </w:rPr>
      </w:pPr>
      <w:bookmarkStart w:id="262" w:name="_Toc6479"/>
      <w:bookmarkStart w:id="263" w:name="_Toc32530"/>
      <w:bookmarkStart w:id="264" w:name="_Toc16599"/>
      <w:bookmarkStart w:id="265" w:name="_Toc18174"/>
      <w:bookmarkStart w:id="266" w:name="_Toc7231"/>
      <w:bookmarkStart w:id="267" w:name="_Toc31273"/>
      <w:r>
        <w:rPr>
          <w:rFonts w:ascii="Times New Roman" w:hAnsi="Times New Roman" w:eastAsia="宋体"/>
          <w:color w:val="auto"/>
          <w:sz w:val="28"/>
          <w:szCs w:val="28"/>
          <w:highlight w:val="none"/>
        </w:rPr>
        <w:t>行动五：文化传承，保护县城历史风貌</w:t>
      </w:r>
      <w:bookmarkEnd w:id="262"/>
      <w:bookmarkEnd w:id="263"/>
      <w:bookmarkEnd w:id="264"/>
      <w:bookmarkEnd w:id="265"/>
      <w:bookmarkEnd w:id="266"/>
      <w:bookmarkEnd w:id="267"/>
    </w:p>
    <w:tbl>
      <w:tblPr>
        <w:tblStyle w:val="20"/>
        <w:tblW w:w="9555" w:type="dxa"/>
        <w:tblInd w:w="-620" w:type="dxa"/>
        <w:tblLayout w:type="fixed"/>
        <w:tblCellMar>
          <w:top w:w="0" w:type="dxa"/>
          <w:left w:w="0" w:type="dxa"/>
          <w:bottom w:w="0" w:type="dxa"/>
          <w:right w:w="0" w:type="dxa"/>
        </w:tblCellMar>
      </w:tblPr>
      <w:tblGrid>
        <w:gridCol w:w="533"/>
        <w:gridCol w:w="1578"/>
        <w:gridCol w:w="4289"/>
        <w:gridCol w:w="1100"/>
        <w:gridCol w:w="566"/>
        <w:gridCol w:w="756"/>
        <w:gridCol w:w="733"/>
      </w:tblGrid>
      <w:tr>
        <w:tblPrEx>
          <w:tblCellMar>
            <w:top w:w="0" w:type="dxa"/>
            <w:left w:w="0" w:type="dxa"/>
            <w:bottom w:w="0" w:type="dxa"/>
            <w:right w:w="0" w:type="dxa"/>
          </w:tblCellMar>
        </w:tblPrEx>
        <w:trPr>
          <w:trHeight w:val="330" w:hRule="atLeast"/>
        </w:trPr>
        <w:tc>
          <w:tcPr>
            <w:tcW w:w="533" w:type="dxa"/>
            <w:tcBorders>
              <w:top w:val="single" w:color="000000" w:sz="8" w:space="0"/>
              <w:left w:val="single" w:color="000000" w:sz="8" w:space="0"/>
              <w:bottom w:val="nil"/>
              <w:right w:val="single" w:color="000000" w:sz="8" w:space="0"/>
            </w:tcBorders>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序号</w:t>
            </w:r>
          </w:p>
        </w:tc>
        <w:tc>
          <w:tcPr>
            <w:tcW w:w="1578" w:type="dxa"/>
            <w:tcBorders>
              <w:top w:val="single" w:color="000000" w:sz="8" w:space="0"/>
              <w:left w:val="nil"/>
              <w:bottom w:val="nil"/>
              <w:right w:val="single" w:color="000000" w:sz="8" w:space="0"/>
            </w:tcBorders>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项目</w:t>
            </w:r>
          </w:p>
        </w:tc>
        <w:tc>
          <w:tcPr>
            <w:tcW w:w="4289" w:type="dxa"/>
            <w:tcBorders>
              <w:top w:val="single" w:color="000000" w:sz="8" w:space="0"/>
              <w:left w:val="nil"/>
              <w:bottom w:val="nil"/>
              <w:right w:val="single" w:color="000000" w:sz="8" w:space="0"/>
            </w:tcBorders>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内容</w:t>
            </w:r>
          </w:p>
        </w:tc>
        <w:tc>
          <w:tcPr>
            <w:tcW w:w="1100" w:type="dxa"/>
            <w:tcBorders>
              <w:top w:val="single" w:color="000000" w:sz="8" w:space="0"/>
              <w:left w:val="nil"/>
              <w:bottom w:val="single" w:color="auto" w:sz="4" w:space="0"/>
              <w:right w:val="single" w:color="000000" w:sz="8" w:space="0"/>
            </w:tcBorders>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责任单位</w:t>
            </w:r>
          </w:p>
        </w:tc>
        <w:tc>
          <w:tcPr>
            <w:tcW w:w="566" w:type="dxa"/>
            <w:tcBorders>
              <w:top w:val="single" w:color="000000" w:sz="8" w:space="0"/>
              <w:left w:val="nil"/>
              <w:bottom w:val="nil"/>
              <w:right w:val="single" w:color="000000" w:sz="8" w:space="0"/>
            </w:tcBorders>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性质</w:t>
            </w:r>
          </w:p>
        </w:tc>
        <w:tc>
          <w:tcPr>
            <w:tcW w:w="756" w:type="dxa"/>
            <w:tcBorders>
              <w:top w:val="single" w:color="000000" w:sz="8" w:space="0"/>
              <w:left w:val="nil"/>
              <w:bottom w:val="nil"/>
              <w:right w:val="single" w:color="000000" w:sz="8" w:space="0"/>
            </w:tcBorders>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对应考核指标</w:t>
            </w:r>
          </w:p>
        </w:tc>
        <w:tc>
          <w:tcPr>
            <w:tcW w:w="733" w:type="dxa"/>
            <w:tcBorders>
              <w:top w:val="single" w:color="000000" w:sz="8" w:space="0"/>
              <w:left w:val="nil"/>
              <w:bottom w:val="nil"/>
              <w:right w:val="single" w:color="000000" w:sz="8" w:space="0"/>
            </w:tcBorders>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sz w:val="24"/>
                <w:highlight w:val="none"/>
              </w:rPr>
            </w:pPr>
            <w:r>
              <w:rPr>
                <w:rFonts w:ascii="Times New Roman" w:hAnsi="Times New Roman"/>
                <w:b/>
                <w:color w:val="auto"/>
                <w:kern w:val="0"/>
                <w:sz w:val="24"/>
                <w:highlight w:val="none"/>
                <w:lang w:bidi="ar"/>
              </w:rPr>
              <w:t>完成时间</w:t>
            </w:r>
          </w:p>
        </w:tc>
      </w:tr>
      <w:tr>
        <w:tblPrEx>
          <w:tblCellMar>
            <w:top w:w="0" w:type="dxa"/>
            <w:left w:w="0" w:type="dxa"/>
            <w:bottom w:w="0" w:type="dxa"/>
            <w:right w:w="0" w:type="dxa"/>
          </w:tblCellMar>
        </w:tblPrEx>
        <w:trPr>
          <w:trHeight w:val="315" w:hRule="atLeast"/>
        </w:trPr>
        <w:tc>
          <w:tcPr>
            <w:tcW w:w="533" w:type="dxa"/>
            <w:tcBorders>
              <w:top w:val="single" w:color="000000" w:sz="8" w:space="0"/>
              <w:left w:val="single" w:color="000000" w:sz="8" w:space="0"/>
              <w:bottom w:val="single" w:color="000000" w:sz="8" w:space="0"/>
              <w:right w:val="single" w:color="000000" w:sz="8" w:space="0"/>
            </w:tcBorders>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w:t>
            </w:r>
          </w:p>
        </w:tc>
        <w:tc>
          <w:tcPr>
            <w:tcW w:w="1578" w:type="dxa"/>
            <w:tcBorders>
              <w:top w:val="single" w:color="000000" w:sz="8" w:space="0"/>
              <w:left w:val="nil"/>
              <w:bottom w:val="single" w:color="000000" w:sz="8" w:space="0"/>
              <w:right w:val="single" w:color="000000" w:sz="8" w:space="0"/>
            </w:tcBorders>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划定历史文化街区</w:t>
            </w:r>
          </w:p>
        </w:tc>
        <w:tc>
          <w:tcPr>
            <w:tcW w:w="4289" w:type="dxa"/>
            <w:tcBorders>
              <w:top w:val="single" w:color="000000" w:sz="8" w:space="0"/>
              <w:left w:val="nil"/>
              <w:bottom w:val="single" w:color="000000" w:sz="8" w:space="0"/>
              <w:right w:val="single" w:color="auto" w:sz="4" w:space="0"/>
            </w:tcBorders>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按《海丰县县城总体规划（2015-2035年）》和《海丰县城规划区控制性详细规划》划定历史文化街区和进行相应的保护。</w:t>
            </w:r>
          </w:p>
        </w:tc>
        <w:tc>
          <w:tcPr>
            <w:tcW w:w="1100" w:type="dxa"/>
            <w:tcBorders>
              <w:top w:val="single" w:color="auto" w:sz="4" w:space="0"/>
              <w:left w:val="single" w:color="auto" w:sz="4" w:space="0"/>
              <w:bottom w:val="single" w:color="auto" w:sz="4" w:space="0"/>
              <w:right w:val="single" w:color="auto" w:sz="4" w:space="0"/>
            </w:tcBorders>
            <w:shd w:val="clear" w:color="auto" w:fill="auto"/>
            <w:noWrap/>
            <w:tcMar>
              <w:top w:w="10" w:type="dxa"/>
              <w:left w:w="10" w:type="dxa"/>
              <w:right w:w="10" w:type="dxa"/>
            </w:tcMar>
            <w:vAlign w:val="center"/>
          </w:tcPr>
          <w:p>
            <w:pPr>
              <w:widowControl/>
              <w:jc w:val="center"/>
              <w:textAlignment w:val="center"/>
              <w:rPr>
                <w:rFonts w:hint="eastAsia" w:ascii="Times New Roman" w:hAnsi="Times New Roman" w:eastAsia="宋体"/>
                <w:color w:val="auto"/>
                <w:sz w:val="24"/>
                <w:highlight w:val="none"/>
                <w:lang w:eastAsia="zh-CN"/>
              </w:rPr>
            </w:pPr>
            <w:r>
              <w:rPr>
                <w:rFonts w:ascii="Times New Roman" w:hAnsi="Times New Roman"/>
                <w:color w:val="auto"/>
                <w:kern w:val="0"/>
                <w:sz w:val="24"/>
                <w:highlight w:val="none"/>
                <w:lang w:bidi="ar"/>
              </w:rPr>
              <w:t>县</w:t>
            </w:r>
            <w:r>
              <w:rPr>
                <w:rFonts w:hint="eastAsia" w:ascii="Times New Roman" w:hAnsi="Times New Roman"/>
                <w:color w:val="auto"/>
                <w:kern w:val="0"/>
                <w:sz w:val="24"/>
                <w:highlight w:val="none"/>
                <w:lang w:val="en-US" w:eastAsia="zh-CN" w:bidi="ar"/>
              </w:rPr>
              <w:t>住建局</w:t>
            </w:r>
          </w:p>
        </w:tc>
        <w:tc>
          <w:tcPr>
            <w:tcW w:w="566" w:type="dxa"/>
            <w:tcBorders>
              <w:top w:val="single" w:color="000000" w:sz="8" w:space="0"/>
              <w:left w:val="single" w:color="auto" w:sz="4" w:space="0"/>
              <w:bottom w:val="single" w:color="000000" w:sz="8" w:space="0"/>
              <w:right w:val="single" w:color="000000" w:sz="8" w:space="0"/>
            </w:tcBorders>
            <w:shd w:val="clear" w:color="auto" w:fill="auto"/>
            <w:noWrap/>
            <w:tcMar>
              <w:top w:w="10" w:type="dxa"/>
              <w:left w:w="10" w:type="dxa"/>
              <w:right w:w="10" w:type="dxa"/>
            </w:tcMar>
            <w:vAlign w:val="center"/>
          </w:tcPr>
          <w:p>
            <w:pPr>
              <w:widowControl/>
              <w:jc w:val="center"/>
              <w:textAlignment w:val="center"/>
              <w:rPr>
                <w:rFonts w:hint="default" w:ascii="Times New Roman" w:hAnsi="Times New Roman" w:eastAsia="宋体"/>
                <w:color w:val="auto"/>
                <w:sz w:val="24"/>
                <w:highlight w:val="none"/>
                <w:lang w:val="en-US" w:eastAsia="zh-CN"/>
              </w:rPr>
            </w:pPr>
            <w:r>
              <w:rPr>
                <w:rFonts w:hint="eastAsia" w:ascii="Times New Roman" w:hAnsi="Times New Roman"/>
                <w:color w:val="auto"/>
                <w:kern w:val="0"/>
                <w:sz w:val="24"/>
                <w:highlight w:val="none"/>
                <w:lang w:val="en-US" w:eastAsia="zh-CN" w:bidi="ar"/>
              </w:rPr>
              <w:t>提升项</w:t>
            </w:r>
          </w:p>
        </w:tc>
        <w:tc>
          <w:tcPr>
            <w:tcW w:w="756" w:type="dxa"/>
            <w:tcBorders>
              <w:top w:val="single" w:color="000000" w:sz="8" w:space="0"/>
              <w:left w:val="nil"/>
              <w:bottom w:val="single" w:color="000000" w:sz="8" w:space="0"/>
              <w:right w:val="single" w:color="000000" w:sz="8" w:space="0"/>
            </w:tcBorders>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28</w:t>
            </w:r>
          </w:p>
        </w:tc>
        <w:tc>
          <w:tcPr>
            <w:tcW w:w="733" w:type="dxa"/>
            <w:tcBorders>
              <w:top w:val="single" w:color="000000" w:sz="8" w:space="0"/>
              <w:left w:val="nil"/>
              <w:bottom w:val="single" w:color="000000" w:sz="8" w:space="0"/>
              <w:right w:val="single" w:color="000000" w:sz="8" w:space="0"/>
            </w:tcBorders>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CellMar>
            <w:top w:w="0" w:type="dxa"/>
            <w:left w:w="0" w:type="dxa"/>
            <w:bottom w:w="0" w:type="dxa"/>
            <w:right w:w="0" w:type="dxa"/>
          </w:tblCellMar>
        </w:tblPrEx>
        <w:trPr>
          <w:trHeight w:val="315" w:hRule="atLeast"/>
        </w:trPr>
        <w:tc>
          <w:tcPr>
            <w:tcW w:w="533" w:type="dxa"/>
            <w:tcBorders>
              <w:top w:val="nil"/>
              <w:left w:val="single" w:color="000000" w:sz="8" w:space="0"/>
              <w:bottom w:val="single" w:color="000000" w:sz="8" w:space="0"/>
              <w:right w:val="single" w:color="000000" w:sz="8" w:space="0"/>
            </w:tcBorders>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w:t>
            </w:r>
          </w:p>
        </w:tc>
        <w:tc>
          <w:tcPr>
            <w:tcW w:w="1578" w:type="dxa"/>
            <w:tcBorders>
              <w:top w:val="nil"/>
              <w:left w:val="nil"/>
              <w:bottom w:val="single" w:color="000000" w:sz="8" w:space="0"/>
              <w:right w:val="single" w:color="000000" w:sz="8" w:space="0"/>
            </w:tcBorders>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划定历史文化名城</w:t>
            </w:r>
          </w:p>
        </w:tc>
        <w:tc>
          <w:tcPr>
            <w:tcW w:w="4289" w:type="dxa"/>
            <w:tcBorders>
              <w:top w:val="nil"/>
              <w:left w:val="nil"/>
              <w:bottom w:val="single" w:color="000000" w:sz="8" w:space="0"/>
              <w:right w:val="single" w:color="auto" w:sz="4" w:space="0"/>
            </w:tcBorders>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按《海丰县县城总体规划（2015-2035年）》和《海丰县城规划区控制性详细规划》划定历史文化名城和进行相应的保护。</w:t>
            </w:r>
          </w:p>
        </w:tc>
        <w:tc>
          <w:tcPr>
            <w:tcW w:w="1100" w:type="dxa"/>
            <w:tcBorders>
              <w:top w:val="single" w:color="auto" w:sz="4" w:space="0"/>
              <w:left w:val="single" w:color="auto" w:sz="4" w:space="0"/>
              <w:bottom w:val="single" w:color="auto" w:sz="4" w:space="0"/>
              <w:right w:val="single" w:color="auto" w:sz="4" w:space="0"/>
            </w:tcBorders>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w:t>
            </w:r>
            <w:r>
              <w:rPr>
                <w:rFonts w:hint="eastAsia" w:ascii="Times New Roman" w:hAnsi="Times New Roman"/>
                <w:color w:val="auto"/>
                <w:kern w:val="0"/>
                <w:sz w:val="24"/>
                <w:highlight w:val="none"/>
                <w:lang w:val="en-US" w:eastAsia="zh-CN" w:bidi="ar"/>
              </w:rPr>
              <w:t>住建局</w:t>
            </w:r>
          </w:p>
        </w:tc>
        <w:tc>
          <w:tcPr>
            <w:tcW w:w="566" w:type="dxa"/>
            <w:tcBorders>
              <w:top w:val="nil"/>
              <w:left w:val="single" w:color="auto" w:sz="4" w:space="0"/>
              <w:bottom w:val="single" w:color="000000" w:sz="8" w:space="0"/>
              <w:right w:val="single" w:color="000000" w:sz="8" w:space="0"/>
            </w:tcBorders>
            <w:shd w:val="clear" w:color="auto" w:fill="auto"/>
            <w:noWrap/>
            <w:tcMar>
              <w:top w:w="10" w:type="dxa"/>
              <w:left w:w="10" w:type="dxa"/>
              <w:right w:w="10" w:type="dxa"/>
            </w:tcMar>
            <w:vAlign w:val="center"/>
          </w:tcPr>
          <w:p>
            <w:pPr>
              <w:widowControl/>
              <w:jc w:val="center"/>
              <w:textAlignment w:val="center"/>
              <w:rPr>
                <w:rFonts w:hint="default" w:ascii="Times New Roman" w:hAnsi="Times New Roman" w:eastAsia="宋体"/>
                <w:color w:val="auto"/>
                <w:sz w:val="24"/>
                <w:highlight w:val="none"/>
                <w:lang w:val="en-US" w:eastAsia="zh-CN"/>
              </w:rPr>
            </w:pPr>
            <w:r>
              <w:rPr>
                <w:rFonts w:hint="eastAsia" w:ascii="Times New Roman" w:hAnsi="Times New Roman"/>
                <w:color w:val="auto"/>
                <w:kern w:val="0"/>
                <w:sz w:val="24"/>
                <w:highlight w:val="none"/>
                <w:lang w:val="en-US" w:eastAsia="zh-CN" w:bidi="ar"/>
              </w:rPr>
              <w:t>提升项</w:t>
            </w:r>
          </w:p>
        </w:tc>
        <w:tc>
          <w:tcPr>
            <w:tcW w:w="756" w:type="dxa"/>
            <w:tcBorders>
              <w:top w:val="nil"/>
              <w:left w:val="nil"/>
              <w:bottom w:val="single" w:color="000000" w:sz="8" w:space="0"/>
              <w:right w:val="single" w:color="000000" w:sz="8" w:space="0"/>
            </w:tcBorders>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28</w:t>
            </w:r>
          </w:p>
        </w:tc>
        <w:tc>
          <w:tcPr>
            <w:tcW w:w="733" w:type="dxa"/>
            <w:tcBorders>
              <w:top w:val="single" w:color="000000" w:sz="8" w:space="0"/>
              <w:left w:val="nil"/>
              <w:bottom w:val="single" w:color="000000" w:sz="8" w:space="0"/>
              <w:right w:val="single" w:color="000000" w:sz="8" w:space="0"/>
            </w:tcBorders>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CellMar>
            <w:top w:w="0" w:type="dxa"/>
            <w:left w:w="0" w:type="dxa"/>
            <w:bottom w:w="0" w:type="dxa"/>
            <w:right w:w="0" w:type="dxa"/>
          </w:tblCellMar>
        </w:tblPrEx>
        <w:trPr>
          <w:trHeight w:val="315" w:hRule="atLeast"/>
        </w:trPr>
        <w:tc>
          <w:tcPr>
            <w:tcW w:w="533" w:type="dxa"/>
            <w:tcBorders>
              <w:top w:val="nil"/>
              <w:left w:val="single" w:color="000000" w:sz="8" w:space="0"/>
              <w:bottom w:val="single" w:color="000000" w:sz="8" w:space="0"/>
              <w:right w:val="single" w:color="000000" w:sz="8" w:space="0"/>
            </w:tcBorders>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w:t>
            </w:r>
          </w:p>
        </w:tc>
        <w:tc>
          <w:tcPr>
            <w:tcW w:w="1578" w:type="dxa"/>
            <w:tcBorders>
              <w:top w:val="nil"/>
              <w:left w:val="nil"/>
              <w:bottom w:val="single" w:color="000000" w:sz="8" w:space="0"/>
              <w:right w:val="single" w:color="000000" w:sz="8" w:space="0"/>
            </w:tcBorders>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不可移动文物保护</w:t>
            </w:r>
          </w:p>
        </w:tc>
        <w:tc>
          <w:tcPr>
            <w:tcW w:w="4289" w:type="dxa"/>
            <w:tcBorders>
              <w:top w:val="nil"/>
              <w:left w:val="nil"/>
              <w:bottom w:val="single" w:color="000000" w:sz="8" w:space="0"/>
              <w:right w:val="single" w:color="000000" w:sz="8" w:space="0"/>
            </w:tcBorders>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严格按文物保护法的规定对文物保护单位本体及环境进行保护，禁止随意改变原有状况、面貌及环境。</w:t>
            </w:r>
          </w:p>
        </w:tc>
        <w:tc>
          <w:tcPr>
            <w:tcW w:w="1100" w:type="dxa"/>
            <w:tcBorders>
              <w:top w:val="single" w:color="auto" w:sz="4" w:space="0"/>
              <w:left w:val="nil"/>
              <w:bottom w:val="single" w:color="000000" w:sz="8" w:space="0"/>
              <w:right w:val="single" w:color="000000" w:sz="8" w:space="0"/>
            </w:tcBorders>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县文体局</w:t>
            </w:r>
          </w:p>
        </w:tc>
        <w:tc>
          <w:tcPr>
            <w:tcW w:w="566" w:type="dxa"/>
            <w:tcBorders>
              <w:top w:val="nil"/>
              <w:left w:val="nil"/>
              <w:bottom w:val="single" w:color="000000" w:sz="8" w:space="0"/>
              <w:right w:val="single" w:color="000000" w:sz="8" w:space="0"/>
            </w:tcBorders>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hint="eastAsia" w:ascii="Times New Roman" w:hAnsi="Times New Roman"/>
                <w:color w:val="auto"/>
                <w:kern w:val="0"/>
                <w:sz w:val="24"/>
                <w:highlight w:val="none"/>
                <w:lang w:bidi="ar"/>
              </w:rPr>
              <w:t>提升项</w:t>
            </w:r>
          </w:p>
        </w:tc>
        <w:tc>
          <w:tcPr>
            <w:tcW w:w="756" w:type="dxa"/>
            <w:tcBorders>
              <w:top w:val="nil"/>
              <w:left w:val="nil"/>
              <w:bottom w:val="single" w:color="000000" w:sz="8" w:space="0"/>
              <w:right w:val="single" w:color="000000" w:sz="8" w:space="0"/>
            </w:tcBorders>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28</w:t>
            </w:r>
          </w:p>
        </w:tc>
        <w:tc>
          <w:tcPr>
            <w:tcW w:w="733" w:type="dxa"/>
            <w:tcBorders>
              <w:top w:val="single" w:color="000000" w:sz="8" w:space="0"/>
              <w:left w:val="nil"/>
              <w:bottom w:val="single" w:color="000000" w:sz="8" w:space="0"/>
              <w:right w:val="single" w:color="000000" w:sz="8" w:space="0"/>
            </w:tcBorders>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2021年3月</w:t>
            </w:r>
          </w:p>
        </w:tc>
      </w:tr>
      <w:tr>
        <w:tblPrEx>
          <w:tblCellMar>
            <w:top w:w="0" w:type="dxa"/>
            <w:left w:w="0" w:type="dxa"/>
            <w:bottom w:w="0" w:type="dxa"/>
            <w:right w:w="0" w:type="dxa"/>
          </w:tblCellMar>
        </w:tblPrEx>
        <w:trPr>
          <w:trHeight w:val="315" w:hRule="atLeast"/>
        </w:trPr>
        <w:tc>
          <w:tcPr>
            <w:tcW w:w="533" w:type="dxa"/>
            <w:tcBorders>
              <w:top w:val="nil"/>
              <w:left w:val="single" w:color="000000" w:sz="8" w:space="0"/>
              <w:bottom w:val="single" w:color="000000" w:sz="8" w:space="0"/>
              <w:right w:val="single" w:color="000000" w:sz="8" w:space="0"/>
            </w:tcBorders>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w:t>
            </w:r>
          </w:p>
        </w:tc>
        <w:tc>
          <w:tcPr>
            <w:tcW w:w="1578" w:type="dxa"/>
            <w:tcBorders>
              <w:top w:val="nil"/>
              <w:left w:val="nil"/>
              <w:bottom w:val="single" w:color="000000" w:sz="8" w:space="0"/>
              <w:right w:val="single" w:color="000000" w:sz="8" w:space="0"/>
            </w:tcBorders>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非物质文化遗产保护</w:t>
            </w:r>
          </w:p>
        </w:tc>
        <w:tc>
          <w:tcPr>
            <w:tcW w:w="4289" w:type="dxa"/>
            <w:tcBorders>
              <w:top w:val="nil"/>
              <w:left w:val="nil"/>
              <w:bottom w:val="single" w:color="000000" w:sz="8" w:space="0"/>
              <w:right w:val="single" w:color="000000" w:sz="8" w:space="0"/>
            </w:tcBorders>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充分了解本地区非物质文化遗产的种类、数量和分布情况，总结现状存在问题，建立和完善本地区为物质文化遗产名录体系。</w:t>
            </w:r>
          </w:p>
        </w:tc>
        <w:tc>
          <w:tcPr>
            <w:tcW w:w="1100" w:type="dxa"/>
            <w:tcBorders>
              <w:top w:val="nil"/>
              <w:left w:val="nil"/>
              <w:bottom w:val="single" w:color="000000" w:sz="8" w:space="0"/>
              <w:right w:val="single" w:color="000000" w:sz="8" w:space="0"/>
            </w:tcBorders>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县文体局</w:t>
            </w:r>
          </w:p>
        </w:tc>
        <w:tc>
          <w:tcPr>
            <w:tcW w:w="566" w:type="dxa"/>
            <w:tcBorders>
              <w:top w:val="nil"/>
              <w:left w:val="nil"/>
              <w:bottom w:val="single" w:color="000000" w:sz="8" w:space="0"/>
              <w:right w:val="single" w:color="000000" w:sz="8" w:space="0"/>
            </w:tcBorders>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提升项</w:t>
            </w:r>
          </w:p>
        </w:tc>
        <w:tc>
          <w:tcPr>
            <w:tcW w:w="756" w:type="dxa"/>
            <w:tcBorders>
              <w:top w:val="nil"/>
              <w:left w:val="nil"/>
              <w:bottom w:val="single" w:color="000000" w:sz="8" w:space="0"/>
              <w:right w:val="single" w:color="000000" w:sz="8" w:space="0"/>
            </w:tcBorders>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28</w:t>
            </w:r>
          </w:p>
        </w:tc>
        <w:tc>
          <w:tcPr>
            <w:tcW w:w="733" w:type="dxa"/>
            <w:tcBorders>
              <w:top w:val="nil"/>
              <w:left w:val="nil"/>
              <w:bottom w:val="single" w:color="000000" w:sz="8" w:space="0"/>
              <w:right w:val="single" w:color="000000" w:sz="8" w:space="0"/>
            </w:tcBorders>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远期</w:t>
            </w:r>
          </w:p>
        </w:tc>
      </w:tr>
    </w:tbl>
    <w:p>
      <w:pPr>
        <w:rPr>
          <w:rFonts w:ascii="Times New Roman" w:hAnsi="Times New Roman"/>
          <w:color w:val="auto"/>
          <w:highlight w:val="none"/>
        </w:rPr>
        <w:sectPr>
          <w:pgSz w:w="11906" w:h="16838"/>
          <w:pgMar w:top="1440" w:right="1800" w:bottom="1440" w:left="1800" w:header="851" w:footer="992" w:gutter="0"/>
          <w:pgNumType w:fmt="numberInDash"/>
          <w:cols w:space="425" w:num="1"/>
          <w:docGrid w:type="lines" w:linePitch="312" w:charSpace="0"/>
        </w:sectPr>
      </w:pPr>
    </w:p>
    <w:p>
      <w:pPr>
        <w:pStyle w:val="4"/>
        <w:rPr>
          <w:rFonts w:ascii="Times New Roman" w:hAnsi="Times New Roman" w:eastAsia="宋体"/>
          <w:color w:val="auto"/>
          <w:highlight w:val="none"/>
        </w:rPr>
      </w:pPr>
      <w:bookmarkStart w:id="268" w:name="_Toc25306"/>
      <w:bookmarkStart w:id="269" w:name="_Toc19334"/>
      <w:bookmarkStart w:id="270" w:name="_Toc15113"/>
      <w:bookmarkStart w:id="271" w:name="_Toc1638"/>
      <w:bookmarkStart w:id="272" w:name="_Toc11792"/>
      <w:bookmarkStart w:id="273" w:name="_Toc18818"/>
      <w:r>
        <w:rPr>
          <w:rFonts w:ascii="Times New Roman" w:hAnsi="Times New Roman" w:eastAsia="宋体"/>
          <w:color w:val="auto"/>
          <w:highlight w:val="none"/>
        </w:rPr>
        <w:t>附表二：海丰县创建广东省园林县城工作费用估算表</w:t>
      </w:r>
      <w:bookmarkEnd w:id="268"/>
      <w:bookmarkEnd w:id="269"/>
      <w:bookmarkEnd w:id="270"/>
      <w:bookmarkEnd w:id="271"/>
      <w:bookmarkEnd w:id="272"/>
      <w:bookmarkEnd w:id="273"/>
    </w:p>
    <w:tbl>
      <w:tblPr>
        <w:tblStyle w:val="20"/>
        <w:tblW w:w="13941" w:type="dxa"/>
        <w:jc w:val="center"/>
        <w:shd w:val="clear" w:color="auto" w:fill="auto"/>
        <w:tblLayout w:type="fixed"/>
        <w:tblCellMar>
          <w:top w:w="0" w:type="dxa"/>
          <w:left w:w="0" w:type="dxa"/>
          <w:bottom w:w="0" w:type="dxa"/>
          <w:right w:w="0" w:type="dxa"/>
        </w:tblCellMar>
      </w:tblPr>
      <w:tblGrid>
        <w:gridCol w:w="471"/>
        <w:gridCol w:w="653"/>
        <w:gridCol w:w="1038"/>
        <w:gridCol w:w="1793"/>
        <w:gridCol w:w="5277"/>
        <w:gridCol w:w="1501"/>
        <w:gridCol w:w="1500"/>
        <w:gridCol w:w="1708"/>
      </w:tblGrid>
      <w:tr>
        <w:tblPrEx>
          <w:tblCellMar>
            <w:top w:w="0" w:type="dxa"/>
            <w:left w:w="0" w:type="dxa"/>
            <w:bottom w:w="0" w:type="dxa"/>
            <w:right w:w="0" w:type="dxa"/>
          </w:tblCellMar>
        </w:tblPrEx>
        <w:trPr>
          <w:trHeight w:val="285" w:hRule="atLeast"/>
          <w:tblHeader/>
          <w:jc w:val="center"/>
        </w:trPr>
        <w:tc>
          <w:tcPr>
            <w:tcW w:w="471"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24"/>
                <w:szCs w:val="24"/>
                <w:u w:val="none"/>
              </w:rPr>
            </w:pPr>
            <w:r>
              <w:rPr>
                <w:rFonts w:hint="eastAsia" w:ascii="宋体" w:hAnsi="宋体" w:eastAsia="宋体" w:cs="宋体"/>
                <w:b/>
                <w:i w:val="0"/>
                <w:color w:val="auto"/>
                <w:kern w:val="0"/>
                <w:sz w:val="24"/>
                <w:szCs w:val="24"/>
                <w:u w:val="none"/>
                <w:lang w:val="en-US" w:eastAsia="zh-CN" w:bidi="ar"/>
              </w:rPr>
              <w:t>序号</w:t>
            </w:r>
          </w:p>
        </w:tc>
        <w:tc>
          <w:tcPr>
            <w:tcW w:w="653"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24"/>
                <w:szCs w:val="24"/>
                <w:u w:val="none"/>
              </w:rPr>
            </w:pPr>
            <w:r>
              <w:rPr>
                <w:rFonts w:hint="eastAsia" w:ascii="宋体" w:hAnsi="宋体" w:eastAsia="宋体" w:cs="宋体"/>
                <w:b/>
                <w:i w:val="0"/>
                <w:color w:val="auto"/>
                <w:kern w:val="0"/>
                <w:sz w:val="24"/>
                <w:szCs w:val="24"/>
                <w:u w:val="none"/>
                <w:lang w:val="en-US" w:eastAsia="zh-CN" w:bidi="ar"/>
              </w:rPr>
              <w:t>项目类型</w:t>
            </w:r>
          </w:p>
        </w:tc>
        <w:tc>
          <w:tcPr>
            <w:tcW w:w="2831" w:type="dxa"/>
            <w:gridSpan w:val="2"/>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24"/>
                <w:szCs w:val="24"/>
                <w:u w:val="none"/>
              </w:rPr>
            </w:pPr>
            <w:r>
              <w:rPr>
                <w:rFonts w:hint="eastAsia" w:ascii="宋体" w:hAnsi="宋体" w:eastAsia="宋体" w:cs="宋体"/>
                <w:b/>
                <w:i w:val="0"/>
                <w:color w:val="auto"/>
                <w:kern w:val="0"/>
                <w:sz w:val="24"/>
                <w:szCs w:val="24"/>
                <w:u w:val="none"/>
                <w:lang w:val="en-US" w:eastAsia="zh-CN" w:bidi="ar"/>
              </w:rPr>
              <w:t>项目名称</w:t>
            </w:r>
          </w:p>
        </w:tc>
        <w:tc>
          <w:tcPr>
            <w:tcW w:w="5277"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24"/>
                <w:szCs w:val="24"/>
                <w:u w:val="none"/>
              </w:rPr>
            </w:pPr>
            <w:r>
              <w:rPr>
                <w:rFonts w:hint="eastAsia" w:ascii="宋体" w:hAnsi="宋体" w:eastAsia="宋体" w:cs="宋体"/>
                <w:b/>
                <w:i w:val="0"/>
                <w:color w:val="auto"/>
                <w:kern w:val="0"/>
                <w:sz w:val="24"/>
                <w:szCs w:val="24"/>
                <w:u w:val="none"/>
                <w:lang w:val="en-US" w:eastAsia="zh-CN" w:bidi="ar"/>
              </w:rPr>
              <w:t>计量</w:t>
            </w:r>
          </w:p>
        </w:tc>
        <w:tc>
          <w:tcPr>
            <w:tcW w:w="3001"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auto"/>
                <w:sz w:val="24"/>
                <w:szCs w:val="24"/>
                <w:u w:val="none"/>
              </w:rPr>
            </w:pPr>
            <w:r>
              <w:rPr>
                <w:rFonts w:hint="eastAsia" w:ascii="宋体" w:hAnsi="宋体" w:eastAsia="宋体" w:cs="宋体"/>
                <w:b/>
                <w:i w:val="0"/>
                <w:color w:val="auto"/>
                <w:kern w:val="0"/>
                <w:sz w:val="24"/>
                <w:szCs w:val="24"/>
                <w:u w:val="none"/>
                <w:lang w:val="en-US" w:eastAsia="zh-CN" w:bidi="ar"/>
              </w:rPr>
              <w:t>预算费用（万元）</w:t>
            </w:r>
          </w:p>
        </w:tc>
        <w:tc>
          <w:tcPr>
            <w:tcW w:w="1708"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b/>
                <w:i w:val="0"/>
                <w:color w:val="auto"/>
                <w:sz w:val="24"/>
                <w:szCs w:val="24"/>
                <w:u w:val="none"/>
                <w:lang w:val="en-US"/>
              </w:rPr>
            </w:pPr>
            <w:r>
              <w:rPr>
                <w:rFonts w:hint="eastAsia" w:ascii="宋体" w:hAnsi="宋体" w:cs="宋体"/>
                <w:b/>
                <w:i w:val="0"/>
                <w:color w:val="auto"/>
                <w:kern w:val="0"/>
                <w:sz w:val="24"/>
                <w:szCs w:val="24"/>
                <w:u w:val="none"/>
                <w:lang w:val="en-US" w:eastAsia="zh-CN" w:bidi="ar"/>
              </w:rPr>
              <w:t>完成时间</w:t>
            </w:r>
          </w:p>
        </w:tc>
      </w:tr>
      <w:tr>
        <w:tblPrEx>
          <w:shd w:val="clear" w:color="auto" w:fill="auto"/>
          <w:tblCellMar>
            <w:top w:w="0" w:type="dxa"/>
            <w:left w:w="0" w:type="dxa"/>
            <w:bottom w:w="0" w:type="dxa"/>
            <w:right w:w="0" w:type="dxa"/>
          </w:tblCellMar>
        </w:tblPrEx>
        <w:trPr>
          <w:trHeight w:val="270" w:hRule="atLeast"/>
          <w:tblHeader/>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default" w:ascii="Times New Roman" w:hAnsi="Times New Roman" w:eastAsia="宋体" w:cs="Times New Roman"/>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default" w:ascii="Times New Roman" w:hAnsi="Times New Roman" w:eastAsia="宋体" w:cs="Times New Roman"/>
                <w:b/>
                <w:i w:val="0"/>
                <w:color w:val="auto"/>
                <w:sz w:val="24"/>
                <w:szCs w:val="24"/>
                <w:u w:val="none"/>
              </w:rPr>
            </w:pPr>
          </w:p>
        </w:tc>
        <w:tc>
          <w:tcPr>
            <w:tcW w:w="2831"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default" w:ascii="Times New Roman" w:hAnsi="Times New Roman" w:eastAsia="宋体" w:cs="Times New Roman"/>
                <w:b/>
                <w:i w:val="0"/>
                <w:color w:val="auto"/>
                <w:sz w:val="24"/>
                <w:szCs w:val="24"/>
                <w:u w:val="none"/>
              </w:rPr>
            </w:pPr>
          </w:p>
        </w:tc>
        <w:tc>
          <w:tcPr>
            <w:tcW w:w="5277"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default" w:ascii="Times New Roman" w:hAnsi="Times New Roman" w:eastAsia="宋体" w:cs="Times New Roman"/>
                <w:b/>
                <w:i w:val="0"/>
                <w:color w:val="auto"/>
                <w:sz w:val="24"/>
                <w:szCs w:val="24"/>
                <w:u w:val="none"/>
              </w:rPr>
            </w:pPr>
          </w:p>
        </w:tc>
        <w:tc>
          <w:tcPr>
            <w:tcW w:w="150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24"/>
                <w:szCs w:val="24"/>
                <w:u w:val="none"/>
              </w:rPr>
            </w:pPr>
            <w:r>
              <w:rPr>
                <w:rFonts w:hint="eastAsia" w:ascii="宋体" w:hAnsi="宋体" w:eastAsia="宋体" w:cs="宋体"/>
                <w:b/>
                <w:i w:val="0"/>
                <w:color w:val="auto"/>
                <w:kern w:val="0"/>
                <w:sz w:val="24"/>
                <w:szCs w:val="24"/>
                <w:u w:val="none"/>
                <w:lang w:val="en-US" w:eastAsia="zh-CN" w:bidi="ar"/>
              </w:rPr>
              <w:t>总费用</w:t>
            </w:r>
          </w:p>
        </w:tc>
        <w:tc>
          <w:tcPr>
            <w:tcW w:w="15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24"/>
                <w:szCs w:val="24"/>
                <w:u w:val="none"/>
              </w:rPr>
            </w:pPr>
            <w:r>
              <w:rPr>
                <w:rFonts w:hint="eastAsia" w:ascii="宋体" w:hAnsi="宋体" w:eastAsia="宋体" w:cs="宋体"/>
                <w:b/>
                <w:i w:val="0"/>
                <w:color w:val="auto"/>
                <w:kern w:val="0"/>
                <w:sz w:val="24"/>
                <w:szCs w:val="24"/>
                <w:u w:val="none"/>
                <w:lang w:val="en-US" w:eastAsia="zh-CN" w:bidi="ar"/>
              </w:rPr>
              <w:t>首次投入</w:t>
            </w:r>
          </w:p>
        </w:tc>
        <w:tc>
          <w:tcPr>
            <w:tcW w:w="1708"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pPr>
              <w:jc w:val="center"/>
              <w:rPr>
                <w:rFonts w:hint="default" w:ascii="Times New Roman" w:hAnsi="Times New Roman" w:eastAsia="宋体" w:cs="Times New Roman"/>
                <w:b/>
                <w:i w:val="0"/>
                <w:color w:val="auto"/>
                <w:sz w:val="24"/>
                <w:szCs w:val="24"/>
                <w:u w:val="none"/>
              </w:rPr>
            </w:pPr>
          </w:p>
        </w:tc>
      </w:tr>
      <w:tr>
        <w:tblPrEx>
          <w:shd w:val="clear" w:color="auto" w:fill="auto"/>
          <w:tblCellMar>
            <w:top w:w="0" w:type="dxa"/>
            <w:left w:w="0" w:type="dxa"/>
            <w:bottom w:w="0" w:type="dxa"/>
            <w:right w:w="0" w:type="dxa"/>
          </w:tblCellMar>
        </w:tblPrEx>
        <w:trPr>
          <w:trHeight w:val="57" w:hRule="atLeast"/>
          <w:jc w:val="center"/>
        </w:trPr>
        <w:tc>
          <w:tcPr>
            <w:tcW w:w="471"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auto"/>
                <w:sz w:val="24"/>
                <w:szCs w:val="24"/>
                <w:u w:val="none"/>
              </w:rPr>
            </w:pPr>
            <w:r>
              <w:rPr>
                <w:rFonts w:hint="eastAsia" w:ascii="宋体" w:hAnsi="宋体" w:eastAsia="宋体" w:cs="宋体"/>
                <w:b/>
                <w:i w:val="0"/>
                <w:color w:val="auto"/>
                <w:kern w:val="0"/>
                <w:sz w:val="24"/>
                <w:szCs w:val="24"/>
                <w:u w:val="none"/>
                <w:lang w:val="en-US" w:eastAsia="zh-CN" w:bidi="ar"/>
              </w:rPr>
              <w:t>一</w:t>
            </w:r>
          </w:p>
        </w:tc>
        <w:tc>
          <w:tcPr>
            <w:tcW w:w="653"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auto"/>
                <w:sz w:val="24"/>
                <w:szCs w:val="24"/>
                <w:u w:val="none"/>
              </w:rPr>
            </w:pPr>
            <w:r>
              <w:rPr>
                <w:rFonts w:hint="eastAsia" w:ascii="宋体" w:hAnsi="宋体" w:eastAsia="宋体" w:cs="宋体"/>
                <w:b/>
                <w:i w:val="0"/>
                <w:color w:val="auto"/>
                <w:kern w:val="0"/>
                <w:sz w:val="24"/>
                <w:szCs w:val="24"/>
                <w:u w:val="none"/>
                <w:lang w:val="en-US" w:eastAsia="zh-CN" w:bidi="ar"/>
              </w:rPr>
              <w:t>建设工程费用</w:t>
            </w:r>
          </w:p>
        </w:tc>
        <w:tc>
          <w:tcPr>
            <w:tcW w:w="1038"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Style w:val="39"/>
                <w:color w:val="auto"/>
                <w:lang w:val="en-US" w:eastAsia="zh-CN" w:bidi="ar"/>
              </w:rPr>
              <w:t>公园改造</w:t>
            </w:r>
          </w:p>
        </w:tc>
        <w:tc>
          <w:tcPr>
            <w:tcW w:w="17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2"/>
                <w:szCs w:val="22"/>
                <w:u w:val="none"/>
              </w:rPr>
            </w:pPr>
            <w:r>
              <w:rPr>
                <w:rFonts w:hint="eastAsia" w:ascii="宋体" w:hAnsi="宋体" w:eastAsia="宋体" w:cs="宋体"/>
                <w:i w:val="0"/>
                <w:color w:val="auto"/>
                <w:kern w:val="0"/>
                <w:sz w:val="22"/>
                <w:szCs w:val="22"/>
                <w:u w:val="none"/>
                <w:lang w:val="en-US" w:eastAsia="zh-CN" w:bidi="ar"/>
              </w:rPr>
              <w:t>龙舌埔公园</w:t>
            </w:r>
          </w:p>
        </w:tc>
        <w:tc>
          <w:tcPr>
            <w:tcW w:w="52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u w:val="none"/>
                <w:lang w:bidi="ar"/>
              </w:rPr>
            </w:pPr>
            <w:r>
              <w:rPr>
                <w:rStyle w:val="22"/>
                <w:color w:val="auto"/>
                <w:kern w:val="0"/>
                <w:sz w:val="22"/>
                <w:szCs w:val="22"/>
                <w:lang w:val="en-US" w:eastAsia="zh-CN" w:bidi="ar"/>
              </w:rPr>
              <w:t>微改造</w:t>
            </w:r>
          </w:p>
        </w:tc>
        <w:tc>
          <w:tcPr>
            <w:tcW w:w="150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50</w:t>
            </w: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50</w:t>
            </w:r>
          </w:p>
        </w:tc>
        <w:tc>
          <w:tcPr>
            <w:tcW w:w="17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2021</w:t>
            </w:r>
            <w:r>
              <w:rPr>
                <w:rStyle w:val="39"/>
                <w:color w:val="auto"/>
                <w:lang w:val="en-US" w:eastAsia="zh-CN" w:bidi="ar"/>
              </w:rPr>
              <w:t>年</w:t>
            </w:r>
            <w:r>
              <w:rPr>
                <w:rFonts w:hint="default" w:ascii="Times New Roman" w:hAnsi="Times New Roman" w:eastAsia="宋体" w:cs="Times New Roman"/>
                <w:i w:val="0"/>
                <w:color w:val="auto"/>
                <w:kern w:val="0"/>
                <w:sz w:val="24"/>
                <w:szCs w:val="24"/>
                <w:u w:val="none"/>
                <w:lang w:val="en-US" w:eastAsia="zh-CN" w:bidi="ar"/>
              </w:rPr>
              <w:t>9</w:t>
            </w:r>
            <w:r>
              <w:rPr>
                <w:rStyle w:val="39"/>
                <w:color w:val="auto"/>
                <w:lang w:val="en-US" w:eastAsia="zh-CN" w:bidi="ar"/>
              </w:rPr>
              <w:t>月</w:t>
            </w:r>
          </w:p>
        </w:tc>
      </w:tr>
      <w:tr>
        <w:tblPrEx>
          <w:shd w:val="clear" w:color="auto" w:fill="auto"/>
          <w:tblCellMar>
            <w:top w:w="0" w:type="dxa"/>
            <w:left w:w="0" w:type="dxa"/>
            <w:bottom w:w="0" w:type="dxa"/>
            <w:right w:w="0" w:type="dxa"/>
          </w:tblCellMar>
        </w:tblPrEx>
        <w:trPr>
          <w:trHeight w:val="57"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1038"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default" w:ascii="Times New Roman" w:hAnsi="Times New Roman" w:eastAsia="宋体" w:cs="Times New Roman"/>
                <w:i w:val="0"/>
                <w:color w:val="auto"/>
                <w:sz w:val="24"/>
                <w:szCs w:val="24"/>
                <w:u w:val="none"/>
              </w:rPr>
            </w:pPr>
          </w:p>
        </w:tc>
        <w:tc>
          <w:tcPr>
            <w:tcW w:w="17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2"/>
                <w:szCs w:val="22"/>
                <w:u w:val="none"/>
              </w:rPr>
            </w:pPr>
            <w:r>
              <w:rPr>
                <w:rFonts w:hint="eastAsia" w:ascii="宋体" w:hAnsi="宋体" w:eastAsia="宋体" w:cs="宋体"/>
                <w:i w:val="0"/>
                <w:color w:val="auto"/>
                <w:kern w:val="0"/>
                <w:sz w:val="22"/>
                <w:szCs w:val="22"/>
                <w:u w:val="none"/>
                <w:lang w:val="en-US" w:eastAsia="zh-CN" w:bidi="ar"/>
              </w:rPr>
              <w:t>铜钱山公园</w:t>
            </w:r>
          </w:p>
        </w:tc>
        <w:tc>
          <w:tcPr>
            <w:tcW w:w="52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u w:val="none"/>
                <w:lang w:bidi="ar"/>
              </w:rPr>
            </w:pPr>
            <w:r>
              <w:rPr>
                <w:rStyle w:val="22"/>
                <w:color w:val="auto"/>
                <w:kern w:val="0"/>
                <w:sz w:val="22"/>
                <w:szCs w:val="22"/>
                <w:lang w:val="en-US" w:eastAsia="zh-CN" w:bidi="ar"/>
              </w:rPr>
              <w:t>微改造</w:t>
            </w:r>
          </w:p>
        </w:tc>
        <w:tc>
          <w:tcPr>
            <w:tcW w:w="150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50</w:t>
            </w:r>
          </w:p>
        </w:tc>
        <w:tc>
          <w:tcPr>
            <w:tcW w:w="15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50</w:t>
            </w:r>
          </w:p>
        </w:tc>
        <w:tc>
          <w:tcPr>
            <w:tcW w:w="17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2021</w:t>
            </w:r>
            <w:r>
              <w:rPr>
                <w:rStyle w:val="39"/>
                <w:color w:val="auto"/>
                <w:lang w:val="en-US" w:eastAsia="zh-CN" w:bidi="ar"/>
              </w:rPr>
              <w:t>年</w:t>
            </w:r>
            <w:r>
              <w:rPr>
                <w:rFonts w:hint="default" w:ascii="Times New Roman" w:hAnsi="Times New Roman" w:eastAsia="宋体" w:cs="Times New Roman"/>
                <w:i w:val="0"/>
                <w:color w:val="auto"/>
                <w:kern w:val="0"/>
                <w:sz w:val="24"/>
                <w:szCs w:val="24"/>
                <w:u w:val="none"/>
                <w:lang w:val="en-US" w:eastAsia="zh-CN" w:bidi="ar"/>
              </w:rPr>
              <w:t>9</w:t>
            </w:r>
            <w:r>
              <w:rPr>
                <w:rStyle w:val="39"/>
                <w:color w:val="auto"/>
                <w:lang w:val="en-US" w:eastAsia="zh-CN" w:bidi="ar"/>
              </w:rPr>
              <w:t>月</w:t>
            </w:r>
          </w:p>
        </w:tc>
      </w:tr>
      <w:tr>
        <w:tblPrEx>
          <w:shd w:val="clear" w:color="auto" w:fill="auto"/>
          <w:tblCellMar>
            <w:top w:w="0" w:type="dxa"/>
            <w:left w:w="0" w:type="dxa"/>
            <w:bottom w:w="0" w:type="dxa"/>
            <w:right w:w="0" w:type="dxa"/>
          </w:tblCellMar>
        </w:tblPrEx>
        <w:trPr>
          <w:trHeight w:val="57"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1038"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default" w:ascii="Times New Roman" w:hAnsi="Times New Roman" w:eastAsia="宋体" w:cs="Times New Roman"/>
                <w:i w:val="0"/>
                <w:color w:val="auto"/>
                <w:sz w:val="24"/>
                <w:szCs w:val="24"/>
                <w:u w:val="none"/>
              </w:rPr>
            </w:pPr>
          </w:p>
        </w:tc>
        <w:tc>
          <w:tcPr>
            <w:tcW w:w="17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2"/>
                <w:szCs w:val="22"/>
                <w:u w:val="none"/>
              </w:rPr>
            </w:pPr>
            <w:r>
              <w:rPr>
                <w:rFonts w:hint="eastAsia" w:ascii="宋体" w:hAnsi="宋体" w:eastAsia="宋体" w:cs="宋体"/>
                <w:i w:val="0"/>
                <w:color w:val="auto"/>
                <w:kern w:val="0"/>
                <w:sz w:val="22"/>
                <w:szCs w:val="22"/>
                <w:u w:val="none"/>
                <w:lang w:val="en-US" w:eastAsia="zh-CN" w:bidi="ar"/>
              </w:rPr>
              <w:t>海丰县市民公园</w:t>
            </w: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改造新增</w:t>
            </w:r>
            <w:r>
              <w:rPr>
                <w:rFonts w:hint="default" w:ascii="Times New Roman" w:hAnsi="Times New Roman" w:eastAsia="宋体" w:cs="Times New Roman"/>
                <w:i w:val="0"/>
                <w:color w:val="auto"/>
                <w:kern w:val="0"/>
                <w:sz w:val="22"/>
                <w:szCs w:val="22"/>
                <w:u w:val="none"/>
                <w:lang w:val="en-US" w:eastAsia="zh-CN" w:bidi="ar"/>
              </w:rPr>
              <w:t>1.63</w:t>
            </w:r>
            <w:r>
              <w:rPr>
                <w:rFonts w:hint="eastAsia" w:ascii="宋体" w:hAnsi="宋体" w:eastAsia="宋体" w:cs="宋体"/>
                <w:i w:val="0"/>
                <w:color w:val="auto"/>
                <w:kern w:val="0"/>
                <w:sz w:val="22"/>
                <w:szCs w:val="22"/>
                <w:u w:val="none"/>
                <w:lang w:val="en-US" w:eastAsia="zh-CN" w:bidi="ar"/>
              </w:rPr>
              <w:t>公顷绿地</w:t>
            </w:r>
          </w:p>
        </w:tc>
        <w:tc>
          <w:tcPr>
            <w:tcW w:w="150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326</w:t>
            </w: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default" w:ascii="Times New Roman" w:hAnsi="Times New Roman" w:eastAsia="宋体" w:cs="Times New Roman"/>
                <w:i w:val="0"/>
                <w:color w:val="auto"/>
                <w:kern w:val="0"/>
                <w:sz w:val="22"/>
                <w:szCs w:val="22"/>
                <w:u w:val="none"/>
                <w:lang w:val="en-US" w:eastAsia="zh-CN" w:bidi="ar"/>
              </w:rPr>
              <w:t>65.73</w:t>
            </w:r>
          </w:p>
        </w:tc>
        <w:tc>
          <w:tcPr>
            <w:tcW w:w="17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2021</w:t>
            </w:r>
            <w:r>
              <w:rPr>
                <w:rStyle w:val="39"/>
                <w:color w:val="auto"/>
                <w:lang w:val="en-US" w:eastAsia="zh-CN" w:bidi="ar"/>
              </w:rPr>
              <w:t>年</w:t>
            </w:r>
            <w:r>
              <w:rPr>
                <w:rFonts w:hint="default" w:ascii="Times New Roman" w:hAnsi="Times New Roman" w:eastAsia="宋体" w:cs="Times New Roman"/>
                <w:i w:val="0"/>
                <w:color w:val="auto"/>
                <w:kern w:val="0"/>
                <w:sz w:val="24"/>
                <w:szCs w:val="24"/>
                <w:u w:val="none"/>
                <w:lang w:val="en-US" w:eastAsia="zh-CN" w:bidi="ar"/>
              </w:rPr>
              <w:t>9</w:t>
            </w:r>
            <w:r>
              <w:rPr>
                <w:rStyle w:val="39"/>
                <w:color w:val="auto"/>
                <w:lang w:val="en-US" w:eastAsia="zh-CN" w:bidi="ar"/>
              </w:rPr>
              <w:t>月</w:t>
            </w:r>
          </w:p>
        </w:tc>
      </w:tr>
      <w:tr>
        <w:tblPrEx>
          <w:shd w:val="clear" w:color="auto" w:fill="auto"/>
          <w:tblCellMar>
            <w:top w:w="0" w:type="dxa"/>
            <w:left w:w="0" w:type="dxa"/>
            <w:bottom w:w="0" w:type="dxa"/>
            <w:right w:w="0" w:type="dxa"/>
          </w:tblCellMar>
        </w:tblPrEx>
        <w:trPr>
          <w:trHeight w:val="57"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1038"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default" w:ascii="Times New Roman" w:hAnsi="Times New Roman" w:eastAsia="宋体" w:cs="Times New Roman"/>
                <w:i w:val="0"/>
                <w:color w:val="auto"/>
                <w:sz w:val="24"/>
                <w:szCs w:val="24"/>
                <w:u w:val="none"/>
              </w:rPr>
            </w:pPr>
          </w:p>
        </w:tc>
        <w:tc>
          <w:tcPr>
            <w:tcW w:w="17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2"/>
                <w:szCs w:val="22"/>
                <w:u w:val="none"/>
              </w:rPr>
            </w:pPr>
            <w:r>
              <w:rPr>
                <w:rFonts w:hint="eastAsia" w:ascii="宋体" w:hAnsi="宋体" w:eastAsia="宋体" w:cs="宋体"/>
                <w:i w:val="0"/>
                <w:color w:val="auto"/>
                <w:kern w:val="0"/>
                <w:sz w:val="22"/>
                <w:szCs w:val="22"/>
                <w:u w:val="none"/>
                <w:lang w:val="en-US" w:eastAsia="zh-CN" w:bidi="ar"/>
              </w:rPr>
              <w:t>东祥小游园</w:t>
            </w: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改造成为</w:t>
            </w:r>
            <w:r>
              <w:rPr>
                <w:rFonts w:hint="default" w:ascii="Times New Roman" w:hAnsi="Times New Roman" w:eastAsia="宋体" w:cs="Times New Roman"/>
                <w:i w:val="0"/>
                <w:color w:val="auto"/>
                <w:kern w:val="0"/>
                <w:sz w:val="22"/>
                <w:szCs w:val="22"/>
                <w:u w:val="none"/>
                <w:lang w:val="en-US" w:eastAsia="zh-CN" w:bidi="ar"/>
              </w:rPr>
              <w:t>0.28</w:t>
            </w:r>
            <w:r>
              <w:rPr>
                <w:rFonts w:hint="eastAsia" w:ascii="宋体" w:hAnsi="宋体" w:eastAsia="宋体" w:cs="宋体"/>
                <w:i w:val="0"/>
                <w:color w:val="auto"/>
                <w:kern w:val="0"/>
                <w:sz w:val="22"/>
                <w:szCs w:val="22"/>
                <w:u w:val="none"/>
                <w:lang w:val="en-US" w:eastAsia="zh-CN" w:bidi="ar"/>
              </w:rPr>
              <w:t>公顷的小游园</w:t>
            </w:r>
          </w:p>
        </w:tc>
        <w:tc>
          <w:tcPr>
            <w:tcW w:w="150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56.11</w:t>
            </w: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default" w:ascii="Times New Roman" w:hAnsi="Times New Roman" w:eastAsia="宋体" w:cs="Times New Roman"/>
                <w:i w:val="0"/>
                <w:color w:val="auto"/>
                <w:kern w:val="0"/>
                <w:sz w:val="22"/>
                <w:szCs w:val="22"/>
                <w:u w:val="none"/>
                <w:lang w:val="en-US" w:eastAsia="zh-CN" w:bidi="ar"/>
              </w:rPr>
              <w:t>28.055</w:t>
            </w:r>
          </w:p>
        </w:tc>
        <w:tc>
          <w:tcPr>
            <w:tcW w:w="17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2021</w:t>
            </w:r>
            <w:r>
              <w:rPr>
                <w:rStyle w:val="39"/>
                <w:color w:val="auto"/>
                <w:lang w:val="en-US" w:eastAsia="zh-CN" w:bidi="ar"/>
              </w:rPr>
              <w:t>年</w:t>
            </w:r>
            <w:r>
              <w:rPr>
                <w:rFonts w:hint="default" w:ascii="Times New Roman" w:hAnsi="Times New Roman" w:eastAsia="宋体" w:cs="Times New Roman"/>
                <w:i w:val="0"/>
                <w:color w:val="auto"/>
                <w:kern w:val="0"/>
                <w:sz w:val="24"/>
                <w:szCs w:val="24"/>
                <w:u w:val="none"/>
                <w:lang w:val="en-US" w:eastAsia="zh-CN" w:bidi="ar"/>
              </w:rPr>
              <w:t>9</w:t>
            </w:r>
            <w:r>
              <w:rPr>
                <w:rStyle w:val="39"/>
                <w:color w:val="auto"/>
                <w:lang w:val="en-US" w:eastAsia="zh-CN" w:bidi="ar"/>
              </w:rPr>
              <w:t>月</w:t>
            </w:r>
          </w:p>
        </w:tc>
      </w:tr>
      <w:tr>
        <w:tblPrEx>
          <w:shd w:val="clear" w:color="auto" w:fill="auto"/>
          <w:tblCellMar>
            <w:top w:w="0" w:type="dxa"/>
            <w:left w:w="0" w:type="dxa"/>
            <w:bottom w:w="0" w:type="dxa"/>
            <w:right w:w="0" w:type="dxa"/>
          </w:tblCellMar>
        </w:tblPrEx>
        <w:trPr>
          <w:trHeight w:val="57"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1038"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default" w:ascii="Times New Roman" w:hAnsi="Times New Roman" w:eastAsia="宋体" w:cs="Times New Roman"/>
                <w:i w:val="0"/>
                <w:color w:val="auto"/>
                <w:sz w:val="24"/>
                <w:szCs w:val="24"/>
                <w:u w:val="none"/>
              </w:rPr>
            </w:pPr>
          </w:p>
        </w:tc>
        <w:tc>
          <w:tcPr>
            <w:tcW w:w="17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2"/>
                <w:szCs w:val="22"/>
                <w:u w:val="none"/>
              </w:rPr>
            </w:pPr>
            <w:r>
              <w:rPr>
                <w:rFonts w:hint="eastAsia" w:ascii="宋体" w:hAnsi="宋体" w:eastAsia="宋体" w:cs="宋体"/>
                <w:i w:val="0"/>
                <w:color w:val="auto"/>
                <w:kern w:val="0"/>
                <w:sz w:val="22"/>
                <w:szCs w:val="22"/>
                <w:u w:val="none"/>
                <w:lang w:val="en-US" w:eastAsia="zh-CN" w:bidi="ar"/>
              </w:rPr>
              <w:t>龙津公园</w:t>
            </w: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改造成为</w:t>
            </w:r>
            <w:r>
              <w:rPr>
                <w:rFonts w:hint="default" w:ascii="Times New Roman" w:hAnsi="Times New Roman" w:eastAsia="宋体" w:cs="Times New Roman"/>
                <w:i w:val="0"/>
                <w:color w:val="auto"/>
                <w:kern w:val="0"/>
                <w:sz w:val="22"/>
                <w:szCs w:val="22"/>
                <w:u w:val="none"/>
                <w:lang w:val="en-US" w:eastAsia="zh-CN" w:bidi="ar"/>
              </w:rPr>
              <w:t>1.95</w:t>
            </w:r>
            <w:r>
              <w:rPr>
                <w:rFonts w:hint="eastAsia" w:ascii="宋体" w:hAnsi="宋体" w:eastAsia="宋体" w:cs="宋体"/>
                <w:i w:val="0"/>
                <w:color w:val="auto"/>
                <w:kern w:val="0"/>
                <w:sz w:val="22"/>
                <w:szCs w:val="22"/>
                <w:u w:val="none"/>
                <w:lang w:val="en-US" w:eastAsia="zh-CN" w:bidi="ar"/>
              </w:rPr>
              <w:t>公顷的社区公园</w:t>
            </w:r>
          </w:p>
        </w:tc>
        <w:tc>
          <w:tcPr>
            <w:tcW w:w="150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586.35</w:t>
            </w: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default" w:ascii="Times New Roman" w:hAnsi="Times New Roman" w:eastAsia="宋体" w:cs="Times New Roman"/>
                <w:i w:val="0"/>
                <w:color w:val="auto"/>
                <w:kern w:val="0"/>
                <w:sz w:val="22"/>
                <w:szCs w:val="22"/>
                <w:u w:val="none"/>
                <w:lang w:val="en-US" w:eastAsia="zh-CN" w:bidi="ar"/>
              </w:rPr>
              <w:t>78.64</w:t>
            </w:r>
          </w:p>
        </w:tc>
        <w:tc>
          <w:tcPr>
            <w:tcW w:w="17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2021</w:t>
            </w:r>
            <w:r>
              <w:rPr>
                <w:rStyle w:val="39"/>
                <w:color w:val="auto"/>
                <w:lang w:val="en-US" w:eastAsia="zh-CN" w:bidi="ar"/>
              </w:rPr>
              <w:t>年</w:t>
            </w:r>
            <w:r>
              <w:rPr>
                <w:rFonts w:hint="default" w:ascii="Times New Roman" w:hAnsi="Times New Roman" w:eastAsia="宋体" w:cs="Times New Roman"/>
                <w:i w:val="0"/>
                <w:color w:val="auto"/>
                <w:kern w:val="0"/>
                <w:sz w:val="24"/>
                <w:szCs w:val="24"/>
                <w:u w:val="none"/>
                <w:lang w:val="en-US" w:eastAsia="zh-CN" w:bidi="ar"/>
              </w:rPr>
              <w:t>9</w:t>
            </w:r>
            <w:r>
              <w:rPr>
                <w:rStyle w:val="39"/>
                <w:color w:val="auto"/>
                <w:lang w:val="en-US" w:eastAsia="zh-CN" w:bidi="ar"/>
              </w:rPr>
              <w:t>月</w:t>
            </w:r>
          </w:p>
        </w:tc>
      </w:tr>
      <w:tr>
        <w:tblPrEx>
          <w:shd w:val="clear" w:color="auto" w:fill="auto"/>
          <w:tblCellMar>
            <w:top w:w="0" w:type="dxa"/>
            <w:left w:w="0" w:type="dxa"/>
            <w:bottom w:w="0" w:type="dxa"/>
            <w:right w:w="0" w:type="dxa"/>
          </w:tblCellMar>
        </w:tblPrEx>
        <w:trPr>
          <w:trHeight w:val="57"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1038"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default" w:ascii="Times New Roman" w:hAnsi="Times New Roman" w:eastAsia="宋体" w:cs="Times New Roman"/>
                <w:i w:val="0"/>
                <w:color w:val="auto"/>
                <w:sz w:val="24"/>
                <w:szCs w:val="24"/>
                <w:u w:val="none"/>
              </w:rPr>
            </w:pPr>
          </w:p>
        </w:tc>
        <w:tc>
          <w:tcPr>
            <w:tcW w:w="17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2"/>
                <w:szCs w:val="22"/>
                <w:u w:val="none"/>
              </w:rPr>
            </w:pPr>
            <w:r>
              <w:rPr>
                <w:rFonts w:hint="eastAsia" w:ascii="宋体" w:hAnsi="宋体" w:eastAsia="宋体" w:cs="宋体"/>
                <w:i w:val="0"/>
                <w:color w:val="auto"/>
                <w:kern w:val="0"/>
                <w:sz w:val="22"/>
                <w:szCs w:val="22"/>
                <w:u w:val="none"/>
                <w:lang w:val="en-US" w:eastAsia="zh-CN" w:bidi="ar"/>
              </w:rPr>
              <w:t>城东公园</w:t>
            </w: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Style w:val="39"/>
                <w:color w:val="auto"/>
                <w:lang w:val="en-US" w:eastAsia="zh-CN" w:bidi="ar"/>
              </w:rPr>
              <w:t>新建</w:t>
            </w:r>
            <w:r>
              <w:rPr>
                <w:rFonts w:hint="default" w:ascii="Times New Roman" w:hAnsi="Times New Roman" w:eastAsia="宋体" w:cs="Times New Roman"/>
                <w:i w:val="0"/>
                <w:color w:val="auto"/>
                <w:kern w:val="0"/>
                <w:sz w:val="24"/>
                <w:szCs w:val="24"/>
                <w:u w:val="none"/>
                <w:lang w:val="en-US" w:eastAsia="zh-CN" w:bidi="ar"/>
              </w:rPr>
              <w:t>3.00</w:t>
            </w:r>
            <w:r>
              <w:rPr>
                <w:rStyle w:val="39"/>
                <w:color w:val="auto"/>
                <w:lang w:val="en-US" w:eastAsia="zh-CN" w:bidi="ar"/>
              </w:rPr>
              <w:t>公顷社区公园</w:t>
            </w:r>
          </w:p>
        </w:tc>
        <w:tc>
          <w:tcPr>
            <w:tcW w:w="150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900</w:t>
            </w: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default" w:ascii="Times New Roman" w:hAnsi="Times New Roman" w:eastAsia="宋体" w:cs="Times New Roman"/>
                <w:i w:val="0"/>
                <w:color w:val="auto"/>
                <w:kern w:val="0"/>
                <w:sz w:val="22"/>
                <w:szCs w:val="22"/>
                <w:u w:val="none"/>
                <w:lang w:val="en-US" w:eastAsia="zh-CN" w:bidi="ar"/>
              </w:rPr>
              <w:t>120.98</w:t>
            </w:r>
          </w:p>
        </w:tc>
        <w:tc>
          <w:tcPr>
            <w:tcW w:w="17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2021</w:t>
            </w:r>
            <w:r>
              <w:rPr>
                <w:rStyle w:val="39"/>
                <w:color w:val="auto"/>
                <w:lang w:val="en-US" w:eastAsia="zh-CN" w:bidi="ar"/>
              </w:rPr>
              <w:t>年</w:t>
            </w:r>
            <w:r>
              <w:rPr>
                <w:rFonts w:hint="default" w:ascii="Times New Roman" w:hAnsi="Times New Roman" w:eastAsia="宋体" w:cs="Times New Roman"/>
                <w:i w:val="0"/>
                <w:color w:val="auto"/>
                <w:kern w:val="0"/>
                <w:sz w:val="24"/>
                <w:szCs w:val="24"/>
                <w:u w:val="none"/>
                <w:lang w:val="en-US" w:eastAsia="zh-CN" w:bidi="ar"/>
              </w:rPr>
              <w:t>9</w:t>
            </w:r>
            <w:r>
              <w:rPr>
                <w:rStyle w:val="39"/>
                <w:color w:val="auto"/>
                <w:lang w:val="en-US" w:eastAsia="zh-CN" w:bidi="ar"/>
              </w:rPr>
              <w:t>月</w:t>
            </w:r>
          </w:p>
        </w:tc>
      </w:tr>
      <w:tr>
        <w:tblPrEx>
          <w:shd w:val="clear" w:color="auto" w:fill="auto"/>
          <w:tblCellMar>
            <w:top w:w="0" w:type="dxa"/>
            <w:left w:w="0" w:type="dxa"/>
            <w:bottom w:w="0" w:type="dxa"/>
            <w:right w:w="0" w:type="dxa"/>
          </w:tblCellMar>
        </w:tblPrEx>
        <w:trPr>
          <w:trHeight w:val="57"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1038"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default" w:ascii="Times New Roman" w:hAnsi="Times New Roman" w:eastAsia="宋体" w:cs="Times New Roman"/>
                <w:i w:val="0"/>
                <w:color w:val="auto"/>
                <w:sz w:val="24"/>
                <w:szCs w:val="24"/>
                <w:u w:val="none"/>
              </w:rPr>
            </w:pPr>
          </w:p>
        </w:tc>
        <w:tc>
          <w:tcPr>
            <w:tcW w:w="17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2"/>
                <w:szCs w:val="22"/>
                <w:u w:val="none"/>
              </w:rPr>
            </w:pPr>
            <w:r>
              <w:rPr>
                <w:rFonts w:hint="eastAsia" w:ascii="宋体" w:hAnsi="宋体" w:eastAsia="宋体" w:cs="宋体"/>
                <w:i w:val="0"/>
                <w:color w:val="auto"/>
                <w:kern w:val="0"/>
                <w:sz w:val="22"/>
                <w:szCs w:val="22"/>
                <w:u w:val="none"/>
                <w:lang w:val="en-US" w:eastAsia="zh-CN" w:bidi="ar"/>
              </w:rPr>
              <w:t>人民公园</w:t>
            </w: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改造成为</w:t>
            </w:r>
            <w:r>
              <w:rPr>
                <w:rFonts w:hint="default" w:ascii="Times New Roman" w:hAnsi="Times New Roman" w:eastAsia="宋体" w:cs="Times New Roman"/>
                <w:i w:val="0"/>
                <w:color w:val="auto"/>
                <w:kern w:val="0"/>
                <w:sz w:val="22"/>
                <w:szCs w:val="22"/>
                <w:u w:val="none"/>
                <w:lang w:val="en-US" w:eastAsia="zh-CN" w:bidi="ar"/>
              </w:rPr>
              <w:t>3.48</w:t>
            </w:r>
            <w:r>
              <w:rPr>
                <w:rFonts w:hint="eastAsia" w:ascii="宋体" w:hAnsi="宋体" w:eastAsia="宋体" w:cs="宋体"/>
                <w:i w:val="0"/>
                <w:color w:val="auto"/>
                <w:kern w:val="0"/>
                <w:sz w:val="22"/>
                <w:szCs w:val="22"/>
                <w:u w:val="none"/>
                <w:lang w:val="en-US" w:eastAsia="zh-CN" w:bidi="ar"/>
              </w:rPr>
              <w:t>公顷的社区公园</w:t>
            </w:r>
          </w:p>
        </w:tc>
        <w:tc>
          <w:tcPr>
            <w:tcW w:w="150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1044</w:t>
            </w: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default" w:ascii="Times New Roman" w:hAnsi="Times New Roman" w:eastAsia="宋体" w:cs="Times New Roman"/>
                <w:i w:val="0"/>
                <w:color w:val="auto"/>
                <w:kern w:val="0"/>
                <w:sz w:val="22"/>
                <w:szCs w:val="22"/>
                <w:u w:val="none"/>
                <w:lang w:val="en-US" w:eastAsia="zh-CN" w:bidi="ar"/>
              </w:rPr>
              <w:t>140.34</w:t>
            </w:r>
          </w:p>
        </w:tc>
        <w:tc>
          <w:tcPr>
            <w:tcW w:w="17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2021</w:t>
            </w:r>
            <w:r>
              <w:rPr>
                <w:rStyle w:val="39"/>
                <w:color w:val="auto"/>
                <w:lang w:val="en-US" w:eastAsia="zh-CN" w:bidi="ar"/>
              </w:rPr>
              <w:t>年</w:t>
            </w:r>
            <w:r>
              <w:rPr>
                <w:rFonts w:hint="default" w:ascii="Times New Roman" w:hAnsi="Times New Roman" w:eastAsia="宋体" w:cs="Times New Roman"/>
                <w:i w:val="0"/>
                <w:color w:val="auto"/>
                <w:kern w:val="0"/>
                <w:sz w:val="24"/>
                <w:szCs w:val="24"/>
                <w:u w:val="none"/>
                <w:lang w:val="en-US" w:eastAsia="zh-CN" w:bidi="ar"/>
              </w:rPr>
              <w:t>9</w:t>
            </w:r>
            <w:r>
              <w:rPr>
                <w:rStyle w:val="39"/>
                <w:color w:val="auto"/>
                <w:lang w:val="en-US" w:eastAsia="zh-CN" w:bidi="ar"/>
              </w:rPr>
              <w:t>月</w:t>
            </w:r>
          </w:p>
        </w:tc>
      </w:tr>
      <w:tr>
        <w:tblPrEx>
          <w:shd w:val="clear" w:color="auto" w:fill="auto"/>
          <w:tblCellMar>
            <w:top w:w="0" w:type="dxa"/>
            <w:left w:w="0" w:type="dxa"/>
            <w:bottom w:w="0" w:type="dxa"/>
            <w:right w:w="0" w:type="dxa"/>
          </w:tblCellMar>
        </w:tblPrEx>
        <w:trPr>
          <w:trHeight w:val="57"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1038"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default" w:ascii="Times New Roman" w:hAnsi="Times New Roman" w:eastAsia="宋体" w:cs="Times New Roman"/>
                <w:i w:val="0"/>
                <w:color w:val="auto"/>
                <w:sz w:val="24"/>
                <w:szCs w:val="24"/>
                <w:u w:val="none"/>
              </w:rPr>
            </w:pPr>
          </w:p>
        </w:tc>
        <w:tc>
          <w:tcPr>
            <w:tcW w:w="17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2"/>
                <w:szCs w:val="22"/>
                <w:u w:val="none"/>
              </w:rPr>
            </w:pPr>
            <w:r>
              <w:rPr>
                <w:rFonts w:hint="eastAsia" w:ascii="宋体" w:hAnsi="宋体" w:eastAsia="宋体" w:cs="宋体"/>
                <w:i w:val="0"/>
                <w:color w:val="auto"/>
                <w:kern w:val="0"/>
                <w:sz w:val="22"/>
                <w:szCs w:val="22"/>
                <w:u w:val="none"/>
                <w:lang w:val="en-US" w:eastAsia="zh-CN" w:bidi="ar"/>
              </w:rPr>
              <w:t>彭厝围公园</w:t>
            </w: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改造成为</w:t>
            </w:r>
            <w:r>
              <w:rPr>
                <w:rFonts w:hint="default" w:ascii="Times New Roman" w:hAnsi="Times New Roman" w:eastAsia="宋体" w:cs="Times New Roman"/>
                <w:i w:val="0"/>
                <w:color w:val="auto"/>
                <w:kern w:val="0"/>
                <w:sz w:val="22"/>
                <w:szCs w:val="22"/>
                <w:u w:val="none"/>
                <w:lang w:val="en-US" w:eastAsia="zh-CN" w:bidi="ar"/>
              </w:rPr>
              <w:t>2.76</w:t>
            </w:r>
            <w:r>
              <w:rPr>
                <w:rFonts w:hint="eastAsia" w:ascii="宋体" w:hAnsi="宋体" w:eastAsia="宋体" w:cs="宋体"/>
                <w:i w:val="0"/>
                <w:color w:val="auto"/>
                <w:kern w:val="0"/>
                <w:sz w:val="22"/>
                <w:szCs w:val="22"/>
                <w:u w:val="none"/>
                <w:lang w:val="en-US" w:eastAsia="zh-CN" w:bidi="ar"/>
              </w:rPr>
              <w:t>公顷的社区公园</w:t>
            </w:r>
          </w:p>
        </w:tc>
        <w:tc>
          <w:tcPr>
            <w:tcW w:w="150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828</w:t>
            </w: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default" w:ascii="Times New Roman" w:hAnsi="Times New Roman" w:eastAsia="宋体" w:cs="Times New Roman"/>
                <w:i w:val="0"/>
                <w:color w:val="auto"/>
                <w:kern w:val="0"/>
                <w:sz w:val="22"/>
                <w:szCs w:val="22"/>
                <w:u w:val="none"/>
                <w:lang w:val="en-US" w:eastAsia="zh-CN" w:bidi="ar"/>
              </w:rPr>
              <w:t>111.31</w:t>
            </w:r>
          </w:p>
        </w:tc>
        <w:tc>
          <w:tcPr>
            <w:tcW w:w="17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2021</w:t>
            </w:r>
            <w:r>
              <w:rPr>
                <w:rStyle w:val="39"/>
                <w:color w:val="auto"/>
                <w:lang w:val="en-US" w:eastAsia="zh-CN" w:bidi="ar"/>
              </w:rPr>
              <w:t>年</w:t>
            </w:r>
            <w:r>
              <w:rPr>
                <w:rFonts w:hint="default" w:ascii="Times New Roman" w:hAnsi="Times New Roman" w:eastAsia="宋体" w:cs="Times New Roman"/>
                <w:i w:val="0"/>
                <w:color w:val="auto"/>
                <w:kern w:val="0"/>
                <w:sz w:val="24"/>
                <w:szCs w:val="24"/>
                <w:u w:val="none"/>
                <w:lang w:val="en-US" w:eastAsia="zh-CN" w:bidi="ar"/>
              </w:rPr>
              <w:t>9</w:t>
            </w:r>
            <w:r>
              <w:rPr>
                <w:rStyle w:val="39"/>
                <w:color w:val="auto"/>
                <w:lang w:val="en-US" w:eastAsia="zh-CN" w:bidi="ar"/>
              </w:rPr>
              <w:t>月</w:t>
            </w:r>
          </w:p>
        </w:tc>
      </w:tr>
      <w:tr>
        <w:tblPrEx>
          <w:shd w:val="clear" w:color="auto" w:fill="auto"/>
          <w:tblCellMar>
            <w:top w:w="0" w:type="dxa"/>
            <w:left w:w="0" w:type="dxa"/>
            <w:bottom w:w="0" w:type="dxa"/>
            <w:right w:w="0" w:type="dxa"/>
          </w:tblCellMar>
        </w:tblPrEx>
        <w:trPr>
          <w:trHeight w:val="57"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1038"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default" w:ascii="Times New Roman" w:hAnsi="Times New Roman" w:eastAsia="宋体" w:cs="Times New Roman"/>
                <w:i w:val="0"/>
                <w:color w:val="auto"/>
                <w:sz w:val="24"/>
                <w:szCs w:val="24"/>
                <w:u w:val="none"/>
              </w:rPr>
            </w:pPr>
          </w:p>
        </w:tc>
        <w:tc>
          <w:tcPr>
            <w:tcW w:w="17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2"/>
                <w:szCs w:val="22"/>
                <w:u w:val="none"/>
              </w:rPr>
            </w:pPr>
            <w:r>
              <w:rPr>
                <w:rFonts w:hint="eastAsia" w:ascii="宋体" w:hAnsi="宋体" w:eastAsia="宋体" w:cs="宋体"/>
                <w:i w:val="0"/>
                <w:color w:val="auto"/>
                <w:kern w:val="0"/>
                <w:sz w:val="22"/>
                <w:szCs w:val="22"/>
                <w:u w:val="none"/>
                <w:lang w:val="en-US" w:eastAsia="zh-CN" w:bidi="ar"/>
              </w:rPr>
              <w:t>广富公园</w:t>
            </w: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改造成为</w:t>
            </w:r>
            <w:r>
              <w:rPr>
                <w:rFonts w:hint="default" w:ascii="Times New Roman" w:hAnsi="Times New Roman" w:eastAsia="宋体" w:cs="Times New Roman"/>
                <w:i w:val="0"/>
                <w:color w:val="auto"/>
                <w:kern w:val="0"/>
                <w:sz w:val="22"/>
                <w:szCs w:val="22"/>
                <w:u w:val="none"/>
                <w:lang w:val="en-US" w:eastAsia="zh-CN" w:bidi="ar"/>
              </w:rPr>
              <w:t>3.01</w:t>
            </w:r>
            <w:r>
              <w:rPr>
                <w:rFonts w:hint="eastAsia" w:ascii="宋体" w:hAnsi="宋体" w:eastAsia="宋体" w:cs="宋体"/>
                <w:i w:val="0"/>
                <w:color w:val="auto"/>
                <w:kern w:val="0"/>
                <w:sz w:val="22"/>
                <w:szCs w:val="22"/>
                <w:u w:val="none"/>
                <w:lang w:val="en-US" w:eastAsia="zh-CN" w:bidi="ar"/>
              </w:rPr>
              <w:t>公顷的社区公园</w:t>
            </w:r>
          </w:p>
        </w:tc>
        <w:tc>
          <w:tcPr>
            <w:tcW w:w="150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903</w:t>
            </w: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default" w:ascii="Times New Roman" w:hAnsi="Times New Roman" w:eastAsia="宋体" w:cs="Times New Roman"/>
                <w:i w:val="0"/>
                <w:color w:val="auto"/>
                <w:kern w:val="0"/>
                <w:sz w:val="22"/>
                <w:szCs w:val="22"/>
                <w:u w:val="none"/>
                <w:lang w:val="en-US" w:eastAsia="zh-CN" w:bidi="ar"/>
              </w:rPr>
              <w:t>121.39</w:t>
            </w:r>
          </w:p>
        </w:tc>
        <w:tc>
          <w:tcPr>
            <w:tcW w:w="17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2021</w:t>
            </w:r>
            <w:r>
              <w:rPr>
                <w:rStyle w:val="39"/>
                <w:color w:val="auto"/>
                <w:lang w:val="en-US" w:eastAsia="zh-CN" w:bidi="ar"/>
              </w:rPr>
              <w:t>年</w:t>
            </w:r>
            <w:r>
              <w:rPr>
                <w:rFonts w:hint="default" w:ascii="Times New Roman" w:hAnsi="Times New Roman" w:eastAsia="宋体" w:cs="Times New Roman"/>
                <w:i w:val="0"/>
                <w:color w:val="auto"/>
                <w:kern w:val="0"/>
                <w:sz w:val="24"/>
                <w:szCs w:val="24"/>
                <w:u w:val="none"/>
                <w:lang w:val="en-US" w:eastAsia="zh-CN" w:bidi="ar"/>
              </w:rPr>
              <w:t>9</w:t>
            </w:r>
            <w:r>
              <w:rPr>
                <w:rStyle w:val="39"/>
                <w:color w:val="auto"/>
                <w:lang w:val="en-US" w:eastAsia="zh-CN" w:bidi="ar"/>
              </w:rPr>
              <w:t>月</w:t>
            </w:r>
          </w:p>
        </w:tc>
      </w:tr>
      <w:tr>
        <w:tblPrEx>
          <w:shd w:val="clear" w:color="auto" w:fill="auto"/>
          <w:tblCellMar>
            <w:top w:w="0" w:type="dxa"/>
            <w:left w:w="0" w:type="dxa"/>
            <w:bottom w:w="0" w:type="dxa"/>
            <w:right w:w="0" w:type="dxa"/>
          </w:tblCellMar>
        </w:tblPrEx>
        <w:trPr>
          <w:trHeight w:val="57"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1038"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default" w:ascii="Times New Roman" w:hAnsi="Times New Roman" w:eastAsia="宋体" w:cs="Times New Roman"/>
                <w:i w:val="0"/>
                <w:color w:val="auto"/>
                <w:sz w:val="24"/>
                <w:szCs w:val="24"/>
                <w:u w:val="none"/>
              </w:rPr>
            </w:pPr>
          </w:p>
        </w:tc>
        <w:tc>
          <w:tcPr>
            <w:tcW w:w="17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2"/>
                <w:szCs w:val="22"/>
                <w:u w:val="none"/>
              </w:rPr>
            </w:pPr>
            <w:r>
              <w:rPr>
                <w:rFonts w:hint="eastAsia" w:ascii="宋体" w:hAnsi="宋体" w:eastAsia="宋体" w:cs="宋体"/>
                <w:i w:val="0"/>
                <w:color w:val="auto"/>
                <w:kern w:val="0"/>
                <w:sz w:val="22"/>
                <w:szCs w:val="22"/>
                <w:u w:val="none"/>
                <w:lang w:val="en-US" w:eastAsia="zh-CN" w:bidi="ar"/>
              </w:rPr>
              <w:t>云岭后山公园</w:t>
            </w: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改造成为</w:t>
            </w:r>
            <w:r>
              <w:rPr>
                <w:rFonts w:hint="default" w:ascii="Times New Roman" w:hAnsi="Times New Roman" w:eastAsia="宋体" w:cs="Times New Roman"/>
                <w:i w:val="0"/>
                <w:color w:val="auto"/>
                <w:kern w:val="0"/>
                <w:sz w:val="22"/>
                <w:szCs w:val="22"/>
                <w:u w:val="none"/>
                <w:lang w:val="en-US" w:eastAsia="zh-CN" w:bidi="ar"/>
              </w:rPr>
              <w:t>2.47</w:t>
            </w:r>
            <w:r>
              <w:rPr>
                <w:rFonts w:hint="eastAsia" w:ascii="宋体" w:hAnsi="宋体" w:eastAsia="宋体" w:cs="宋体"/>
                <w:i w:val="0"/>
                <w:color w:val="auto"/>
                <w:kern w:val="0"/>
                <w:sz w:val="22"/>
                <w:szCs w:val="22"/>
                <w:u w:val="none"/>
                <w:lang w:val="en-US" w:eastAsia="zh-CN" w:bidi="ar"/>
              </w:rPr>
              <w:t>公顷的社区公园</w:t>
            </w:r>
          </w:p>
        </w:tc>
        <w:tc>
          <w:tcPr>
            <w:tcW w:w="150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740.4</w:t>
            </w: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default" w:ascii="Times New Roman" w:hAnsi="Times New Roman" w:eastAsia="宋体" w:cs="Times New Roman"/>
                <w:i w:val="0"/>
                <w:color w:val="auto"/>
                <w:kern w:val="0"/>
                <w:sz w:val="22"/>
                <w:szCs w:val="22"/>
                <w:u w:val="none"/>
                <w:lang w:val="en-US" w:eastAsia="zh-CN" w:bidi="ar"/>
              </w:rPr>
              <w:t>99.61</w:t>
            </w:r>
          </w:p>
        </w:tc>
        <w:tc>
          <w:tcPr>
            <w:tcW w:w="17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2021</w:t>
            </w:r>
            <w:r>
              <w:rPr>
                <w:rStyle w:val="39"/>
                <w:color w:val="auto"/>
                <w:lang w:val="en-US" w:eastAsia="zh-CN" w:bidi="ar"/>
              </w:rPr>
              <w:t>年</w:t>
            </w:r>
            <w:r>
              <w:rPr>
                <w:rFonts w:hint="default" w:ascii="Times New Roman" w:hAnsi="Times New Roman" w:eastAsia="宋体" w:cs="Times New Roman"/>
                <w:i w:val="0"/>
                <w:color w:val="auto"/>
                <w:kern w:val="0"/>
                <w:sz w:val="24"/>
                <w:szCs w:val="24"/>
                <w:u w:val="none"/>
                <w:lang w:val="en-US" w:eastAsia="zh-CN" w:bidi="ar"/>
              </w:rPr>
              <w:t>9</w:t>
            </w:r>
            <w:r>
              <w:rPr>
                <w:rStyle w:val="39"/>
                <w:color w:val="auto"/>
                <w:lang w:val="en-US" w:eastAsia="zh-CN" w:bidi="ar"/>
              </w:rPr>
              <w:t>月</w:t>
            </w:r>
          </w:p>
        </w:tc>
      </w:tr>
      <w:tr>
        <w:tblPrEx>
          <w:shd w:val="clear" w:color="auto" w:fill="auto"/>
          <w:tblCellMar>
            <w:top w:w="0" w:type="dxa"/>
            <w:left w:w="0" w:type="dxa"/>
            <w:bottom w:w="0" w:type="dxa"/>
            <w:right w:w="0" w:type="dxa"/>
          </w:tblCellMar>
        </w:tblPrEx>
        <w:trPr>
          <w:trHeight w:val="57"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1038"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default" w:ascii="Times New Roman" w:hAnsi="Times New Roman" w:eastAsia="宋体" w:cs="Times New Roman"/>
                <w:i w:val="0"/>
                <w:color w:val="auto"/>
                <w:sz w:val="24"/>
                <w:szCs w:val="24"/>
                <w:u w:val="none"/>
              </w:rPr>
            </w:pPr>
          </w:p>
        </w:tc>
        <w:tc>
          <w:tcPr>
            <w:tcW w:w="17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2"/>
                <w:szCs w:val="22"/>
                <w:u w:val="none"/>
              </w:rPr>
            </w:pPr>
            <w:r>
              <w:rPr>
                <w:rFonts w:hint="eastAsia" w:ascii="宋体" w:hAnsi="宋体" w:eastAsia="宋体" w:cs="宋体"/>
                <w:i w:val="0"/>
                <w:color w:val="auto"/>
                <w:kern w:val="0"/>
                <w:sz w:val="22"/>
                <w:szCs w:val="22"/>
                <w:u w:val="none"/>
                <w:lang w:val="en-US" w:eastAsia="zh-CN" w:bidi="ar"/>
              </w:rPr>
              <w:t>云岭公园</w:t>
            </w: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改造成为</w:t>
            </w:r>
            <w:r>
              <w:rPr>
                <w:rFonts w:hint="default" w:ascii="Times New Roman" w:hAnsi="Times New Roman" w:eastAsia="宋体" w:cs="Times New Roman"/>
                <w:i w:val="0"/>
                <w:color w:val="auto"/>
                <w:kern w:val="0"/>
                <w:sz w:val="22"/>
                <w:szCs w:val="22"/>
                <w:u w:val="none"/>
                <w:lang w:val="en-US" w:eastAsia="zh-CN" w:bidi="ar"/>
              </w:rPr>
              <w:t>10.61</w:t>
            </w:r>
            <w:r>
              <w:rPr>
                <w:rFonts w:hint="eastAsia" w:ascii="宋体" w:hAnsi="宋体" w:eastAsia="宋体" w:cs="宋体"/>
                <w:i w:val="0"/>
                <w:color w:val="auto"/>
                <w:kern w:val="0"/>
                <w:sz w:val="22"/>
                <w:szCs w:val="22"/>
                <w:u w:val="none"/>
                <w:lang w:val="en-US" w:eastAsia="zh-CN" w:bidi="ar"/>
              </w:rPr>
              <w:t>公顷的综合公园</w:t>
            </w:r>
          </w:p>
        </w:tc>
        <w:tc>
          <w:tcPr>
            <w:tcW w:w="150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4245.53</w:t>
            </w: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default" w:ascii="Times New Roman" w:hAnsi="Times New Roman" w:eastAsia="宋体" w:cs="Times New Roman"/>
                <w:i w:val="0"/>
                <w:color w:val="auto"/>
                <w:kern w:val="0"/>
                <w:sz w:val="22"/>
                <w:szCs w:val="22"/>
                <w:u w:val="none"/>
                <w:lang w:val="en-US" w:eastAsia="zh-CN" w:bidi="ar"/>
              </w:rPr>
              <w:t>427.88</w:t>
            </w:r>
          </w:p>
        </w:tc>
        <w:tc>
          <w:tcPr>
            <w:tcW w:w="17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2021</w:t>
            </w:r>
            <w:r>
              <w:rPr>
                <w:rStyle w:val="39"/>
                <w:color w:val="auto"/>
                <w:lang w:val="en-US" w:eastAsia="zh-CN" w:bidi="ar"/>
              </w:rPr>
              <w:t>年</w:t>
            </w:r>
            <w:r>
              <w:rPr>
                <w:rFonts w:hint="default" w:ascii="Times New Roman" w:hAnsi="Times New Roman" w:eastAsia="宋体" w:cs="Times New Roman"/>
                <w:i w:val="0"/>
                <w:color w:val="auto"/>
                <w:kern w:val="0"/>
                <w:sz w:val="24"/>
                <w:szCs w:val="24"/>
                <w:u w:val="none"/>
                <w:lang w:val="en-US" w:eastAsia="zh-CN" w:bidi="ar"/>
              </w:rPr>
              <w:t>9</w:t>
            </w:r>
            <w:r>
              <w:rPr>
                <w:rStyle w:val="39"/>
                <w:color w:val="auto"/>
                <w:lang w:val="en-US" w:eastAsia="zh-CN" w:bidi="ar"/>
              </w:rPr>
              <w:t>月</w:t>
            </w:r>
          </w:p>
        </w:tc>
      </w:tr>
      <w:tr>
        <w:tblPrEx>
          <w:shd w:val="clear" w:color="auto" w:fill="auto"/>
          <w:tblCellMar>
            <w:top w:w="0" w:type="dxa"/>
            <w:left w:w="0" w:type="dxa"/>
            <w:bottom w:w="0" w:type="dxa"/>
            <w:right w:w="0" w:type="dxa"/>
          </w:tblCellMar>
        </w:tblPrEx>
        <w:trPr>
          <w:trHeight w:val="57"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1038"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default" w:ascii="Times New Roman" w:hAnsi="Times New Roman" w:eastAsia="宋体" w:cs="Times New Roman"/>
                <w:i w:val="0"/>
                <w:color w:val="auto"/>
                <w:sz w:val="24"/>
                <w:szCs w:val="24"/>
                <w:u w:val="none"/>
              </w:rPr>
            </w:pPr>
          </w:p>
        </w:tc>
        <w:tc>
          <w:tcPr>
            <w:tcW w:w="17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2"/>
                <w:szCs w:val="22"/>
                <w:u w:val="none"/>
              </w:rPr>
            </w:pPr>
            <w:r>
              <w:rPr>
                <w:rFonts w:hint="eastAsia" w:ascii="宋体" w:hAnsi="宋体" w:eastAsia="宋体" w:cs="宋体"/>
                <w:i w:val="0"/>
                <w:color w:val="auto"/>
                <w:kern w:val="0"/>
                <w:sz w:val="22"/>
                <w:szCs w:val="22"/>
                <w:u w:val="none"/>
                <w:lang w:val="en-US" w:eastAsia="zh-CN" w:bidi="ar"/>
              </w:rPr>
              <w:t>大云岭公园</w:t>
            </w:r>
          </w:p>
        </w:tc>
        <w:tc>
          <w:tcPr>
            <w:tcW w:w="52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default" w:ascii="Times New Roman" w:hAnsi="Times New Roman" w:eastAsia="宋体" w:cs="Times New Roman"/>
                <w:i w:val="0"/>
                <w:color w:val="auto"/>
                <w:kern w:val="0"/>
                <w:sz w:val="22"/>
                <w:szCs w:val="22"/>
                <w:u w:val="none"/>
                <w:lang w:val="en-US" w:eastAsia="zh-CN" w:bidi="ar"/>
              </w:rPr>
              <w:t>193.25</w:t>
            </w:r>
            <w:r>
              <w:rPr>
                <w:rFonts w:hint="eastAsia" w:ascii="宋体" w:hAnsi="宋体" w:eastAsia="宋体" w:cs="宋体"/>
                <w:i w:val="0"/>
                <w:color w:val="auto"/>
                <w:kern w:val="0"/>
                <w:sz w:val="22"/>
                <w:szCs w:val="22"/>
                <w:u w:val="none"/>
                <w:lang w:val="en-US" w:eastAsia="zh-CN" w:bidi="ar"/>
              </w:rPr>
              <w:t>公顷风景名胜公园一期工程完成</w:t>
            </w:r>
          </w:p>
        </w:tc>
        <w:tc>
          <w:tcPr>
            <w:tcW w:w="150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2000</w:t>
            </w: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default" w:ascii="Times New Roman" w:hAnsi="Times New Roman" w:eastAsia="宋体" w:cs="Times New Roman"/>
                <w:i w:val="0"/>
                <w:color w:val="auto"/>
                <w:kern w:val="0"/>
                <w:sz w:val="22"/>
                <w:szCs w:val="22"/>
                <w:u w:val="none"/>
                <w:lang w:val="en-US" w:eastAsia="zh-CN" w:bidi="ar"/>
              </w:rPr>
              <w:t>20</w:t>
            </w:r>
          </w:p>
        </w:tc>
        <w:tc>
          <w:tcPr>
            <w:tcW w:w="17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2021</w:t>
            </w:r>
            <w:r>
              <w:rPr>
                <w:rStyle w:val="39"/>
                <w:color w:val="auto"/>
                <w:lang w:val="en-US" w:eastAsia="zh-CN" w:bidi="ar"/>
              </w:rPr>
              <w:t>年</w:t>
            </w:r>
            <w:r>
              <w:rPr>
                <w:rFonts w:hint="default" w:ascii="Times New Roman" w:hAnsi="Times New Roman" w:eastAsia="宋体" w:cs="Times New Roman"/>
                <w:i w:val="0"/>
                <w:color w:val="auto"/>
                <w:kern w:val="0"/>
                <w:sz w:val="24"/>
                <w:szCs w:val="24"/>
                <w:u w:val="none"/>
                <w:lang w:val="en-US" w:eastAsia="zh-CN" w:bidi="ar"/>
              </w:rPr>
              <w:t>9</w:t>
            </w:r>
            <w:r>
              <w:rPr>
                <w:rStyle w:val="39"/>
                <w:color w:val="auto"/>
                <w:lang w:val="en-US" w:eastAsia="zh-CN" w:bidi="ar"/>
              </w:rPr>
              <w:t>月</w:t>
            </w:r>
          </w:p>
        </w:tc>
      </w:tr>
      <w:tr>
        <w:tblPrEx>
          <w:shd w:val="clear" w:color="auto" w:fill="auto"/>
          <w:tblCellMar>
            <w:top w:w="0" w:type="dxa"/>
            <w:left w:w="0" w:type="dxa"/>
            <w:bottom w:w="0" w:type="dxa"/>
            <w:right w:w="0" w:type="dxa"/>
          </w:tblCellMar>
        </w:tblPrEx>
        <w:trPr>
          <w:trHeight w:val="57"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1038"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default" w:ascii="Times New Roman" w:hAnsi="Times New Roman" w:eastAsia="宋体" w:cs="Times New Roman"/>
                <w:i w:val="0"/>
                <w:color w:val="auto"/>
                <w:sz w:val="24"/>
                <w:szCs w:val="24"/>
                <w:u w:val="none"/>
              </w:rPr>
            </w:pPr>
          </w:p>
        </w:tc>
        <w:tc>
          <w:tcPr>
            <w:tcW w:w="1793"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2"/>
                <w:szCs w:val="22"/>
                <w:u w:val="none"/>
              </w:rPr>
            </w:pPr>
            <w:r>
              <w:rPr>
                <w:rFonts w:hint="eastAsia" w:ascii="宋体" w:hAnsi="宋体" w:eastAsia="宋体" w:cs="宋体"/>
                <w:i w:val="0"/>
                <w:color w:val="auto"/>
                <w:kern w:val="0"/>
                <w:sz w:val="22"/>
                <w:szCs w:val="22"/>
                <w:u w:val="none"/>
                <w:lang w:val="en-US" w:eastAsia="zh-CN" w:bidi="ar"/>
              </w:rPr>
              <w:t>龙津河公园</w:t>
            </w: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改造成为</w:t>
            </w:r>
            <w:r>
              <w:rPr>
                <w:rFonts w:hint="default" w:ascii="Times New Roman" w:hAnsi="Times New Roman" w:eastAsia="宋体" w:cs="Times New Roman"/>
                <w:i w:val="0"/>
                <w:color w:val="auto"/>
                <w:kern w:val="0"/>
                <w:sz w:val="22"/>
                <w:szCs w:val="22"/>
                <w:u w:val="none"/>
                <w:lang w:val="en-US" w:eastAsia="zh-CN" w:bidi="ar"/>
              </w:rPr>
              <w:t>0.85</w:t>
            </w:r>
            <w:r>
              <w:rPr>
                <w:rFonts w:hint="eastAsia" w:ascii="宋体" w:hAnsi="宋体" w:eastAsia="宋体" w:cs="宋体"/>
                <w:i w:val="0"/>
                <w:color w:val="auto"/>
                <w:kern w:val="0"/>
                <w:sz w:val="22"/>
                <w:szCs w:val="22"/>
                <w:u w:val="none"/>
                <w:lang w:val="en-US" w:eastAsia="zh-CN" w:bidi="ar"/>
              </w:rPr>
              <w:t>公顷的小游园</w:t>
            </w:r>
          </w:p>
        </w:tc>
        <w:tc>
          <w:tcPr>
            <w:tcW w:w="150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169.18</w:t>
            </w:r>
          </w:p>
        </w:tc>
        <w:tc>
          <w:tcPr>
            <w:tcW w:w="15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default" w:ascii="Times New Roman" w:hAnsi="Times New Roman" w:eastAsia="宋体" w:cs="Times New Roman"/>
                <w:i w:val="0"/>
                <w:color w:val="auto"/>
                <w:kern w:val="0"/>
                <w:sz w:val="22"/>
                <w:szCs w:val="22"/>
                <w:u w:val="none"/>
                <w:lang w:val="en-US" w:eastAsia="zh-CN" w:bidi="ar"/>
              </w:rPr>
              <w:t>44.28</w:t>
            </w:r>
          </w:p>
        </w:tc>
        <w:tc>
          <w:tcPr>
            <w:tcW w:w="17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2021</w:t>
            </w:r>
            <w:r>
              <w:rPr>
                <w:rStyle w:val="39"/>
                <w:color w:val="auto"/>
                <w:lang w:val="en-US" w:eastAsia="zh-CN" w:bidi="ar"/>
              </w:rPr>
              <w:t>年</w:t>
            </w:r>
            <w:r>
              <w:rPr>
                <w:rFonts w:hint="default" w:ascii="Times New Roman" w:hAnsi="Times New Roman" w:eastAsia="宋体" w:cs="Times New Roman"/>
                <w:i w:val="0"/>
                <w:color w:val="auto"/>
                <w:kern w:val="0"/>
                <w:sz w:val="24"/>
                <w:szCs w:val="24"/>
                <w:u w:val="none"/>
                <w:lang w:val="en-US" w:eastAsia="zh-CN" w:bidi="ar"/>
              </w:rPr>
              <w:t>9</w:t>
            </w:r>
            <w:r>
              <w:rPr>
                <w:rStyle w:val="39"/>
                <w:color w:val="auto"/>
                <w:lang w:val="en-US" w:eastAsia="zh-CN" w:bidi="ar"/>
              </w:rPr>
              <w:t>月</w:t>
            </w:r>
          </w:p>
        </w:tc>
      </w:tr>
      <w:tr>
        <w:tblPrEx>
          <w:tblCellMar>
            <w:top w:w="0" w:type="dxa"/>
            <w:left w:w="0" w:type="dxa"/>
            <w:bottom w:w="0" w:type="dxa"/>
            <w:right w:w="0" w:type="dxa"/>
          </w:tblCellMar>
        </w:tblPrEx>
        <w:trPr>
          <w:trHeight w:val="270"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8108" w:type="dxa"/>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24"/>
                <w:szCs w:val="24"/>
                <w:u w:val="none"/>
              </w:rPr>
            </w:pPr>
            <w:r>
              <w:rPr>
                <w:rFonts w:hint="eastAsia" w:ascii="宋体" w:hAnsi="宋体" w:cs="宋体"/>
                <w:b/>
                <w:i w:val="0"/>
                <w:color w:val="auto"/>
                <w:kern w:val="0"/>
                <w:sz w:val="24"/>
                <w:szCs w:val="24"/>
                <w:u w:val="none"/>
                <w:lang w:val="en-US" w:eastAsia="zh-CN" w:bidi="ar"/>
              </w:rPr>
              <w:t>小</w:t>
            </w:r>
            <w:r>
              <w:rPr>
                <w:rFonts w:hint="eastAsia" w:ascii="宋体" w:hAnsi="宋体" w:eastAsia="宋体" w:cs="宋体"/>
                <w:b/>
                <w:i w:val="0"/>
                <w:color w:val="auto"/>
                <w:kern w:val="0"/>
                <w:sz w:val="24"/>
                <w:szCs w:val="24"/>
                <w:u w:val="none"/>
                <w:lang w:val="en-US" w:eastAsia="zh-CN" w:bidi="ar"/>
              </w:rPr>
              <w:t>计</w:t>
            </w:r>
          </w:p>
        </w:tc>
        <w:tc>
          <w:tcPr>
            <w:tcW w:w="1501"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24"/>
                <w:szCs w:val="24"/>
                <w:u w:val="none"/>
              </w:rPr>
            </w:pPr>
            <w:r>
              <w:rPr>
                <w:rFonts w:hint="default" w:ascii="Times New Roman" w:hAnsi="Times New Roman" w:eastAsia="宋体" w:cs="Times New Roman"/>
                <w:b/>
                <w:i w:val="0"/>
                <w:color w:val="auto"/>
                <w:kern w:val="0"/>
                <w:sz w:val="24"/>
                <w:szCs w:val="24"/>
                <w:u w:val="none"/>
                <w:lang w:val="en-US" w:eastAsia="zh-CN" w:bidi="ar"/>
              </w:rPr>
              <w:t>11898.57</w:t>
            </w:r>
          </w:p>
        </w:tc>
        <w:tc>
          <w:tcPr>
            <w:tcW w:w="15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24"/>
                <w:szCs w:val="24"/>
                <w:u w:val="none"/>
              </w:rPr>
            </w:pPr>
            <w:r>
              <w:rPr>
                <w:rFonts w:hint="default" w:ascii="Times New Roman" w:hAnsi="Times New Roman" w:eastAsia="宋体" w:cs="Times New Roman"/>
                <w:b/>
                <w:i w:val="0"/>
                <w:color w:val="auto"/>
                <w:kern w:val="0"/>
                <w:sz w:val="24"/>
                <w:szCs w:val="24"/>
                <w:u w:val="none"/>
                <w:lang w:val="en-US" w:eastAsia="zh-CN" w:bidi="ar"/>
              </w:rPr>
              <w:t>1358.215</w:t>
            </w:r>
          </w:p>
        </w:tc>
        <w:tc>
          <w:tcPr>
            <w:tcW w:w="17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default" w:ascii="Times New Roman" w:hAnsi="Times New Roman" w:eastAsia="宋体" w:cs="Times New Roman"/>
                <w:i w:val="0"/>
                <w:color w:val="auto"/>
                <w:sz w:val="24"/>
                <w:szCs w:val="24"/>
                <w:u w:val="none"/>
              </w:rPr>
            </w:pPr>
          </w:p>
        </w:tc>
      </w:tr>
      <w:tr>
        <w:tblPrEx>
          <w:shd w:val="clear" w:color="auto" w:fill="auto"/>
          <w:tblCellMar>
            <w:top w:w="0" w:type="dxa"/>
            <w:left w:w="0" w:type="dxa"/>
            <w:bottom w:w="0" w:type="dxa"/>
            <w:right w:w="0" w:type="dxa"/>
          </w:tblCellMar>
        </w:tblPrEx>
        <w:trPr>
          <w:trHeight w:val="270"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8108" w:type="dxa"/>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Style w:val="39"/>
                <w:color w:val="auto"/>
                <w:lang w:val="en-US" w:eastAsia="zh-CN" w:bidi="ar"/>
              </w:rPr>
              <w:t>园林绿化养护全面提升（公园、道路绿化品质提升）</w:t>
            </w:r>
          </w:p>
        </w:tc>
        <w:tc>
          <w:tcPr>
            <w:tcW w:w="3001"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22"/>
                <w:szCs w:val="22"/>
                <w:u w:val="none"/>
              </w:rPr>
            </w:pPr>
            <w:r>
              <w:rPr>
                <w:rFonts w:hint="default" w:ascii="Times New Roman" w:hAnsi="Times New Roman" w:eastAsia="宋体" w:cs="Times New Roman"/>
                <w:b/>
                <w:i w:val="0"/>
                <w:color w:val="auto"/>
                <w:kern w:val="0"/>
                <w:sz w:val="22"/>
                <w:szCs w:val="22"/>
                <w:u w:val="none"/>
                <w:lang w:val="en-US" w:eastAsia="zh-CN" w:bidi="ar"/>
              </w:rPr>
              <w:t>360</w:t>
            </w:r>
          </w:p>
        </w:tc>
        <w:tc>
          <w:tcPr>
            <w:tcW w:w="17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2021</w:t>
            </w:r>
            <w:r>
              <w:rPr>
                <w:rStyle w:val="39"/>
                <w:color w:val="auto"/>
                <w:lang w:val="en-US" w:eastAsia="zh-CN" w:bidi="ar"/>
              </w:rPr>
              <w:t>年</w:t>
            </w:r>
            <w:r>
              <w:rPr>
                <w:rFonts w:hint="default" w:ascii="Times New Roman" w:hAnsi="Times New Roman" w:eastAsia="宋体" w:cs="Times New Roman"/>
                <w:i w:val="0"/>
                <w:color w:val="auto"/>
                <w:kern w:val="0"/>
                <w:sz w:val="24"/>
                <w:szCs w:val="24"/>
                <w:u w:val="none"/>
                <w:lang w:val="en-US" w:eastAsia="zh-CN" w:bidi="ar"/>
              </w:rPr>
              <w:t>9</w:t>
            </w:r>
            <w:r>
              <w:rPr>
                <w:rStyle w:val="39"/>
                <w:color w:val="auto"/>
                <w:lang w:val="en-US" w:eastAsia="zh-CN" w:bidi="ar"/>
              </w:rPr>
              <w:t>月</w:t>
            </w:r>
          </w:p>
        </w:tc>
      </w:tr>
      <w:tr>
        <w:tblPrEx>
          <w:shd w:val="clear" w:color="auto" w:fill="auto"/>
          <w:tblCellMar>
            <w:top w:w="0" w:type="dxa"/>
            <w:left w:w="0" w:type="dxa"/>
            <w:bottom w:w="0" w:type="dxa"/>
            <w:right w:w="0" w:type="dxa"/>
          </w:tblCellMar>
        </w:tblPrEx>
        <w:trPr>
          <w:trHeight w:val="270"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8108" w:type="dxa"/>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Style w:val="39"/>
                <w:color w:val="auto"/>
                <w:lang w:val="en-US" w:eastAsia="zh-CN" w:bidi="ar"/>
              </w:rPr>
              <w:t>立体绿化推广示范点</w:t>
            </w:r>
            <w:r>
              <w:rPr>
                <w:rFonts w:hint="default" w:ascii="Times New Roman" w:hAnsi="Times New Roman" w:eastAsia="宋体" w:cs="Times New Roman"/>
                <w:i w:val="0"/>
                <w:color w:val="auto"/>
                <w:kern w:val="0"/>
                <w:sz w:val="24"/>
                <w:szCs w:val="24"/>
                <w:u w:val="none"/>
                <w:lang w:val="en-US" w:eastAsia="zh-CN" w:bidi="ar"/>
              </w:rPr>
              <w:t>2-3</w:t>
            </w:r>
            <w:r>
              <w:rPr>
                <w:rStyle w:val="39"/>
                <w:color w:val="auto"/>
                <w:lang w:val="en-US" w:eastAsia="zh-CN" w:bidi="ar"/>
              </w:rPr>
              <w:t>处</w:t>
            </w:r>
          </w:p>
        </w:tc>
        <w:tc>
          <w:tcPr>
            <w:tcW w:w="3001"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22"/>
                <w:szCs w:val="22"/>
                <w:u w:val="none"/>
              </w:rPr>
            </w:pPr>
            <w:r>
              <w:rPr>
                <w:rFonts w:hint="default" w:ascii="Times New Roman" w:hAnsi="Times New Roman" w:eastAsia="宋体" w:cs="Times New Roman"/>
                <w:b/>
                <w:i w:val="0"/>
                <w:color w:val="auto"/>
                <w:kern w:val="0"/>
                <w:sz w:val="22"/>
                <w:szCs w:val="22"/>
                <w:u w:val="none"/>
                <w:lang w:val="en-US" w:eastAsia="zh-CN" w:bidi="ar"/>
              </w:rPr>
              <w:t>300</w:t>
            </w:r>
          </w:p>
        </w:tc>
        <w:tc>
          <w:tcPr>
            <w:tcW w:w="17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2021</w:t>
            </w:r>
            <w:r>
              <w:rPr>
                <w:rStyle w:val="39"/>
                <w:color w:val="auto"/>
                <w:lang w:val="en-US" w:eastAsia="zh-CN" w:bidi="ar"/>
              </w:rPr>
              <w:t>年</w:t>
            </w:r>
            <w:r>
              <w:rPr>
                <w:rFonts w:hint="default" w:ascii="Times New Roman" w:hAnsi="Times New Roman" w:eastAsia="宋体" w:cs="Times New Roman"/>
                <w:i w:val="0"/>
                <w:color w:val="auto"/>
                <w:kern w:val="0"/>
                <w:sz w:val="24"/>
                <w:szCs w:val="24"/>
                <w:u w:val="none"/>
                <w:lang w:val="en-US" w:eastAsia="zh-CN" w:bidi="ar"/>
              </w:rPr>
              <w:t>9</w:t>
            </w:r>
            <w:r>
              <w:rPr>
                <w:rStyle w:val="39"/>
                <w:color w:val="auto"/>
                <w:lang w:val="en-US" w:eastAsia="zh-CN" w:bidi="ar"/>
              </w:rPr>
              <w:t>月</w:t>
            </w:r>
          </w:p>
        </w:tc>
      </w:tr>
      <w:tr>
        <w:tblPrEx>
          <w:shd w:val="clear" w:color="auto" w:fill="auto"/>
          <w:tblCellMar>
            <w:top w:w="0" w:type="dxa"/>
            <w:left w:w="0" w:type="dxa"/>
            <w:bottom w:w="0" w:type="dxa"/>
            <w:right w:w="0" w:type="dxa"/>
          </w:tblCellMar>
        </w:tblPrEx>
        <w:trPr>
          <w:trHeight w:val="270"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8108" w:type="dxa"/>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Style w:val="39"/>
                <w:color w:val="auto"/>
                <w:lang w:val="en-US" w:eastAsia="zh-CN" w:bidi="ar"/>
              </w:rPr>
              <w:t>迎检时花种植工程</w:t>
            </w:r>
          </w:p>
        </w:tc>
        <w:tc>
          <w:tcPr>
            <w:tcW w:w="3001"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22"/>
                <w:szCs w:val="22"/>
                <w:u w:val="none"/>
              </w:rPr>
            </w:pPr>
            <w:r>
              <w:rPr>
                <w:rFonts w:hint="default" w:ascii="Times New Roman" w:hAnsi="Times New Roman" w:eastAsia="宋体" w:cs="Times New Roman"/>
                <w:b/>
                <w:i w:val="0"/>
                <w:color w:val="auto"/>
                <w:kern w:val="0"/>
                <w:sz w:val="22"/>
                <w:szCs w:val="22"/>
                <w:u w:val="none"/>
                <w:lang w:val="en-US" w:eastAsia="zh-CN" w:bidi="ar"/>
              </w:rPr>
              <w:t>200</w:t>
            </w:r>
          </w:p>
        </w:tc>
        <w:tc>
          <w:tcPr>
            <w:tcW w:w="17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pPr>
              <w:keepNext w:val="0"/>
              <w:keepLines w:val="0"/>
              <w:widowControl/>
              <w:suppressLineNumbers w:val="0"/>
              <w:jc w:val="center"/>
              <w:textAlignment w:val="top"/>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2021</w:t>
            </w:r>
            <w:r>
              <w:rPr>
                <w:rStyle w:val="39"/>
                <w:color w:val="auto"/>
                <w:lang w:val="en-US" w:eastAsia="zh-CN" w:bidi="ar"/>
              </w:rPr>
              <w:t>年</w:t>
            </w:r>
            <w:r>
              <w:rPr>
                <w:rFonts w:hint="default" w:ascii="Times New Roman" w:hAnsi="Times New Roman" w:eastAsia="宋体" w:cs="Times New Roman"/>
                <w:i w:val="0"/>
                <w:color w:val="auto"/>
                <w:kern w:val="0"/>
                <w:sz w:val="24"/>
                <w:szCs w:val="24"/>
                <w:u w:val="none"/>
                <w:lang w:val="en-US" w:eastAsia="zh-CN" w:bidi="ar"/>
              </w:rPr>
              <w:t>9</w:t>
            </w:r>
            <w:r>
              <w:rPr>
                <w:rStyle w:val="39"/>
                <w:color w:val="auto"/>
                <w:lang w:val="en-US" w:eastAsia="zh-CN" w:bidi="ar"/>
              </w:rPr>
              <w:t>月</w:t>
            </w:r>
          </w:p>
        </w:tc>
      </w:tr>
      <w:tr>
        <w:tblPrEx>
          <w:shd w:val="clear" w:color="auto" w:fill="auto"/>
          <w:tblCellMar>
            <w:top w:w="0" w:type="dxa"/>
            <w:left w:w="0" w:type="dxa"/>
            <w:bottom w:w="0" w:type="dxa"/>
            <w:right w:w="0" w:type="dxa"/>
          </w:tblCellMar>
        </w:tblPrEx>
        <w:trPr>
          <w:trHeight w:val="270"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65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default" w:ascii="Times New Roman" w:hAnsi="Times New Roman" w:eastAsia="宋体" w:cs="Times New Roman"/>
                <w:b/>
                <w:i w:val="0"/>
                <w:color w:val="auto"/>
                <w:sz w:val="24"/>
                <w:szCs w:val="24"/>
                <w:u w:val="none"/>
              </w:rPr>
            </w:pPr>
          </w:p>
        </w:tc>
        <w:tc>
          <w:tcPr>
            <w:tcW w:w="8108" w:type="dxa"/>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绿线公示牌或界碑工程</w:t>
            </w:r>
          </w:p>
        </w:tc>
        <w:tc>
          <w:tcPr>
            <w:tcW w:w="3001"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22"/>
                <w:szCs w:val="22"/>
                <w:u w:val="none"/>
              </w:rPr>
            </w:pPr>
            <w:r>
              <w:rPr>
                <w:rFonts w:hint="default" w:ascii="Times New Roman" w:hAnsi="Times New Roman" w:eastAsia="宋体" w:cs="Times New Roman"/>
                <w:b/>
                <w:i w:val="0"/>
                <w:color w:val="auto"/>
                <w:kern w:val="0"/>
                <w:sz w:val="22"/>
                <w:szCs w:val="22"/>
                <w:u w:val="none"/>
                <w:lang w:val="en-US" w:eastAsia="zh-CN" w:bidi="ar"/>
              </w:rPr>
              <w:t>66</w:t>
            </w:r>
          </w:p>
        </w:tc>
        <w:tc>
          <w:tcPr>
            <w:tcW w:w="17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top"/>
          </w:tcPr>
          <w:p>
            <w:pPr>
              <w:jc w:val="center"/>
              <w:rPr>
                <w:rFonts w:hint="default" w:ascii="Times New Roman" w:hAnsi="Times New Roman" w:eastAsia="宋体" w:cs="Times New Roman"/>
                <w:i w:val="0"/>
                <w:color w:val="auto"/>
                <w:sz w:val="24"/>
                <w:szCs w:val="24"/>
                <w:u w:val="none"/>
              </w:rPr>
            </w:pPr>
          </w:p>
        </w:tc>
      </w:tr>
      <w:tr>
        <w:tblPrEx>
          <w:tblCellMar>
            <w:top w:w="0" w:type="dxa"/>
            <w:left w:w="0" w:type="dxa"/>
            <w:bottom w:w="0" w:type="dxa"/>
            <w:right w:w="0" w:type="dxa"/>
          </w:tblCellMar>
        </w:tblPrEx>
        <w:trPr>
          <w:trHeight w:val="270"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65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auto"/>
                <w:sz w:val="24"/>
                <w:szCs w:val="24"/>
                <w:u w:val="none"/>
              </w:rPr>
            </w:pPr>
            <w:r>
              <w:rPr>
                <w:rFonts w:hint="eastAsia" w:ascii="宋体" w:hAnsi="宋体" w:cs="宋体"/>
                <w:b/>
                <w:i w:val="0"/>
                <w:color w:val="auto"/>
                <w:kern w:val="0"/>
                <w:sz w:val="24"/>
                <w:szCs w:val="24"/>
                <w:u w:val="none"/>
                <w:lang w:val="en-US" w:eastAsia="zh-CN" w:bidi="ar"/>
              </w:rPr>
              <w:t>合</w:t>
            </w:r>
            <w:r>
              <w:rPr>
                <w:rFonts w:hint="eastAsia" w:ascii="宋体" w:hAnsi="宋体" w:eastAsia="宋体" w:cs="宋体"/>
                <w:b/>
                <w:i w:val="0"/>
                <w:color w:val="auto"/>
                <w:kern w:val="0"/>
                <w:sz w:val="24"/>
                <w:szCs w:val="24"/>
                <w:u w:val="none"/>
                <w:lang w:val="en-US" w:eastAsia="zh-CN" w:bidi="ar"/>
              </w:rPr>
              <w:t>计</w:t>
            </w:r>
          </w:p>
        </w:tc>
        <w:tc>
          <w:tcPr>
            <w:tcW w:w="8108" w:type="dxa"/>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default" w:ascii="Times New Roman" w:hAnsi="Times New Roman" w:eastAsia="宋体" w:cs="Times New Roman"/>
                <w:b/>
                <w:i w:val="0"/>
                <w:color w:val="auto"/>
                <w:sz w:val="24"/>
                <w:szCs w:val="24"/>
                <w:u w:val="none"/>
              </w:rPr>
            </w:pPr>
          </w:p>
        </w:tc>
        <w:tc>
          <w:tcPr>
            <w:tcW w:w="150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24"/>
                <w:szCs w:val="24"/>
                <w:u w:val="none"/>
              </w:rPr>
            </w:pPr>
            <w:r>
              <w:rPr>
                <w:rFonts w:hint="default" w:ascii="Times New Roman" w:hAnsi="Times New Roman" w:eastAsia="宋体" w:cs="Times New Roman"/>
                <w:b/>
                <w:i w:val="0"/>
                <w:color w:val="auto"/>
                <w:kern w:val="0"/>
                <w:sz w:val="24"/>
                <w:szCs w:val="24"/>
                <w:u w:val="none"/>
                <w:lang w:val="en-US" w:eastAsia="zh-CN" w:bidi="ar"/>
              </w:rPr>
              <w:t>12824.57</w:t>
            </w:r>
          </w:p>
        </w:tc>
        <w:tc>
          <w:tcPr>
            <w:tcW w:w="15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24"/>
                <w:szCs w:val="24"/>
                <w:u w:val="none"/>
              </w:rPr>
            </w:pPr>
            <w:r>
              <w:rPr>
                <w:rFonts w:hint="default" w:ascii="Times New Roman" w:hAnsi="Times New Roman" w:eastAsia="宋体" w:cs="Times New Roman"/>
                <w:b/>
                <w:i w:val="0"/>
                <w:color w:val="auto"/>
                <w:kern w:val="0"/>
                <w:sz w:val="24"/>
                <w:szCs w:val="24"/>
                <w:u w:val="none"/>
                <w:lang w:val="en-US" w:eastAsia="zh-CN" w:bidi="ar"/>
              </w:rPr>
              <w:t>2284.215</w:t>
            </w:r>
          </w:p>
        </w:tc>
        <w:tc>
          <w:tcPr>
            <w:tcW w:w="1708" w:type="dxa"/>
            <w:tcBorders>
              <w:top w:val="single" w:color="000000"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jc w:val="center"/>
              <w:rPr>
                <w:rFonts w:hint="default" w:ascii="Times New Roman" w:hAnsi="Times New Roman" w:eastAsia="宋体" w:cs="Times New Roman"/>
                <w:b/>
                <w:i w:val="0"/>
                <w:color w:val="auto"/>
                <w:sz w:val="24"/>
                <w:szCs w:val="24"/>
                <w:u w:val="none"/>
              </w:rPr>
            </w:pPr>
          </w:p>
        </w:tc>
      </w:tr>
      <w:tr>
        <w:tblPrEx>
          <w:tblCellMar>
            <w:top w:w="0" w:type="dxa"/>
            <w:left w:w="0" w:type="dxa"/>
            <w:bottom w:w="0" w:type="dxa"/>
            <w:right w:w="0" w:type="dxa"/>
          </w:tblCellMar>
        </w:tblPrEx>
        <w:trPr>
          <w:trHeight w:val="270" w:hRule="atLeast"/>
          <w:jc w:val="center"/>
        </w:trPr>
        <w:tc>
          <w:tcPr>
            <w:tcW w:w="471"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auto"/>
                <w:sz w:val="24"/>
                <w:szCs w:val="24"/>
                <w:u w:val="none"/>
              </w:rPr>
            </w:pPr>
            <w:r>
              <w:rPr>
                <w:rFonts w:hint="eastAsia" w:ascii="宋体" w:hAnsi="宋体" w:eastAsia="宋体" w:cs="宋体"/>
                <w:b/>
                <w:i w:val="0"/>
                <w:color w:val="auto"/>
                <w:kern w:val="0"/>
                <w:sz w:val="24"/>
                <w:szCs w:val="24"/>
                <w:u w:val="none"/>
                <w:lang w:val="en-US" w:eastAsia="zh-CN" w:bidi="ar"/>
              </w:rPr>
              <w:t>二</w:t>
            </w:r>
          </w:p>
        </w:tc>
        <w:tc>
          <w:tcPr>
            <w:tcW w:w="653"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auto"/>
                <w:sz w:val="24"/>
                <w:szCs w:val="24"/>
                <w:u w:val="none"/>
              </w:rPr>
            </w:pPr>
            <w:r>
              <w:rPr>
                <w:rFonts w:hint="eastAsia" w:ascii="宋体" w:hAnsi="宋体" w:eastAsia="宋体" w:cs="宋体"/>
                <w:b/>
                <w:i w:val="0"/>
                <w:color w:val="auto"/>
                <w:kern w:val="0"/>
                <w:sz w:val="24"/>
                <w:szCs w:val="24"/>
                <w:u w:val="none"/>
                <w:lang w:val="en-US" w:eastAsia="zh-CN" w:bidi="ar"/>
              </w:rPr>
              <w:t>咨询服务费用、规划及工作专项费用</w:t>
            </w:r>
          </w:p>
        </w:tc>
        <w:tc>
          <w:tcPr>
            <w:tcW w:w="2831" w:type="dxa"/>
            <w:gridSpan w:val="2"/>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创园咨询服务项目</w:t>
            </w: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left"/>
              <w:textAlignment w:val="center"/>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①全过程技术指导；</w:t>
            </w:r>
          </w:p>
        </w:tc>
        <w:tc>
          <w:tcPr>
            <w:tcW w:w="3001" w:type="dxa"/>
            <w:gridSpan w:val="2"/>
            <w:vMerge w:val="restart"/>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lang w:val="en-US"/>
              </w:rPr>
            </w:pPr>
            <w:r>
              <w:rPr>
                <w:rFonts w:hint="default" w:ascii="Times New Roman" w:hAnsi="Times New Roman" w:eastAsia="宋体" w:cs="Times New Roman"/>
                <w:i w:val="0"/>
                <w:color w:val="auto"/>
                <w:kern w:val="0"/>
                <w:sz w:val="22"/>
                <w:szCs w:val="22"/>
                <w:u w:val="none"/>
                <w:lang w:val="en-US" w:eastAsia="zh-CN" w:bidi="ar"/>
              </w:rPr>
              <w:t>2</w:t>
            </w:r>
            <w:r>
              <w:rPr>
                <w:rFonts w:hint="eastAsia" w:ascii="Times New Roman" w:hAnsi="Times New Roman" w:cs="Times New Roman"/>
                <w:i w:val="0"/>
                <w:color w:val="auto"/>
                <w:kern w:val="0"/>
                <w:sz w:val="22"/>
                <w:szCs w:val="22"/>
                <w:u w:val="none"/>
                <w:lang w:val="en-US" w:eastAsia="zh-CN" w:bidi="ar"/>
              </w:rPr>
              <w:t>50</w:t>
            </w:r>
          </w:p>
        </w:tc>
        <w:tc>
          <w:tcPr>
            <w:tcW w:w="1708" w:type="dxa"/>
            <w:vMerge w:val="restar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2021年9月</w:t>
            </w:r>
          </w:p>
        </w:tc>
      </w:tr>
      <w:tr>
        <w:tblPrEx>
          <w:shd w:val="clear" w:color="auto" w:fill="auto"/>
          <w:tblCellMar>
            <w:top w:w="0" w:type="dxa"/>
            <w:left w:w="0" w:type="dxa"/>
            <w:bottom w:w="0" w:type="dxa"/>
            <w:right w:w="0" w:type="dxa"/>
          </w:tblCellMar>
        </w:tblPrEx>
        <w:trPr>
          <w:trHeight w:val="270"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2831"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left"/>
              <w:rPr>
                <w:rFonts w:hint="eastAsia" w:ascii="宋体" w:hAnsi="宋体" w:eastAsia="宋体" w:cs="宋体"/>
                <w:i w:val="0"/>
                <w:color w:val="auto"/>
                <w:sz w:val="24"/>
                <w:szCs w:val="24"/>
                <w:u w:val="none"/>
              </w:rPr>
            </w:pP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left"/>
              <w:textAlignment w:val="center"/>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②</w:t>
            </w:r>
            <w:r>
              <w:rPr>
                <w:rFonts w:hint="default" w:ascii="Times New Roman" w:hAnsi="Times New Roman" w:eastAsia="宋体" w:cs="Times New Roman"/>
                <w:i w:val="0"/>
                <w:color w:val="auto"/>
                <w:kern w:val="0"/>
                <w:sz w:val="22"/>
                <w:szCs w:val="22"/>
                <w:u w:val="none"/>
                <w:lang w:val="en-US" w:eastAsia="zh-CN" w:bidi="ar"/>
              </w:rPr>
              <w:t>46</w:t>
            </w:r>
            <w:r>
              <w:rPr>
                <w:rFonts w:hint="eastAsia" w:ascii="宋体" w:hAnsi="宋体" w:eastAsia="宋体" w:cs="宋体"/>
                <w:i w:val="0"/>
                <w:color w:val="auto"/>
                <w:kern w:val="0"/>
                <w:sz w:val="22"/>
                <w:szCs w:val="22"/>
                <w:u w:val="none"/>
                <w:lang w:val="en-US" w:eastAsia="zh-CN" w:bidi="ar"/>
              </w:rPr>
              <w:t>项后台资料汇编（不含专项调查）；</w:t>
            </w:r>
          </w:p>
        </w:tc>
        <w:tc>
          <w:tcPr>
            <w:tcW w:w="3001" w:type="dxa"/>
            <w:gridSpan w:val="2"/>
            <w:vMerge w:val="continue"/>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rPr>
            </w:pPr>
          </w:p>
        </w:tc>
        <w:tc>
          <w:tcPr>
            <w:tcW w:w="1708" w:type="dxa"/>
            <w:vMerge w:val="continue"/>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4"/>
                <w:szCs w:val="24"/>
                <w:u w:val="none"/>
              </w:rPr>
            </w:pPr>
          </w:p>
        </w:tc>
      </w:tr>
      <w:tr>
        <w:tblPrEx>
          <w:tblCellMar>
            <w:top w:w="0" w:type="dxa"/>
            <w:left w:w="0" w:type="dxa"/>
            <w:bottom w:w="0" w:type="dxa"/>
            <w:right w:w="0" w:type="dxa"/>
          </w:tblCellMar>
        </w:tblPrEx>
        <w:trPr>
          <w:trHeight w:val="270"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2831"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left"/>
              <w:rPr>
                <w:rFonts w:hint="eastAsia" w:ascii="宋体" w:hAnsi="宋体" w:eastAsia="宋体" w:cs="宋体"/>
                <w:i w:val="0"/>
                <w:color w:val="auto"/>
                <w:sz w:val="24"/>
                <w:szCs w:val="24"/>
                <w:u w:val="none"/>
              </w:rPr>
            </w:pP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left"/>
              <w:textAlignment w:val="center"/>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③迎检专家费用</w:t>
            </w:r>
          </w:p>
        </w:tc>
        <w:tc>
          <w:tcPr>
            <w:tcW w:w="3001" w:type="dxa"/>
            <w:gridSpan w:val="2"/>
            <w:vMerge w:val="continue"/>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rPr>
            </w:pPr>
          </w:p>
        </w:tc>
        <w:tc>
          <w:tcPr>
            <w:tcW w:w="1708" w:type="dxa"/>
            <w:vMerge w:val="continue"/>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4"/>
                <w:szCs w:val="24"/>
                <w:u w:val="none"/>
              </w:rPr>
            </w:pPr>
          </w:p>
        </w:tc>
      </w:tr>
      <w:tr>
        <w:tblPrEx>
          <w:shd w:val="clear" w:color="auto" w:fill="auto"/>
          <w:tblCellMar>
            <w:top w:w="0" w:type="dxa"/>
            <w:left w:w="0" w:type="dxa"/>
            <w:bottom w:w="0" w:type="dxa"/>
            <w:right w:w="0" w:type="dxa"/>
          </w:tblCellMar>
        </w:tblPrEx>
        <w:trPr>
          <w:trHeight w:val="270"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2831"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left"/>
              <w:rPr>
                <w:rFonts w:hint="eastAsia" w:ascii="宋体" w:hAnsi="宋体" w:eastAsia="宋体" w:cs="宋体"/>
                <w:i w:val="0"/>
                <w:color w:val="auto"/>
                <w:sz w:val="24"/>
                <w:szCs w:val="24"/>
                <w:u w:val="none"/>
              </w:rPr>
            </w:pP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left"/>
              <w:textAlignment w:val="center"/>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④各类绿地、公共设施实景图册</w:t>
            </w:r>
          </w:p>
        </w:tc>
        <w:tc>
          <w:tcPr>
            <w:tcW w:w="3001" w:type="dxa"/>
            <w:gridSpan w:val="2"/>
            <w:vMerge w:val="continue"/>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rPr>
            </w:pPr>
          </w:p>
        </w:tc>
        <w:tc>
          <w:tcPr>
            <w:tcW w:w="1708" w:type="dxa"/>
            <w:vMerge w:val="continue"/>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4"/>
                <w:szCs w:val="24"/>
                <w:u w:val="none"/>
              </w:rPr>
            </w:pPr>
          </w:p>
        </w:tc>
      </w:tr>
      <w:tr>
        <w:tblPrEx>
          <w:shd w:val="clear" w:color="auto" w:fill="auto"/>
          <w:tblCellMar>
            <w:top w:w="0" w:type="dxa"/>
            <w:left w:w="0" w:type="dxa"/>
            <w:bottom w:w="0" w:type="dxa"/>
            <w:right w:w="0" w:type="dxa"/>
          </w:tblCellMar>
        </w:tblPrEx>
        <w:trPr>
          <w:trHeight w:val="270"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2831"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left"/>
              <w:rPr>
                <w:rFonts w:hint="eastAsia" w:ascii="宋体" w:hAnsi="宋体" w:eastAsia="宋体" w:cs="宋体"/>
                <w:i w:val="0"/>
                <w:color w:val="auto"/>
                <w:sz w:val="24"/>
                <w:szCs w:val="24"/>
                <w:u w:val="none"/>
              </w:rPr>
            </w:pP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left"/>
              <w:textAlignment w:val="center"/>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⑤公众对园林绿化满意率调查</w:t>
            </w:r>
          </w:p>
        </w:tc>
        <w:tc>
          <w:tcPr>
            <w:tcW w:w="3001" w:type="dxa"/>
            <w:gridSpan w:val="2"/>
            <w:vMerge w:val="continue"/>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rPr>
            </w:pPr>
          </w:p>
        </w:tc>
        <w:tc>
          <w:tcPr>
            <w:tcW w:w="1708" w:type="dxa"/>
            <w:vMerge w:val="continue"/>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4"/>
                <w:szCs w:val="24"/>
                <w:u w:val="none"/>
              </w:rPr>
            </w:pPr>
          </w:p>
        </w:tc>
      </w:tr>
      <w:tr>
        <w:tblPrEx>
          <w:tblCellMar>
            <w:top w:w="0" w:type="dxa"/>
            <w:left w:w="0" w:type="dxa"/>
            <w:bottom w:w="0" w:type="dxa"/>
            <w:right w:w="0" w:type="dxa"/>
          </w:tblCellMar>
        </w:tblPrEx>
        <w:trPr>
          <w:trHeight w:val="377"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2831"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left"/>
              <w:rPr>
                <w:rFonts w:hint="eastAsia" w:ascii="宋体" w:hAnsi="宋体" w:eastAsia="宋体" w:cs="宋体"/>
                <w:i w:val="0"/>
                <w:color w:val="auto"/>
                <w:sz w:val="24"/>
                <w:szCs w:val="24"/>
                <w:u w:val="none"/>
              </w:rPr>
            </w:pP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left"/>
              <w:textAlignment w:val="center"/>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⑥园林式居住区评选</w:t>
            </w:r>
          </w:p>
        </w:tc>
        <w:tc>
          <w:tcPr>
            <w:tcW w:w="3001" w:type="dxa"/>
            <w:gridSpan w:val="2"/>
            <w:vMerge w:val="continue"/>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rPr>
            </w:pPr>
          </w:p>
        </w:tc>
        <w:tc>
          <w:tcPr>
            <w:tcW w:w="1708" w:type="dxa"/>
            <w:vMerge w:val="continue"/>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4"/>
                <w:szCs w:val="24"/>
                <w:u w:val="none"/>
              </w:rPr>
            </w:pPr>
          </w:p>
        </w:tc>
      </w:tr>
      <w:tr>
        <w:tblPrEx>
          <w:shd w:val="clear" w:color="auto" w:fill="auto"/>
          <w:tblCellMar>
            <w:top w:w="0" w:type="dxa"/>
            <w:left w:w="0" w:type="dxa"/>
            <w:bottom w:w="0" w:type="dxa"/>
            <w:right w:w="0" w:type="dxa"/>
          </w:tblCellMar>
        </w:tblPrEx>
        <w:trPr>
          <w:trHeight w:val="270"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2831"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left"/>
              <w:rPr>
                <w:rFonts w:hint="eastAsia" w:ascii="宋体" w:hAnsi="宋体" w:eastAsia="宋体" w:cs="宋体"/>
                <w:i w:val="0"/>
                <w:color w:val="auto"/>
                <w:sz w:val="24"/>
                <w:szCs w:val="24"/>
                <w:u w:val="none"/>
              </w:rPr>
            </w:pP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left"/>
              <w:textAlignment w:val="center"/>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⑦创园技术报告片拍摄制作</w:t>
            </w:r>
          </w:p>
        </w:tc>
        <w:tc>
          <w:tcPr>
            <w:tcW w:w="3001" w:type="dxa"/>
            <w:gridSpan w:val="2"/>
            <w:vMerge w:val="continue"/>
            <w:tcBorders>
              <w:top w:val="single" w:color="000000" w:sz="4" w:space="0"/>
              <w:left w:val="single" w:color="000000" w:sz="4" w:space="0"/>
              <w:bottom w:val="single" w:color="000000" w:sz="4" w:space="0"/>
              <w:right w:val="single" w:color="auto" w:sz="4" w:space="0"/>
            </w:tcBorders>
            <w:shd w:val="clear" w:color="auto" w:fill="auto"/>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rPr>
            </w:pPr>
          </w:p>
        </w:tc>
        <w:tc>
          <w:tcPr>
            <w:tcW w:w="1708" w:type="dxa"/>
            <w:vMerge w:val="continue"/>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p>
        </w:tc>
      </w:tr>
      <w:tr>
        <w:tblPrEx>
          <w:shd w:val="clear" w:color="auto" w:fill="auto"/>
          <w:tblCellMar>
            <w:top w:w="0" w:type="dxa"/>
            <w:left w:w="0" w:type="dxa"/>
            <w:bottom w:w="0" w:type="dxa"/>
            <w:right w:w="0" w:type="dxa"/>
          </w:tblCellMar>
        </w:tblPrEx>
        <w:trPr>
          <w:trHeight w:val="380"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2831" w:type="dxa"/>
            <w:gridSpan w:val="2"/>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《县城绿线图则》</w:t>
            </w: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left"/>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①经批准的《县城绿线图则》，并通过</w:t>
            </w:r>
            <w:r>
              <w:rPr>
                <w:rFonts w:hint="default" w:ascii="Times New Roman" w:hAnsi="Times New Roman" w:eastAsia="宋体" w:cs="Times New Roman"/>
                <w:i w:val="0"/>
                <w:color w:val="auto"/>
                <w:kern w:val="0"/>
                <w:sz w:val="22"/>
                <w:szCs w:val="22"/>
                <w:u w:val="none"/>
                <w:lang w:val="en-US" w:eastAsia="zh-CN" w:bidi="ar"/>
              </w:rPr>
              <w:t>2</w:t>
            </w:r>
            <w:r>
              <w:rPr>
                <w:rFonts w:hint="eastAsia" w:ascii="宋体" w:hAnsi="宋体" w:eastAsia="宋体" w:cs="宋体"/>
                <w:i w:val="0"/>
                <w:color w:val="auto"/>
                <w:kern w:val="0"/>
                <w:sz w:val="22"/>
                <w:szCs w:val="22"/>
                <w:u w:val="none"/>
                <w:lang w:val="en-US" w:eastAsia="zh-CN" w:bidi="ar"/>
              </w:rPr>
              <w:t>种以上媒体公布；</w:t>
            </w:r>
          </w:p>
        </w:tc>
        <w:tc>
          <w:tcPr>
            <w:tcW w:w="3001" w:type="dxa"/>
            <w:gridSpan w:val="2"/>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default" w:ascii="Times New Roman" w:hAnsi="Times New Roman" w:eastAsia="宋体" w:cs="Times New Roman"/>
                <w:i w:val="0"/>
                <w:color w:val="auto"/>
                <w:kern w:val="0"/>
                <w:sz w:val="22"/>
                <w:szCs w:val="22"/>
                <w:u w:val="none"/>
                <w:lang w:val="en-US" w:eastAsia="zh-CN" w:bidi="ar"/>
              </w:rPr>
              <w:t>60</w:t>
            </w:r>
          </w:p>
        </w:tc>
        <w:tc>
          <w:tcPr>
            <w:tcW w:w="1708" w:type="dxa"/>
            <w:vMerge w:val="restart"/>
            <w:tcBorders>
              <w:top w:val="single" w:color="auto"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2021年9月</w:t>
            </w:r>
          </w:p>
        </w:tc>
      </w:tr>
      <w:tr>
        <w:tblPrEx>
          <w:shd w:val="clear" w:color="auto" w:fill="auto"/>
          <w:tblCellMar>
            <w:top w:w="0" w:type="dxa"/>
            <w:left w:w="0" w:type="dxa"/>
            <w:bottom w:w="0" w:type="dxa"/>
            <w:right w:w="0" w:type="dxa"/>
          </w:tblCellMar>
        </w:tblPrEx>
        <w:trPr>
          <w:trHeight w:val="90"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2831"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left"/>
              <w:rPr>
                <w:rFonts w:hint="eastAsia" w:ascii="宋体" w:hAnsi="宋体" w:eastAsia="宋体" w:cs="宋体"/>
                <w:i w:val="0"/>
                <w:color w:val="auto"/>
                <w:sz w:val="24"/>
                <w:szCs w:val="24"/>
                <w:u w:val="none"/>
              </w:rPr>
            </w:pP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left"/>
              <w:rPr>
                <w:rFonts w:hint="eastAsia" w:ascii="宋体" w:hAnsi="宋体" w:eastAsia="宋体" w:cs="宋体"/>
                <w:i w:val="0"/>
                <w:color w:val="auto"/>
                <w:kern w:val="0"/>
                <w:sz w:val="22"/>
                <w:szCs w:val="22"/>
                <w:u w:val="none"/>
                <w:lang w:bidi="ar"/>
              </w:rPr>
            </w:pPr>
            <w:r>
              <w:rPr>
                <w:rFonts w:hint="eastAsia" w:ascii="宋体" w:hAnsi="宋体" w:eastAsia="宋体" w:cs="宋体"/>
                <w:i w:val="0"/>
                <w:color w:val="auto"/>
                <w:kern w:val="0"/>
                <w:sz w:val="22"/>
                <w:szCs w:val="22"/>
                <w:u w:val="none"/>
                <w:lang w:val="en-US" w:eastAsia="zh-CN" w:bidi="ar"/>
              </w:rPr>
              <w:t>②绘制绿线公示牌或界碑位置平面图，拍摄现场照片；</w:t>
            </w:r>
          </w:p>
        </w:tc>
        <w:tc>
          <w:tcPr>
            <w:tcW w:w="3001"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rPr>
            </w:pPr>
          </w:p>
        </w:tc>
        <w:tc>
          <w:tcPr>
            <w:tcW w:w="1708" w:type="dxa"/>
            <w:vMerge w:val="continue"/>
            <w:tcBorders>
              <w:top w:val="single" w:color="auto"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4"/>
                <w:szCs w:val="24"/>
                <w:u w:val="none"/>
              </w:rPr>
            </w:pPr>
          </w:p>
        </w:tc>
      </w:tr>
      <w:tr>
        <w:tblPrEx>
          <w:shd w:val="clear" w:color="auto" w:fill="auto"/>
          <w:tblCellMar>
            <w:top w:w="0" w:type="dxa"/>
            <w:left w:w="0" w:type="dxa"/>
            <w:bottom w:w="0" w:type="dxa"/>
            <w:right w:w="0" w:type="dxa"/>
          </w:tblCellMar>
        </w:tblPrEx>
        <w:trPr>
          <w:trHeight w:val="270"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2831"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left"/>
              <w:rPr>
                <w:rFonts w:hint="eastAsia" w:ascii="宋体" w:hAnsi="宋体" w:eastAsia="宋体" w:cs="宋体"/>
                <w:i w:val="0"/>
                <w:color w:val="auto"/>
                <w:sz w:val="24"/>
                <w:szCs w:val="24"/>
                <w:u w:val="none"/>
              </w:rPr>
            </w:pP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left"/>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③编制县城绿线实施与执行情况报告。</w:t>
            </w:r>
          </w:p>
        </w:tc>
        <w:tc>
          <w:tcPr>
            <w:tcW w:w="3001"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rPr>
            </w:pPr>
          </w:p>
        </w:tc>
        <w:tc>
          <w:tcPr>
            <w:tcW w:w="1708" w:type="dxa"/>
            <w:vMerge w:val="continue"/>
            <w:tcBorders>
              <w:top w:val="single" w:color="auto"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p>
        </w:tc>
      </w:tr>
      <w:tr>
        <w:tblPrEx>
          <w:tblCellMar>
            <w:top w:w="0" w:type="dxa"/>
            <w:left w:w="0" w:type="dxa"/>
            <w:bottom w:w="0" w:type="dxa"/>
            <w:right w:w="0" w:type="dxa"/>
          </w:tblCellMar>
        </w:tblPrEx>
        <w:trPr>
          <w:trHeight w:val="584"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2831"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历史文化名城保护规划</w:t>
            </w: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left"/>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经批准的历史文化名城保护规划及实施方案。</w:t>
            </w:r>
          </w:p>
        </w:tc>
        <w:tc>
          <w:tcPr>
            <w:tcW w:w="3001"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default" w:ascii="Times New Roman" w:hAnsi="Times New Roman" w:eastAsia="宋体" w:cs="Times New Roman"/>
                <w:i w:val="0"/>
                <w:color w:val="auto"/>
                <w:kern w:val="0"/>
                <w:sz w:val="22"/>
                <w:szCs w:val="22"/>
                <w:u w:val="none"/>
                <w:lang w:val="en-US" w:eastAsia="zh-CN" w:bidi="ar"/>
              </w:rPr>
              <w:t>100</w:t>
            </w:r>
          </w:p>
        </w:tc>
        <w:tc>
          <w:tcPr>
            <w:tcW w:w="1708" w:type="dxa"/>
            <w:vMerge w:val="restart"/>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2021年6月</w:t>
            </w:r>
          </w:p>
        </w:tc>
      </w:tr>
      <w:tr>
        <w:tblPrEx>
          <w:shd w:val="clear" w:color="auto" w:fill="auto"/>
          <w:tblCellMar>
            <w:top w:w="0" w:type="dxa"/>
            <w:left w:w="0" w:type="dxa"/>
            <w:bottom w:w="0" w:type="dxa"/>
            <w:right w:w="0" w:type="dxa"/>
          </w:tblCellMar>
        </w:tblPrEx>
        <w:trPr>
          <w:trHeight w:val="270"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2831" w:type="dxa"/>
            <w:gridSpan w:val="2"/>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湿地保护规划</w:t>
            </w: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left"/>
              <w:textAlignment w:val="center"/>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①县湿地资源普查；</w:t>
            </w:r>
          </w:p>
        </w:tc>
        <w:tc>
          <w:tcPr>
            <w:tcW w:w="3001" w:type="dxa"/>
            <w:gridSpan w:val="2"/>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default" w:ascii="Times New Roman" w:hAnsi="Times New Roman" w:eastAsia="宋体" w:cs="Times New Roman"/>
                <w:i w:val="0"/>
                <w:color w:val="auto"/>
                <w:kern w:val="0"/>
                <w:sz w:val="22"/>
                <w:szCs w:val="22"/>
                <w:u w:val="none"/>
                <w:lang w:val="en-US" w:eastAsia="zh-CN" w:bidi="ar"/>
              </w:rPr>
              <w:t>60</w:t>
            </w:r>
          </w:p>
        </w:tc>
        <w:tc>
          <w:tcPr>
            <w:tcW w:w="1708" w:type="dxa"/>
            <w:vMerge w:val="continue"/>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top"/>
          </w:tcPr>
          <w:p>
            <w:pPr>
              <w:jc w:val="center"/>
              <w:rPr>
                <w:rFonts w:hint="default" w:ascii="Times New Roman" w:hAnsi="Times New Roman" w:eastAsia="宋体" w:cs="Times New Roman"/>
                <w:i w:val="0"/>
                <w:color w:val="auto"/>
                <w:sz w:val="24"/>
                <w:szCs w:val="24"/>
                <w:u w:val="none"/>
              </w:rPr>
            </w:pPr>
          </w:p>
        </w:tc>
      </w:tr>
      <w:tr>
        <w:tblPrEx>
          <w:shd w:val="clear" w:color="auto" w:fill="auto"/>
          <w:tblCellMar>
            <w:top w:w="0" w:type="dxa"/>
            <w:left w:w="0" w:type="dxa"/>
            <w:bottom w:w="0" w:type="dxa"/>
            <w:right w:w="0" w:type="dxa"/>
          </w:tblCellMar>
        </w:tblPrEx>
        <w:trPr>
          <w:trHeight w:val="270"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2831"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left"/>
              <w:rPr>
                <w:rFonts w:hint="eastAsia" w:ascii="宋体" w:hAnsi="宋体" w:eastAsia="宋体" w:cs="宋体"/>
                <w:i w:val="0"/>
                <w:color w:val="auto"/>
                <w:sz w:val="24"/>
                <w:szCs w:val="24"/>
                <w:u w:val="none"/>
              </w:rPr>
            </w:pP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left"/>
              <w:textAlignment w:val="center"/>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②湿地资源保护规划及实施方案。</w:t>
            </w:r>
          </w:p>
        </w:tc>
        <w:tc>
          <w:tcPr>
            <w:tcW w:w="3001"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rPr>
            </w:pPr>
          </w:p>
        </w:tc>
        <w:tc>
          <w:tcPr>
            <w:tcW w:w="1708" w:type="dxa"/>
            <w:vMerge w:val="continue"/>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top"/>
          </w:tcPr>
          <w:p>
            <w:pPr>
              <w:jc w:val="center"/>
              <w:rPr>
                <w:rFonts w:hint="default" w:ascii="Times New Roman" w:hAnsi="Times New Roman" w:eastAsia="宋体" w:cs="Times New Roman"/>
                <w:i w:val="0"/>
                <w:color w:val="auto"/>
                <w:sz w:val="24"/>
                <w:szCs w:val="24"/>
                <w:u w:val="none"/>
              </w:rPr>
            </w:pPr>
          </w:p>
        </w:tc>
      </w:tr>
      <w:tr>
        <w:tblPrEx>
          <w:shd w:val="clear" w:color="auto" w:fill="auto"/>
          <w:tblCellMar>
            <w:top w:w="0" w:type="dxa"/>
            <w:left w:w="0" w:type="dxa"/>
            <w:bottom w:w="0" w:type="dxa"/>
            <w:right w:w="0" w:type="dxa"/>
          </w:tblCellMar>
        </w:tblPrEx>
        <w:trPr>
          <w:trHeight w:val="429"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2831"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县域生物物种资源普查</w:t>
            </w: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left"/>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县城生物物种（县域范围）资源本底调查。</w:t>
            </w:r>
          </w:p>
        </w:tc>
        <w:tc>
          <w:tcPr>
            <w:tcW w:w="3001" w:type="dxa"/>
            <w:gridSpan w:val="2"/>
            <w:vMerge w:val="restart"/>
            <w:tcBorders>
              <w:top w:val="single" w:color="000000" w:sz="4" w:space="0"/>
              <w:left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default" w:ascii="Times New Roman" w:hAnsi="Times New Roman" w:eastAsia="宋体" w:cs="Times New Roman"/>
                <w:i w:val="0"/>
                <w:color w:val="auto"/>
                <w:kern w:val="0"/>
                <w:sz w:val="22"/>
                <w:szCs w:val="22"/>
                <w:u w:val="none"/>
                <w:lang w:val="en-US" w:eastAsia="zh-CN" w:bidi="ar"/>
              </w:rPr>
              <w:t>120</w:t>
            </w:r>
          </w:p>
        </w:tc>
        <w:tc>
          <w:tcPr>
            <w:tcW w:w="1708" w:type="dxa"/>
            <w:vMerge w:val="restart"/>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2021年8月</w:t>
            </w:r>
          </w:p>
        </w:tc>
      </w:tr>
      <w:tr>
        <w:tblPrEx>
          <w:shd w:val="clear" w:color="auto" w:fill="auto"/>
          <w:tblCellMar>
            <w:top w:w="0" w:type="dxa"/>
            <w:left w:w="0" w:type="dxa"/>
            <w:bottom w:w="0" w:type="dxa"/>
            <w:right w:w="0" w:type="dxa"/>
          </w:tblCellMar>
        </w:tblPrEx>
        <w:trPr>
          <w:trHeight w:val="360"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2831" w:type="dxa"/>
            <w:gridSpan w:val="2"/>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auto"/>
                <w:sz w:val="24"/>
                <w:szCs w:val="24"/>
                <w:u w:val="none"/>
              </w:rPr>
            </w:pPr>
            <w:r>
              <w:rPr>
                <w:rFonts w:hint="eastAsia" w:ascii="宋体" w:hAnsi="宋体" w:eastAsia="宋体" w:cs="宋体"/>
                <w:i w:val="0"/>
                <w:color w:val="auto"/>
                <w:kern w:val="0"/>
                <w:sz w:val="24"/>
                <w:szCs w:val="24"/>
                <w:u w:val="none"/>
                <w:lang w:val="en-US" w:eastAsia="zh-CN" w:bidi="ar"/>
              </w:rPr>
              <w:t>建成区乡土适生植物使用情况</w:t>
            </w: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left"/>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①建成区乡土适生树种调查表、图册；</w:t>
            </w:r>
          </w:p>
        </w:tc>
        <w:tc>
          <w:tcPr>
            <w:tcW w:w="3001" w:type="dxa"/>
            <w:gridSpan w:val="2"/>
            <w:vMerge w:val="continue"/>
            <w:tcBorders>
              <w:left w:val="single" w:color="000000" w:sz="4" w:space="0"/>
              <w:right w:val="single" w:color="000000" w:sz="4" w:space="0"/>
            </w:tcBorders>
            <w:shd w:val="clear" w:color="auto" w:fill="auto"/>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rPr>
            </w:pPr>
          </w:p>
        </w:tc>
        <w:tc>
          <w:tcPr>
            <w:tcW w:w="1708" w:type="dxa"/>
            <w:vMerge w:val="continue"/>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jc w:val="center"/>
              <w:rPr>
                <w:rFonts w:hint="default" w:ascii="Times New Roman" w:hAnsi="Times New Roman" w:eastAsia="宋体" w:cs="Times New Roman"/>
                <w:i w:val="0"/>
                <w:color w:val="auto"/>
                <w:sz w:val="24"/>
                <w:szCs w:val="24"/>
                <w:u w:val="none"/>
              </w:rPr>
            </w:pPr>
          </w:p>
        </w:tc>
      </w:tr>
      <w:tr>
        <w:tblPrEx>
          <w:shd w:val="clear" w:color="auto" w:fill="auto"/>
          <w:tblCellMar>
            <w:top w:w="0" w:type="dxa"/>
            <w:left w:w="0" w:type="dxa"/>
            <w:bottom w:w="0" w:type="dxa"/>
            <w:right w:w="0" w:type="dxa"/>
          </w:tblCellMar>
        </w:tblPrEx>
        <w:trPr>
          <w:trHeight w:val="270"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2831"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left"/>
              <w:rPr>
                <w:rFonts w:hint="eastAsia" w:ascii="宋体" w:hAnsi="宋体" w:eastAsia="宋体" w:cs="宋体"/>
                <w:i w:val="0"/>
                <w:color w:val="auto"/>
                <w:sz w:val="24"/>
                <w:szCs w:val="24"/>
                <w:u w:val="none"/>
              </w:rPr>
            </w:pP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left"/>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②建成区本地物种植物调查统计表；</w:t>
            </w:r>
          </w:p>
        </w:tc>
        <w:tc>
          <w:tcPr>
            <w:tcW w:w="3001" w:type="dxa"/>
            <w:gridSpan w:val="2"/>
            <w:vMerge w:val="continue"/>
            <w:tcBorders>
              <w:left w:val="single" w:color="000000" w:sz="4" w:space="0"/>
              <w:right w:val="single" w:color="000000" w:sz="4" w:space="0"/>
            </w:tcBorders>
            <w:shd w:val="clear" w:color="auto" w:fill="auto"/>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rPr>
            </w:pPr>
          </w:p>
        </w:tc>
        <w:tc>
          <w:tcPr>
            <w:tcW w:w="1708" w:type="dxa"/>
            <w:vMerge w:val="continue"/>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jc w:val="center"/>
              <w:rPr>
                <w:rFonts w:hint="default" w:ascii="Times New Roman" w:hAnsi="Times New Roman" w:eastAsia="宋体" w:cs="Times New Roman"/>
                <w:i w:val="0"/>
                <w:color w:val="auto"/>
                <w:sz w:val="24"/>
                <w:szCs w:val="24"/>
                <w:u w:val="none"/>
              </w:rPr>
            </w:pPr>
          </w:p>
        </w:tc>
      </w:tr>
      <w:tr>
        <w:tblPrEx>
          <w:shd w:val="clear" w:color="auto" w:fill="auto"/>
          <w:tblCellMar>
            <w:top w:w="0" w:type="dxa"/>
            <w:left w:w="0" w:type="dxa"/>
            <w:bottom w:w="0" w:type="dxa"/>
            <w:right w:w="0" w:type="dxa"/>
          </w:tblCellMar>
        </w:tblPrEx>
        <w:trPr>
          <w:trHeight w:val="270"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2831"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left"/>
              <w:rPr>
                <w:rFonts w:hint="eastAsia" w:ascii="宋体" w:hAnsi="宋体" w:eastAsia="宋体" w:cs="宋体"/>
                <w:i w:val="0"/>
                <w:color w:val="auto"/>
                <w:sz w:val="24"/>
                <w:szCs w:val="24"/>
                <w:u w:val="none"/>
              </w:rPr>
            </w:pPr>
          </w:p>
        </w:tc>
        <w:tc>
          <w:tcPr>
            <w:tcW w:w="527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left"/>
              <w:textAlignment w:val="center"/>
              <w:rPr>
                <w:rFonts w:hint="default" w:ascii="Times New Roman" w:hAnsi="Times New Roman" w:eastAsia="宋体" w:cs="Times New Roman"/>
                <w:i w:val="0"/>
                <w:color w:val="auto"/>
                <w:sz w:val="22"/>
                <w:szCs w:val="22"/>
                <w:u w:val="none"/>
              </w:rPr>
            </w:pPr>
            <w:r>
              <w:rPr>
                <w:rFonts w:hint="eastAsia" w:ascii="宋体" w:hAnsi="宋体" w:eastAsia="宋体" w:cs="宋体"/>
                <w:i w:val="0"/>
                <w:color w:val="auto"/>
                <w:kern w:val="0"/>
                <w:sz w:val="22"/>
                <w:szCs w:val="22"/>
                <w:u w:val="none"/>
                <w:lang w:val="en-US" w:eastAsia="zh-CN" w:bidi="ar"/>
              </w:rPr>
              <w:t>③建成区本地木本植物本底调查报告。</w:t>
            </w:r>
          </w:p>
        </w:tc>
        <w:tc>
          <w:tcPr>
            <w:tcW w:w="3001" w:type="dxa"/>
            <w:gridSpan w:val="2"/>
            <w:vMerge w:val="continue"/>
            <w:tcBorders>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rPr>
            </w:pPr>
          </w:p>
        </w:tc>
        <w:tc>
          <w:tcPr>
            <w:tcW w:w="1708" w:type="dxa"/>
            <w:vMerge w:val="continue"/>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jc w:val="center"/>
              <w:rPr>
                <w:rFonts w:hint="default" w:ascii="Times New Roman" w:hAnsi="Times New Roman" w:eastAsia="宋体" w:cs="Times New Roman"/>
                <w:i w:val="0"/>
                <w:color w:val="auto"/>
                <w:sz w:val="24"/>
                <w:szCs w:val="24"/>
                <w:u w:val="none"/>
              </w:rPr>
            </w:pPr>
          </w:p>
        </w:tc>
      </w:tr>
      <w:tr>
        <w:tblPrEx>
          <w:tblCellMar>
            <w:top w:w="0" w:type="dxa"/>
            <w:left w:w="0" w:type="dxa"/>
            <w:bottom w:w="0" w:type="dxa"/>
            <w:right w:w="0" w:type="dxa"/>
          </w:tblCellMar>
        </w:tblPrEx>
        <w:trPr>
          <w:trHeight w:val="270"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2831" w:type="dxa"/>
            <w:gridSpan w:val="2"/>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县城园林绿化数字化管理信息系统</w:t>
            </w:r>
          </w:p>
        </w:tc>
        <w:tc>
          <w:tcPr>
            <w:tcW w:w="52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①建立县城园林绿化数字化管理信息系统，可操作运行，并编写系统框架说明书；</w:t>
            </w:r>
          </w:p>
        </w:tc>
        <w:tc>
          <w:tcPr>
            <w:tcW w:w="3001" w:type="dxa"/>
            <w:gridSpan w:val="2"/>
            <w:vMerge w:val="restart"/>
            <w:tcBorders>
              <w:top w:val="single" w:color="000000" w:sz="4" w:space="0"/>
              <w:left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default" w:ascii="Times New Roman" w:hAnsi="Times New Roman" w:eastAsia="宋体" w:cs="Times New Roman"/>
                <w:i w:val="0"/>
                <w:color w:val="auto"/>
                <w:kern w:val="0"/>
                <w:sz w:val="22"/>
                <w:szCs w:val="22"/>
                <w:u w:val="none"/>
                <w:lang w:val="en-US" w:eastAsia="zh-CN" w:bidi="ar"/>
              </w:rPr>
              <w:t>20</w:t>
            </w:r>
          </w:p>
        </w:tc>
        <w:tc>
          <w:tcPr>
            <w:tcW w:w="1708" w:type="dxa"/>
            <w:vMerge w:val="restart"/>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2021年8月</w:t>
            </w:r>
          </w:p>
        </w:tc>
      </w:tr>
      <w:tr>
        <w:tblPrEx>
          <w:shd w:val="clear" w:color="auto" w:fill="auto"/>
          <w:tblCellMar>
            <w:top w:w="0" w:type="dxa"/>
            <w:left w:w="0" w:type="dxa"/>
            <w:bottom w:w="0" w:type="dxa"/>
            <w:right w:w="0" w:type="dxa"/>
          </w:tblCellMar>
        </w:tblPrEx>
        <w:trPr>
          <w:trHeight w:val="270"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2831"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default" w:ascii="Times New Roman" w:hAnsi="Times New Roman" w:eastAsia="宋体" w:cs="Times New Roman"/>
                <w:i w:val="0"/>
                <w:color w:val="auto"/>
                <w:sz w:val="24"/>
                <w:szCs w:val="24"/>
                <w:u w:val="none"/>
              </w:rPr>
            </w:pPr>
          </w:p>
        </w:tc>
        <w:tc>
          <w:tcPr>
            <w:tcW w:w="52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②利用系统实施建设和管理动态监管的情况说明；</w:t>
            </w:r>
          </w:p>
        </w:tc>
        <w:tc>
          <w:tcPr>
            <w:tcW w:w="3001" w:type="dxa"/>
            <w:gridSpan w:val="2"/>
            <w:vMerge w:val="continue"/>
            <w:tcBorders>
              <w:left w:val="single" w:color="000000" w:sz="4" w:space="0"/>
              <w:right w:val="single" w:color="000000" w:sz="4" w:space="0"/>
            </w:tcBorders>
            <w:shd w:val="clear" w:color="auto" w:fill="auto"/>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rPr>
            </w:pPr>
          </w:p>
        </w:tc>
        <w:tc>
          <w:tcPr>
            <w:tcW w:w="1708" w:type="dxa"/>
            <w:vMerge w:val="continue"/>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top"/>
          </w:tcPr>
          <w:p>
            <w:pPr>
              <w:jc w:val="center"/>
              <w:rPr>
                <w:rFonts w:hint="default" w:ascii="Times New Roman" w:hAnsi="Times New Roman" w:eastAsia="宋体" w:cs="Times New Roman"/>
                <w:i w:val="0"/>
                <w:color w:val="auto"/>
                <w:sz w:val="24"/>
                <w:szCs w:val="24"/>
                <w:u w:val="none"/>
              </w:rPr>
            </w:pPr>
          </w:p>
        </w:tc>
      </w:tr>
      <w:tr>
        <w:tblPrEx>
          <w:shd w:val="clear" w:color="auto" w:fill="auto"/>
          <w:tblCellMar>
            <w:top w:w="0" w:type="dxa"/>
            <w:left w:w="0" w:type="dxa"/>
            <w:bottom w:w="0" w:type="dxa"/>
            <w:right w:w="0" w:type="dxa"/>
          </w:tblCellMar>
        </w:tblPrEx>
        <w:trPr>
          <w:trHeight w:val="489"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65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2831"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default" w:ascii="Times New Roman" w:hAnsi="Times New Roman" w:eastAsia="宋体" w:cs="Times New Roman"/>
                <w:i w:val="0"/>
                <w:color w:val="auto"/>
                <w:sz w:val="24"/>
                <w:szCs w:val="24"/>
                <w:u w:val="none"/>
              </w:rPr>
            </w:pPr>
          </w:p>
        </w:tc>
        <w:tc>
          <w:tcPr>
            <w:tcW w:w="527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default" w:ascii="Times New Roman" w:hAnsi="Times New Roman" w:eastAsia="宋体" w:cs="Times New Roman"/>
                <w:i w:val="0"/>
                <w:color w:val="auto"/>
                <w:sz w:val="24"/>
                <w:szCs w:val="24"/>
                <w:u w:val="none"/>
              </w:rPr>
            </w:pPr>
            <w:r>
              <w:rPr>
                <w:rFonts w:hint="default" w:ascii="Times New Roman" w:hAnsi="Times New Roman" w:eastAsia="宋体" w:cs="Times New Roman"/>
                <w:i w:val="0"/>
                <w:color w:val="auto"/>
                <w:kern w:val="0"/>
                <w:sz w:val="24"/>
                <w:szCs w:val="24"/>
                <w:u w:val="none"/>
                <w:lang w:val="en-US" w:eastAsia="zh-CN" w:bidi="ar"/>
              </w:rPr>
              <w:t>③利用系统为市民查询、公众参与和社会监督服务的情况说明。</w:t>
            </w:r>
          </w:p>
        </w:tc>
        <w:tc>
          <w:tcPr>
            <w:tcW w:w="3001" w:type="dxa"/>
            <w:gridSpan w:val="2"/>
            <w:vMerge w:val="continue"/>
            <w:tcBorders>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rPr>
            </w:pPr>
          </w:p>
        </w:tc>
        <w:tc>
          <w:tcPr>
            <w:tcW w:w="1708" w:type="dxa"/>
            <w:vMerge w:val="continue"/>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top"/>
          </w:tcPr>
          <w:p>
            <w:pPr>
              <w:jc w:val="center"/>
              <w:rPr>
                <w:rFonts w:hint="default" w:ascii="Times New Roman" w:hAnsi="Times New Roman" w:eastAsia="宋体" w:cs="Times New Roman"/>
                <w:i w:val="0"/>
                <w:color w:val="auto"/>
                <w:sz w:val="24"/>
                <w:szCs w:val="24"/>
                <w:u w:val="none"/>
              </w:rPr>
            </w:pPr>
          </w:p>
        </w:tc>
      </w:tr>
      <w:tr>
        <w:tblPrEx>
          <w:shd w:val="clear" w:color="auto" w:fill="auto"/>
          <w:tblCellMar>
            <w:top w:w="0" w:type="dxa"/>
            <w:left w:w="0" w:type="dxa"/>
            <w:bottom w:w="0" w:type="dxa"/>
            <w:right w:w="0" w:type="dxa"/>
          </w:tblCellMar>
        </w:tblPrEx>
        <w:trPr>
          <w:trHeight w:val="315" w:hRule="atLeast"/>
          <w:jc w:val="center"/>
        </w:trPr>
        <w:tc>
          <w:tcPr>
            <w:tcW w:w="47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auto"/>
                <w:sz w:val="24"/>
                <w:szCs w:val="24"/>
                <w:u w:val="none"/>
              </w:rPr>
            </w:pPr>
          </w:p>
        </w:tc>
        <w:tc>
          <w:tcPr>
            <w:tcW w:w="65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auto"/>
                <w:sz w:val="24"/>
                <w:szCs w:val="24"/>
                <w:u w:val="none"/>
              </w:rPr>
            </w:pPr>
            <w:r>
              <w:rPr>
                <w:rFonts w:hint="eastAsia" w:ascii="宋体" w:hAnsi="宋体" w:cs="宋体"/>
                <w:b/>
                <w:i w:val="0"/>
                <w:color w:val="auto"/>
                <w:kern w:val="0"/>
                <w:sz w:val="24"/>
                <w:szCs w:val="24"/>
                <w:u w:val="none"/>
                <w:lang w:val="en-US" w:eastAsia="zh-CN" w:bidi="ar"/>
              </w:rPr>
              <w:t>合</w:t>
            </w:r>
            <w:r>
              <w:rPr>
                <w:rFonts w:hint="eastAsia" w:ascii="宋体" w:hAnsi="宋体" w:eastAsia="宋体" w:cs="宋体"/>
                <w:b/>
                <w:i w:val="0"/>
                <w:color w:val="auto"/>
                <w:kern w:val="0"/>
                <w:sz w:val="24"/>
                <w:szCs w:val="24"/>
                <w:u w:val="none"/>
                <w:lang w:val="en-US" w:eastAsia="zh-CN" w:bidi="ar"/>
              </w:rPr>
              <w:t>计</w:t>
            </w:r>
          </w:p>
        </w:tc>
        <w:tc>
          <w:tcPr>
            <w:tcW w:w="8108" w:type="dxa"/>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default" w:ascii="Times New Roman" w:hAnsi="Times New Roman" w:eastAsia="宋体" w:cs="Times New Roman"/>
                <w:b/>
                <w:i w:val="0"/>
                <w:color w:val="auto"/>
                <w:sz w:val="24"/>
                <w:szCs w:val="24"/>
                <w:u w:val="none"/>
              </w:rPr>
            </w:pPr>
          </w:p>
        </w:tc>
        <w:tc>
          <w:tcPr>
            <w:tcW w:w="3001"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24"/>
                <w:szCs w:val="24"/>
                <w:u w:val="none"/>
                <w:lang w:val="en-US"/>
              </w:rPr>
            </w:pPr>
            <w:r>
              <w:rPr>
                <w:rFonts w:hint="eastAsia" w:ascii="Times New Roman" w:hAnsi="Times New Roman" w:cs="Times New Roman"/>
                <w:b/>
                <w:i w:val="0"/>
                <w:color w:val="auto"/>
                <w:kern w:val="0"/>
                <w:sz w:val="24"/>
                <w:szCs w:val="24"/>
                <w:u w:val="none"/>
                <w:lang w:val="en-US" w:eastAsia="zh-CN" w:bidi="ar"/>
              </w:rPr>
              <w:t>610</w:t>
            </w:r>
          </w:p>
        </w:tc>
        <w:tc>
          <w:tcPr>
            <w:tcW w:w="1708"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default" w:ascii="Times New Roman" w:hAnsi="Times New Roman" w:eastAsia="宋体" w:cs="Times New Roman"/>
                <w:b/>
                <w:i w:val="0"/>
                <w:color w:val="auto"/>
                <w:sz w:val="24"/>
                <w:szCs w:val="24"/>
                <w:u w:val="none"/>
              </w:rPr>
            </w:pPr>
          </w:p>
        </w:tc>
      </w:tr>
      <w:tr>
        <w:tblPrEx>
          <w:shd w:val="clear" w:color="auto" w:fill="auto"/>
          <w:tblCellMar>
            <w:top w:w="0" w:type="dxa"/>
            <w:left w:w="0" w:type="dxa"/>
            <w:bottom w:w="0" w:type="dxa"/>
            <w:right w:w="0" w:type="dxa"/>
          </w:tblCellMar>
        </w:tblPrEx>
        <w:trPr>
          <w:trHeight w:val="420" w:hRule="atLeast"/>
          <w:jc w:val="center"/>
        </w:trPr>
        <w:tc>
          <w:tcPr>
            <w:tcW w:w="9232"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auto"/>
                <w:kern w:val="0"/>
                <w:sz w:val="24"/>
                <w:szCs w:val="24"/>
                <w:u w:val="none"/>
                <w:lang w:val="en-US" w:eastAsia="zh-CN" w:bidi="ar"/>
              </w:rPr>
            </w:pPr>
            <w:r>
              <w:rPr>
                <w:rFonts w:hint="eastAsia" w:ascii="宋体" w:hAnsi="宋体" w:eastAsia="宋体" w:cs="宋体"/>
                <w:b/>
                <w:i w:val="0"/>
                <w:color w:val="auto"/>
                <w:kern w:val="0"/>
                <w:sz w:val="24"/>
                <w:szCs w:val="24"/>
                <w:u w:val="none"/>
                <w:lang w:val="en-US" w:eastAsia="zh-CN" w:bidi="ar"/>
              </w:rPr>
              <w:t>总计</w:t>
            </w:r>
          </w:p>
        </w:tc>
        <w:tc>
          <w:tcPr>
            <w:tcW w:w="150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24"/>
                <w:szCs w:val="24"/>
                <w:u w:val="none"/>
                <w:lang w:val="en-US"/>
              </w:rPr>
            </w:pPr>
            <w:r>
              <w:rPr>
                <w:rFonts w:hint="default" w:ascii="Times New Roman" w:hAnsi="Times New Roman" w:eastAsia="宋体" w:cs="Times New Roman"/>
                <w:b/>
                <w:i w:val="0"/>
                <w:color w:val="auto"/>
                <w:kern w:val="0"/>
                <w:sz w:val="24"/>
                <w:szCs w:val="24"/>
                <w:u w:val="none"/>
                <w:lang w:val="en-US" w:eastAsia="zh-CN" w:bidi="ar"/>
              </w:rPr>
              <w:t>13</w:t>
            </w:r>
            <w:r>
              <w:rPr>
                <w:rFonts w:hint="eastAsia" w:ascii="Times New Roman" w:hAnsi="Times New Roman" w:cs="Times New Roman"/>
                <w:b/>
                <w:i w:val="0"/>
                <w:color w:val="auto"/>
                <w:kern w:val="0"/>
                <w:sz w:val="24"/>
                <w:szCs w:val="24"/>
                <w:u w:val="none"/>
                <w:lang w:val="en-US" w:eastAsia="zh-CN" w:bidi="ar"/>
              </w:rPr>
              <w:t>434.57</w:t>
            </w:r>
          </w:p>
        </w:tc>
        <w:tc>
          <w:tcPr>
            <w:tcW w:w="15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i w:val="0"/>
                <w:color w:val="auto"/>
                <w:sz w:val="24"/>
                <w:szCs w:val="24"/>
                <w:u w:val="none"/>
                <w:lang w:val="en-US"/>
              </w:rPr>
            </w:pPr>
            <w:r>
              <w:rPr>
                <w:rFonts w:hint="eastAsia" w:ascii="Times New Roman" w:hAnsi="Times New Roman" w:cs="Times New Roman"/>
                <w:b/>
                <w:i w:val="0"/>
                <w:color w:val="auto"/>
                <w:kern w:val="0"/>
                <w:sz w:val="24"/>
                <w:szCs w:val="24"/>
                <w:u w:val="none"/>
                <w:lang w:val="en-US" w:eastAsia="zh-CN" w:bidi="ar"/>
              </w:rPr>
              <w:t>2894.215</w:t>
            </w:r>
          </w:p>
        </w:tc>
        <w:tc>
          <w:tcPr>
            <w:tcW w:w="170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default" w:ascii="Times New Roman" w:hAnsi="Times New Roman" w:eastAsia="宋体" w:cs="Times New Roman"/>
                <w:i w:val="0"/>
                <w:color w:val="auto"/>
                <w:sz w:val="22"/>
                <w:szCs w:val="22"/>
                <w:u w:val="none"/>
              </w:rPr>
            </w:pPr>
          </w:p>
        </w:tc>
      </w:tr>
    </w:tbl>
    <w:p/>
    <w:p>
      <w:pPr>
        <w:rPr>
          <w:rFonts w:ascii="Times New Roman" w:hAnsi="Times New Roman"/>
          <w:color w:val="auto"/>
          <w:highlight w:val="none"/>
        </w:rPr>
        <w:sectPr>
          <w:pgSz w:w="16838" w:h="11906" w:orient="landscape"/>
          <w:pgMar w:top="1633" w:right="1440" w:bottom="1633" w:left="1440" w:header="851" w:footer="992" w:gutter="0"/>
          <w:pgNumType w:fmt="numberInDash"/>
          <w:cols w:space="0" w:num="1"/>
          <w:rtlGutter w:val="0"/>
          <w:docGrid w:type="lines" w:linePitch="312" w:charSpace="0"/>
        </w:sectPr>
      </w:pPr>
    </w:p>
    <w:p>
      <w:pPr>
        <w:pStyle w:val="4"/>
        <w:rPr>
          <w:rFonts w:ascii="Times New Roman" w:hAnsi="Times New Roman" w:eastAsia="宋体"/>
          <w:color w:val="auto"/>
          <w:highlight w:val="none"/>
        </w:rPr>
      </w:pPr>
      <w:bookmarkStart w:id="274" w:name="_Toc1472"/>
      <w:bookmarkStart w:id="275" w:name="_Toc15516"/>
      <w:bookmarkStart w:id="276" w:name="_Toc30976"/>
      <w:bookmarkStart w:id="277" w:name="_Toc3127"/>
      <w:bookmarkStart w:id="278" w:name="_Toc20091"/>
      <w:bookmarkStart w:id="279" w:name="_Toc28217"/>
      <w:r>
        <w:rPr>
          <w:rFonts w:ascii="Times New Roman" w:hAnsi="Times New Roman" w:eastAsia="宋体"/>
          <w:color w:val="auto"/>
          <w:highlight w:val="none"/>
        </w:rPr>
        <w:t>附表三：广东省园林县城考核标准与海丰县现状指标对比表</w:t>
      </w:r>
      <w:bookmarkEnd w:id="274"/>
      <w:bookmarkEnd w:id="275"/>
      <w:bookmarkEnd w:id="276"/>
      <w:bookmarkEnd w:id="277"/>
      <w:bookmarkEnd w:id="278"/>
      <w:bookmarkEnd w:id="279"/>
    </w:p>
    <w:p>
      <w:pPr>
        <w:rPr>
          <w:rFonts w:ascii="Times New Roman" w:hAnsi="Times New Roman"/>
          <w:color w:val="auto"/>
          <w:highlight w:val="none"/>
        </w:rPr>
      </w:pPr>
    </w:p>
    <w:tbl>
      <w:tblPr>
        <w:tblStyle w:val="20"/>
        <w:tblW w:w="14174" w:type="dxa"/>
        <w:jc w:val="center"/>
        <w:tblLayout w:type="fixed"/>
        <w:tblCellMar>
          <w:top w:w="0" w:type="dxa"/>
          <w:left w:w="108" w:type="dxa"/>
          <w:bottom w:w="0" w:type="dxa"/>
          <w:right w:w="108" w:type="dxa"/>
        </w:tblCellMar>
      </w:tblPr>
      <w:tblGrid>
        <w:gridCol w:w="922"/>
        <w:gridCol w:w="749"/>
        <w:gridCol w:w="1376"/>
        <w:gridCol w:w="4696"/>
        <w:gridCol w:w="948"/>
        <w:gridCol w:w="4729"/>
        <w:gridCol w:w="754"/>
      </w:tblGrid>
      <w:tr>
        <w:tblPrEx>
          <w:tblCellMar>
            <w:top w:w="0" w:type="dxa"/>
            <w:left w:w="108" w:type="dxa"/>
            <w:bottom w:w="0" w:type="dxa"/>
            <w:right w:w="108" w:type="dxa"/>
          </w:tblCellMar>
        </w:tblPrEx>
        <w:trPr>
          <w:trHeight w:val="270" w:hRule="atLeast"/>
          <w:tblHeader/>
          <w:jc w:val="center"/>
        </w:trPr>
        <w:tc>
          <w:tcPr>
            <w:tcW w:w="922"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b/>
                <w:color w:val="auto"/>
                <w:kern w:val="0"/>
                <w:sz w:val="24"/>
                <w:highlight w:val="none"/>
              </w:rPr>
            </w:pPr>
            <w:r>
              <w:rPr>
                <w:rFonts w:ascii="Times New Roman" w:hAnsi="Times New Roman"/>
                <w:b/>
                <w:color w:val="auto"/>
                <w:kern w:val="0"/>
                <w:sz w:val="24"/>
                <w:highlight w:val="none"/>
              </w:rPr>
              <w:t>类型</w:t>
            </w:r>
          </w:p>
        </w:tc>
        <w:tc>
          <w:tcPr>
            <w:tcW w:w="749" w:type="dxa"/>
            <w:tcBorders>
              <w:top w:val="single" w:color="auto" w:sz="4" w:space="0"/>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b/>
                <w:color w:val="auto"/>
                <w:kern w:val="0"/>
                <w:sz w:val="24"/>
                <w:highlight w:val="none"/>
              </w:rPr>
            </w:pPr>
            <w:r>
              <w:rPr>
                <w:rFonts w:ascii="Times New Roman" w:hAnsi="Times New Roman"/>
                <w:b/>
                <w:color w:val="auto"/>
                <w:kern w:val="0"/>
                <w:sz w:val="24"/>
                <w:highlight w:val="none"/>
              </w:rPr>
              <w:t>序号</w:t>
            </w:r>
          </w:p>
        </w:tc>
        <w:tc>
          <w:tcPr>
            <w:tcW w:w="1376" w:type="dxa"/>
            <w:tcBorders>
              <w:top w:val="single" w:color="auto" w:sz="4" w:space="0"/>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b/>
                <w:color w:val="auto"/>
                <w:kern w:val="0"/>
                <w:sz w:val="24"/>
                <w:highlight w:val="none"/>
              </w:rPr>
            </w:pPr>
            <w:r>
              <w:rPr>
                <w:rFonts w:ascii="Times New Roman" w:hAnsi="Times New Roman"/>
                <w:b/>
                <w:color w:val="auto"/>
                <w:kern w:val="0"/>
                <w:sz w:val="24"/>
                <w:highlight w:val="none"/>
              </w:rPr>
              <w:t>指标</w:t>
            </w:r>
          </w:p>
        </w:tc>
        <w:tc>
          <w:tcPr>
            <w:tcW w:w="4696" w:type="dxa"/>
            <w:tcBorders>
              <w:top w:val="single" w:color="auto" w:sz="4" w:space="0"/>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b/>
                <w:color w:val="auto"/>
                <w:kern w:val="0"/>
                <w:sz w:val="24"/>
                <w:highlight w:val="none"/>
              </w:rPr>
            </w:pPr>
            <w:r>
              <w:rPr>
                <w:rFonts w:ascii="Times New Roman" w:hAnsi="Times New Roman"/>
                <w:b/>
                <w:color w:val="auto"/>
                <w:kern w:val="0"/>
                <w:sz w:val="24"/>
                <w:highlight w:val="none"/>
              </w:rPr>
              <w:t>考核要求</w:t>
            </w:r>
          </w:p>
        </w:tc>
        <w:tc>
          <w:tcPr>
            <w:tcW w:w="948" w:type="dxa"/>
            <w:tcBorders>
              <w:top w:val="single" w:color="auto" w:sz="4" w:space="0"/>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b/>
                <w:color w:val="auto"/>
                <w:kern w:val="0"/>
                <w:sz w:val="24"/>
                <w:highlight w:val="none"/>
              </w:rPr>
            </w:pPr>
            <w:r>
              <w:rPr>
                <w:rFonts w:ascii="Times New Roman" w:hAnsi="Times New Roman"/>
                <w:b/>
                <w:color w:val="auto"/>
                <w:kern w:val="0"/>
                <w:sz w:val="24"/>
                <w:highlight w:val="none"/>
              </w:rPr>
              <w:t>备注</w:t>
            </w:r>
          </w:p>
        </w:tc>
        <w:tc>
          <w:tcPr>
            <w:tcW w:w="4729" w:type="dxa"/>
            <w:tcBorders>
              <w:top w:val="single" w:color="auto" w:sz="4" w:space="0"/>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b/>
                <w:color w:val="auto"/>
                <w:kern w:val="0"/>
                <w:sz w:val="24"/>
                <w:highlight w:val="none"/>
              </w:rPr>
            </w:pPr>
            <w:r>
              <w:rPr>
                <w:rFonts w:ascii="Times New Roman" w:hAnsi="Times New Roman"/>
                <w:b/>
                <w:color w:val="auto"/>
                <w:kern w:val="0"/>
                <w:sz w:val="24"/>
                <w:highlight w:val="none"/>
              </w:rPr>
              <w:t>现状</w:t>
            </w:r>
          </w:p>
        </w:tc>
        <w:tc>
          <w:tcPr>
            <w:tcW w:w="754" w:type="dxa"/>
            <w:tcBorders>
              <w:top w:val="single" w:color="auto" w:sz="4" w:space="0"/>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b/>
                <w:color w:val="auto"/>
                <w:kern w:val="0"/>
                <w:sz w:val="24"/>
                <w:highlight w:val="none"/>
              </w:rPr>
            </w:pPr>
            <w:r>
              <w:rPr>
                <w:rFonts w:ascii="Times New Roman" w:hAnsi="Times New Roman"/>
                <w:b/>
                <w:color w:val="auto"/>
                <w:kern w:val="0"/>
                <w:sz w:val="24"/>
                <w:highlight w:val="none"/>
              </w:rPr>
              <w:t>达标情况</w:t>
            </w:r>
          </w:p>
        </w:tc>
      </w:tr>
      <w:tr>
        <w:tblPrEx>
          <w:tblCellMar>
            <w:top w:w="0" w:type="dxa"/>
            <w:left w:w="108" w:type="dxa"/>
            <w:bottom w:w="0" w:type="dxa"/>
            <w:right w:w="108" w:type="dxa"/>
          </w:tblCellMar>
        </w:tblPrEx>
        <w:trPr>
          <w:trHeight w:val="270" w:hRule="atLeast"/>
          <w:jc w:val="center"/>
        </w:trPr>
        <w:tc>
          <w:tcPr>
            <w:tcW w:w="922" w:type="dxa"/>
            <w:vMerge w:val="restart"/>
            <w:tcBorders>
              <w:top w:val="nil"/>
              <w:left w:val="single" w:color="auto" w:sz="4" w:space="0"/>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一、综合管理（8）</w:t>
            </w:r>
          </w:p>
        </w:tc>
        <w:tc>
          <w:tcPr>
            <w:tcW w:w="749"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1</w:t>
            </w:r>
          </w:p>
        </w:tc>
        <w:tc>
          <w:tcPr>
            <w:tcW w:w="137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园林绿化管理机构</w:t>
            </w:r>
          </w:p>
        </w:tc>
        <w:tc>
          <w:tcPr>
            <w:tcW w:w="469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各级政府职能分工的要求，设立有专门承担园林绿化管理的机构，依照相关法律法规有效行使园林绿化行业管理职能；</w:t>
            </w:r>
          </w:p>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专门机构领导层应有以园林绿化专业为主的人员，并具有相应的园林绿化专业技术队伍，负责全县域园林绿化从规划设计、施工建设、竣工验收到养护管理全过程指导服务与监督管理。</w:t>
            </w:r>
          </w:p>
        </w:tc>
        <w:tc>
          <w:tcPr>
            <w:tcW w:w="948"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　</w:t>
            </w:r>
          </w:p>
        </w:tc>
        <w:tc>
          <w:tcPr>
            <w:tcW w:w="4729"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按县机构改革文件，海丰县城园林绿化主管部门是住建局，但实际上履行园林绿化日常管理职责是由林业局和公用事务中心分工负责。</w:t>
            </w:r>
          </w:p>
        </w:tc>
        <w:tc>
          <w:tcPr>
            <w:tcW w:w="754"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达标</w:t>
            </w:r>
          </w:p>
        </w:tc>
      </w:tr>
      <w:tr>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2</w:t>
            </w:r>
          </w:p>
        </w:tc>
        <w:tc>
          <w:tcPr>
            <w:tcW w:w="137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园林绿化建设维护专项资金</w:t>
            </w:r>
          </w:p>
        </w:tc>
        <w:tc>
          <w:tcPr>
            <w:tcW w:w="469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政府财政预算中专门列项“园林绿化建设和维护资金”，保障园林绿化建设、专业化精细化养护管理及相关人员经费；</w:t>
            </w:r>
          </w:p>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近2年（含申报年）园林绿化建设资金保障到位，且与本年度新建、改建及扩建园林绿化项目相适应；</w:t>
            </w:r>
          </w:p>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③</w:t>
            </w:r>
            <w:r>
              <w:rPr>
                <w:rFonts w:ascii="Times New Roman" w:hAnsi="Times New Roman"/>
                <w:color w:val="auto"/>
                <w:kern w:val="0"/>
                <w:sz w:val="24"/>
                <w:highlight w:val="none"/>
              </w:rPr>
              <w:t>园林绿化养护资金与各类绿地总量相适应，不低于当地园林绿化养护管理定额标准，并随物价指数和人工工资增长而合理增加。</w:t>
            </w:r>
          </w:p>
        </w:tc>
        <w:tc>
          <w:tcPr>
            <w:tcW w:w="948"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　</w:t>
            </w:r>
          </w:p>
        </w:tc>
        <w:tc>
          <w:tcPr>
            <w:tcW w:w="4729"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sz w:val="24"/>
                <w:highlight w:val="none"/>
              </w:rPr>
              <w:t>2019年，政府安排园林绿化维护资金180万元，实际支出180万元；安排园林绿化建设资金543万元，实际支出422.47万元；安排相关人员经费246万元。 2020年安排园林绿化维护资金180万元，至7月实际支出90万元；安排园林绿化建设资金507.13万元，实际支出120.049998万元；安排相关人员经费246万元，</w:t>
            </w:r>
            <w:r>
              <w:rPr>
                <w:rFonts w:ascii="Times New Roman" w:hAnsi="Times New Roman"/>
                <w:color w:val="auto"/>
                <w:kern w:val="0"/>
                <w:sz w:val="24"/>
                <w:highlight w:val="none"/>
              </w:rPr>
              <w:t>占县城总财政支出比例较低。</w:t>
            </w:r>
          </w:p>
          <w:p>
            <w:pPr>
              <w:spacing w:line="360" w:lineRule="auto"/>
              <w:rPr>
                <w:rFonts w:ascii="Times New Roman" w:hAnsi="Times New Roman"/>
                <w:color w:val="auto"/>
                <w:sz w:val="24"/>
                <w:highlight w:val="none"/>
              </w:rPr>
            </w:pPr>
            <w:r>
              <w:rPr>
                <w:rFonts w:ascii="Times New Roman" w:hAnsi="Times New Roman"/>
                <w:color w:val="auto"/>
                <w:sz w:val="24"/>
                <w:highlight w:val="none"/>
              </w:rPr>
              <w:t>编制完成海丰县县城道路及公共绿化养护实施方案（2020-2022），有绿化养护检查考核扣分表。</w:t>
            </w:r>
          </w:p>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当地没有园林绿化养护管理定额标准</w:t>
            </w:r>
          </w:p>
        </w:tc>
        <w:tc>
          <w:tcPr>
            <w:tcW w:w="754"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达标</w:t>
            </w:r>
          </w:p>
        </w:tc>
      </w:tr>
      <w:tr>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3</w:t>
            </w:r>
          </w:p>
        </w:tc>
        <w:tc>
          <w:tcPr>
            <w:tcW w:w="137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园林绿化科研应用</w:t>
            </w:r>
          </w:p>
        </w:tc>
        <w:tc>
          <w:tcPr>
            <w:tcW w:w="469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近2年（含申报年）积极应用园林绿化新技术、新成果。</w:t>
            </w:r>
          </w:p>
        </w:tc>
        <w:tc>
          <w:tcPr>
            <w:tcW w:w="948"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　</w:t>
            </w:r>
          </w:p>
        </w:tc>
        <w:tc>
          <w:tcPr>
            <w:tcW w:w="4729"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未见新技术、新成果应用</w:t>
            </w:r>
          </w:p>
        </w:tc>
        <w:tc>
          <w:tcPr>
            <w:tcW w:w="754"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缺失</w:t>
            </w:r>
          </w:p>
        </w:tc>
      </w:tr>
      <w:tr>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4</w:t>
            </w:r>
          </w:p>
        </w:tc>
        <w:tc>
          <w:tcPr>
            <w:tcW w:w="137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《绿地系统规划》编制实施</w:t>
            </w:r>
          </w:p>
        </w:tc>
        <w:tc>
          <w:tcPr>
            <w:tcW w:w="469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《县城总体规划》审批后一年内编制完成《绿地系统规划》的编制；</w:t>
            </w:r>
          </w:p>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《绿地系统规划》由具有相关规划资质或能力的单位编制（修订），与县城总体规划、控制性详细规划等相协调，并依法审核批准实施。</w:t>
            </w:r>
          </w:p>
        </w:tc>
        <w:tc>
          <w:tcPr>
            <w:tcW w:w="948"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为否决项</w:t>
            </w:r>
          </w:p>
        </w:tc>
        <w:tc>
          <w:tcPr>
            <w:tcW w:w="4729"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已完成《海丰县县城总体规划（2015-2035 年）》</w:t>
            </w:r>
          </w:p>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正在编制绿地系统规划</w:t>
            </w:r>
          </w:p>
        </w:tc>
        <w:tc>
          <w:tcPr>
            <w:tcW w:w="754"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hint="eastAsia" w:ascii="Times New Roman" w:hAnsi="Times New Roman"/>
                <w:color w:val="auto"/>
                <w:kern w:val="0"/>
                <w:sz w:val="24"/>
                <w:highlight w:val="none"/>
              </w:rPr>
              <w:t>缺失</w:t>
            </w:r>
          </w:p>
        </w:tc>
      </w:tr>
      <w:tr>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5</w:t>
            </w:r>
          </w:p>
        </w:tc>
        <w:tc>
          <w:tcPr>
            <w:tcW w:w="137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绿线管理</w:t>
            </w:r>
          </w:p>
        </w:tc>
        <w:tc>
          <w:tcPr>
            <w:tcW w:w="469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严格实施县城绿线管制制度，按照《城市绿线管理办法》（建设部令第112号）和《城市绿线划定技术规范》（GB/T51163-2016）要求划定绿线，并在至少两种以上的媒体上向社会公布，设立绿线公示牌或绿线界碑，向社会公布四至边界，严禁侵占。</w:t>
            </w:r>
          </w:p>
        </w:tc>
        <w:tc>
          <w:tcPr>
            <w:tcW w:w="948"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否决项</w:t>
            </w:r>
          </w:p>
        </w:tc>
        <w:tc>
          <w:tcPr>
            <w:tcW w:w="4729"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未制定绿线管理办法</w:t>
            </w:r>
          </w:p>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未划定绿线</w:t>
            </w:r>
          </w:p>
        </w:tc>
        <w:tc>
          <w:tcPr>
            <w:tcW w:w="754"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缺失</w:t>
            </w:r>
          </w:p>
        </w:tc>
      </w:tr>
      <w:tr>
        <w:tblPrEx>
          <w:tblCellMar>
            <w:top w:w="0" w:type="dxa"/>
            <w:left w:w="108" w:type="dxa"/>
            <w:bottom w:w="0" w:type="dxa"/>
            <w:right w:w="108" w:type="dxa"/>
          </w:tblCellMar>
        </w:tblPrEx>
        <w:trPr>
          <w:trHeight w:val="285" w:hRule="atLeast"/>
          <w:jc w:val="center"/>
        </w:trPr>
        <w:tc>
          <w:tcPr>
            <w:tcW w:w="922" w:type="dxa"/>
            <w:vMerge w:val="continue"/>
            <w:tcBorders>
              <w:top w:val="nil"/>
              <w:left w:val="single" w:color="auto" w:sz="4" w:space="0"/>
              <w:bottom w:val="single" w:color="auto" w:sz="4" w:space="0"/>
              <w:right w:val="single" w:color="auto" w:sz="4" w:space="0"/>
            </w:tcBorders>
            <w:vAlign w:val="center"/>
          </w:tcPr>
          <w:p>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6</w:t>
            </w:r>
          </w:p>
        </w:tc>
        <w:tc>
          <w:tcPr>
            <w:tcW w:w="137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园林绿化制度建设</w:t>
            </w:r>
          </w:p>
        </w:tc>
        <w:tc>
          <w:tcPr>
            <w:tcW w:w="469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建立健全绿线管理、建设管理、养护管理、生态保护、生物多样性保护、古树名木保护、义务植树等园林绿化规章、规范、制度。</w:t>
            </w:r>
          </w:p>
        </w:tc>
        <w:tc>
          <w:tcPr>
            <w:tcW w:w="948"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p>
        </w:tc>
        <w:tc>
          <w:tcPr>
            <w:tcW w:w="4729"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sz w:val="24"/>
                <w:highlight w:val="none"/>
              </w:rPr>
              <w:t>2010年，海丰县人民政府印发《海丰县市政公用设施管理规定（试行）》</w:t>
            </w:r>
          </w:p>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未见绿线管理、建设管理、养护管理、城市生态保护、生物多样性保护等法规、标准或制度。</w:t>
            </w:r>
          </w:p>
        </w:tc>
        <w:tc>
          <w:tcPr>
            <w:tcW w:w="754"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缺失</w:t>
            </w:r>
          </w:p>
        </w:tc>
      </w:tr>
      <w:tr>
        <w:tblPrEx>
          <w:tblCellMar>
            <w:top w:w="0" w:type="dxa"/>
            <w:left w:w="108" w:type="dxa"/>
            <w:bottom w:w="0" w:type="dxa"/>
            <w:right w:w="108" w:type="dxa"/>
          </w:tblCellMar>
        </w:tblPrEx>
        <w:trPr>
          <w:trHeight w:val="1056" w:hRule="atLeast"/>
          <w:jc w:val="center"/>
        </w:trPr>
        <w:tc>
          <w:tcPr>
            <w:tcW w:w="922" w:type="dxa"/>
            <w:vMerge w:val="continue"/>
            <w:tcBorders>
              <w:top w:val="nil"/>
              <w:left w:val="single" w:color="auto" w:sz="4" w:space="0"/>
              <w:bottom w:val="single" w:color="auto" w:sz="4" w:space="0"/>
              <w:right w:val="single" w:color="auto" w:sz="4" w:space="0"/>
            </w:tcBorders>
            <w:vAlign w:val="center"/>
          </w:tcPr>
          <w:p>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7</w:t>
            </w:r>
          </w:p>
        </w:tc>
        <w:tc>
          <w:tcPr>
            <w:tcW w:w="137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园林绿化管理信息技术</w:t>
            </w:r>
          </w:p>
        </w:tc>
        <w:tc>
          <w:tcPr>
            <w:tcW w:w="469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已建立园林绿化信息数据库、信息发布与社会服务信息共享平台；可供市民查询，保障公众参与和社会监督。</w:t>
            </w:r>
          </w:p>
        </w:tc>
        <w:tc>
          <w:tcPr>
            <w:tcW w:w="948"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p>
        </w:tc>
        <w:tc>
          <w:tcPr>
            <w:tcW w:w="4729"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尚未建立园林绿化信息数据库和社会服务信息共享平台</w:t>
            </w:r>
          </w:p>
        </w:tc>
        <w:tc>
          <w:tcPr>
            <w:tcW w:w="754"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缺失</w:t>
            </w:r>
          </w:p>
        </w:tc>
      </w:tr>
      <w:tr>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8</w:t>
            </w:r>
          </w:p>
        </w:tc>
        <w:tc>
          <w:tcPr>
            <w:tcW w:w="137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公众对园林绿化的满意率（%）</w:t>
            </w:r>
          </w:p>
        </w:tc>
        <w:tc>
          <w:tcPr>
            <w:tcW w:w="469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≥85%</w:t>
            </w:r>
          </w:p>
        </w:tc>
        <w:tc>
          <w:tcPr>
            <w:tcW w:w="948"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　</w:t>
            </w:r>
          </w:p>
        </w:tc>
        <w:tc>
          <w:tcPr>
            <w:tcW w:w="4729"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需要组织团队进行专项问卷调查。调查基数为常住人口的千分之一287人以上。</w:t>
            </w:r>
          </w:p>
        </w:tc>
        <w:tc>
          <w:tcPr>
            <w:tcW w:w="754"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缺失</w:t>
            </w:r>
          </w:p>
        </w:tc>
      </w:tr>
      <w:tr>
        <w:tblPrEx>
          <w:tblCellMar>
            <w:top w:w="0" w:type="dxa"/>
            <w:left w:w="108" w:type="dxa"/>
            <w:bottom w:w="0" w:type="dxa"/>
            <w:right w:w="108" w:type="dxa"/>
          </w:tblCellMar>
        </w:tblPrEx>
        <w:trPr>
          <w:trHeight w:val="270" w:hRule="atLeast"/>
          <w:jc w:val="center"/>
        </w:trPr>
        <w:tc>
          <w:tcPr>
            <w:tcW w:w="922" w:type="dxa"/>
            <w:vMerge w:val="restart"/>
            <w:tcBorders>
              <w:top w:val="nil"/>
              <w:left w:val="single" w:color="auto" w:sz="4" w:space="0"/>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二、绿地建设（11）</w:t>
            </w:r>
          </w:p>
        </w:tc>
        <w:tc>
          <w:tcPr>
            <w:tcW w:w="749"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9</w:t>
            </w:r>
          </w:p>
        </w:tc>
        <w:tc>
          <w:tcPr>
            <w:tcW w:w="137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建成区绿化覆盖率（%）</w:t>
            </w:r>
          </w:p>
        </w:tc>
        <w:tc>
          <w:tcPr>
            <w:tcW w:w="469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≥38%</w:t>
            </w:r>
          </w:p>
        </w:tc>
        <w:tc>
          <w:tcPr>
            <w:tcW w:w="948"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　</w:t>
            </w:r>
          </w:p>
        </w:tc>
        <w:tc>
          <w:tcPr>
            <w:tcW w:w="4729"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hint="eastAsia" w:ascii="Times New Roman" w:hAnsi="Times New Roman"/>
                <w:color w:val="auto"/>
                <w:kern w:val="0"/>
                <w:sz w:val="24"/>
                <w:highlight w:val="none"/>
              </w:rPr>
              <w:t>16.42</w:t>
            </w:r>
            <w:r>
              <w:rPr>
                <w:rFonts w:ascii="Times New Roman" w:hAnsi="Times New Roman"/>
                <w:color w:val="auto"/>
                <w:kern w:val="0"/>
                <w:sz w:val="24"/>
                <w:highlight w:val="none"/>
              </w:rPr>
              <w:t>%</w:t>
            </w:r>
          </w:p>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现状绿化覆盖面积311.95公顷，现状建成区面积190</w:t>
            </w:r>
            <w:r>
              <w:rPr>
                <w:rFonts w:hint="eastAsia" w:ascii="Times New Roman" w:hAnsi="Times New Roman"/>
                <w:color w:val="auto"/>
                <w:kern w:val="0"/>
                <w:sz w:val="24"/>
                <w:highlight w:val="none"/>
              </w:rPr>
              <w:t>0</w:t>
            </w:r>
            <w:r>
              <w:rPr>
                <w:rFonts w:ascii="Times New Roman" w:hAnsi="Times New Roman"/>
                <w:color w:val="auto"/>
                <w:kern w:val="0"/>
                <w:sz w:val="24"/>
                <w:highlight w:val="none"/>
              </w:rPr>
              <w:t>公顷</w:t>
            </w:r>
            <w:r>
              <w:rPr>
                <w:rFonts w:hint="eastAsia" w:ascii="Times New Roman" w:hAnsi="Times New Roman"/>
                <w:color w:val="auto"/>
                <w:kern w:val="0"/>
                <w:sz w:val="24"/>
                <w:highlight w:val="none"/>
              </w:rPr>
              <w:t>。</w:t>
            </w:r>
            <w:r>
              <w:rPr>
                <w:rFonts w:ascii="Times New Roman" w:hAnsi="Times New Roman"/>
                <w:color w:val="auto"/>
                <w:kern w:val="0"/>
                <w:sz w:val="24"/>
                <w:highlight w:val="none"/>
              </w:rPr>
              <w:t>经过规划及建设后估计可达38.</w:t>
            </w:r>
            <w:r>
              <w:rPr>
                <w:rFonts w:hint="eastAsia" w:ascii="Times New Roman" w:hAnsi="Times New Roman"/>
                <w:color w:val="auto"/>
                <w:kern w:val="0"/>
                <w:sz w:val="24"/>
                <w:highlight w:val="none"/>
                <w:lang w:val="en-US" w:eastAsia="zh-CN"/>
              </w:rPr>
              <w:t>53</w:t>
            </w:r>
            <w:r>
              <w:rPr>
                <w:rFonts w:ascii="Times New Roman" w:hAnsi="Times New Roman"/>
                <w:color w:val="auto"/>
                <w:kern w:val="0"/>
                <w:sz w:val="24"/>
                <w:highlight w:val="none"/>
              </w:rPr>
              <w:t>%左右</w:t>
            </w:r>
          </w:p>
        </w:tc>
        <w:tc>
          <w:tcPr>
            <w:tcW w:w="754"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未达标</w:t>
            </w:r>
          </w:p>
        </w:tc>
      </w:tr>
      <w:tr>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10</w:t>
            </w:r>
          </w:p>
        </w:tc>
        <w:tc>
          <w:tcPr>
            <w:tcW w:w="137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建成区绿地率（%）</w:t>
            </w:r>
          </w:p>
        </w:tc>
        <w:tc>
          <w:tcPr>
            <w:tcW w:w="469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≥33%</w:t>
            </w:r>
          </w:p>
        </w:tc>
        <w:tc>
          <w:tcPr>
            <w:tcW w:w="948"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否决项</w:t>
            </w:r>
          </w:p>
        </w:tc>
        <w:tc>
          <w:tcPr>
            <w:tcW w:w="4729"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hint="eastAsia" w:ascii="Times New Roman" w:hAnsi="Times New Roman"/>
                <w:color w:val="auto"/>
                <w:kern w:val="0"/>
                <w:sz w:val="24"/>
                <w:highlight w:val="none"/>
              </w:rPr>
              <w:t>14.15</w:t>
            </w:r>
            <w:r>
              <w:rPr>
                <w:rFonts w:ascii="Times New Roman" w:hAnsi="Times New Roman"/>
                <w:color w:val="auto"/>
                <w:kern w:val="0"/>
                <w:sz w:val="24"/>
                <w:highlight w:val="none"/>
              </w:rPr>
              <w:t>%</w:t>
            </w:r>
          </w:p>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现状绿地面积268.92公顷，建成区面积190</w:t>
            </w:r>
            <w:r>
              <w:rPr>
                <w:rFonts w:hint="eastAsia" w:ascii="Times New Roman" w:hAnsi="Times New Roman"/>
                <w:color w:val="auto"/>
                <w:kern w:val="0"/>
                <w:sz w:val="24"/>
                <w:highlight w:val="none"/>
              </w:rPr>
              <w:t>0</w:t>
            </w:r>
            <w:r>
              <w:rPr>
                <w:rFonts w:ascii="Times New Roman" w:hAnsi="Times New Roman"/>
                <w:color w:val="auto"/>
                <w:kern w:val="0"/>
                <w:sz w:val="24"/>
                <w:highlight w:val="none"/>
              </w:rPr>
              <w:t>公顷</w:t>
            </w:r>
            <w:r>
              <w:rPr>
                <w:rFonts w:hint="eastAsia" w:ascii="Times New Roman" w:hAnsi="Times New Roman"/>
                <w:color w:val="auto"/>
                <w:kern w:val="0"/>
                <w:sz w:val="24"/>
                <w:highlight w:val="none"/>
              </w:rPr>
              <w:t>。</w:t>
            </w:r>
            <w:r>
              <w:rPr>
                <w:rFonts w:ascii="Times New Roman" w:hAnsi="Times New Roman"/>
                <w:color w:val="auto"/>
                <w:kern w:val="0"/>
                <w:sz w:val="24"/>
                <w:highlight w:val="none"/>
              </w:rPr>
              <w:t>经过规划及建设后可达3</w:t>
            </w:r>
            <w:r>
              <w:rPr>
                <w:rFonts w:hint="eastAsia" w:ascii="Times New Roman" w:hAnsi="Times New Roman"/>
                <w:color w:val="auto"/>
                <w:kern w:val="0"/>
                <w:sz w:val="24"/>
                <w:highlight w:val="none"/>
              </w:rPr>
              <w:t>4.7</w:t>
            </w:r>
            <w:r>
              <w:rPr>
                <w:rFonts w:hint="eastAsia" w:ascii="Times New Roman" w:hAnsi="Times New Roman"/>
                <w:color w:val="auto"/>
                <w:kern w:val="0"/>
                <w:sz w:val="24"/>
                <w:highlight w:val="none"/>
                <w:lang w:val="en-US" w:eastAsia="zh-CN"/>
              </w:rPr>
              <w:t>3</w:t>
            </w:r>
            <w:r>
              <w:rPr>
                <w:rFonts w:ascii="Times New Roman" w:hAnsi="Times New Roman"/>
                <w:color w:val="auto"/>
                <w:kern w:val="0"/>
                <w:sz w:val="24"/>
                <w:highlight w:val="none"/>
              </w:rPr>
              <w:t>%</w:t>
            </w:r>
            <w:r>
              <w:rPr>
                <w:rFonts w:hint="eastAsia" w:ascii="Times New Roman" w:hAnsi="Times New Roman"/>
                <w:color w:val="auto"/>
                <w:kern w:val="0"/>
                <w:sz w:val="24"/>
                <w:highlight w:val="none"/>
              </w:rPr>
              <w:t>。</w:t>
            </w:r>
          </w:p>
        </w:tc>
        <w:tc>
          <w:tcPr>
            <w:tcW w:w="754"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未达标</w:t>
            </w:r>
          </w:p>
        </w:tc>
      </w:tr>
      <w:tr>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11</w:t>
            </w:r>
          </w:p>
        </w:tc>
        <w:tc>
          <w:tcPr>
            <w:tcW w:w="137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人均公园绿地面积（m</w:t>
            </w:r>
            <w:r>
              <w:rPr>
                <w:rFonts w:ascii="Times New Roman" w:hAnsi="Times New Roman"/>
                <w:color w:val="auto"/>
                <w:kern w:val="0"/>
                <w:sz w:val="24"/>
                <w:highlight w:val="none"/>
                <w:vertAlign w:val="superscript"/>
              </w:rPr>
              <w:t>2</w:t>
            </w:r>
            <w:r>
              <w:rPr>
                <w:rFonts w:ascii="Times New Roman" w:hAnsi="Times New Roman"/>
                <w:color w:val="auto"/>
                <w:kern w:val="0"/>
                <w:sz w:val="24"/>
                <w:highlight w:val="none"/>
              </w:rPr>
              <w:t>/人）</w:t>
            </w:r>
          </w:p>
        </w:tc>
        <w:tc>
          <w:tcPr>
            <w:tcW w:w="469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≥9.00m</w:t>
            </w:r>
            <w:r>
              <w:rPr>
                <w:rFonts w:ascii="Times New Roman" w:hAnsi="Times New Roman"/>
                <w:color w:val="auto"/>
                <w:kern w:val="0"/>
                <w:sz w:val="24"/>
                <w:highlight w:val="none"/>
                <w:vertAlign w:val="superscript"/>
              </w:rPr>
              <w:t>2</w:t>
            </w:r>
            <w:r>
              <w:rPr>
                <w:rFonts w:ascii="Times New Roman" w:hAnsi="Times New Roman"/>
                <w:color w:val="auto"/>
                <w:kern w:val="0"/>
                <w:sz w:val="24"/>
                <w:highlight w:val="none"/>
              </w:rPr>
              <w:t>/人</w:t>
            </w:r>
          </w:p>
        </w:tc>
        <w:tc>
          <w:tcPr>
            <w:tcW w:w="948"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否决项；考核范围为建成区</w:t>
            </w:r>
          </w:p>
        </w:tc>
        <w:tc>
          <w:tcPr>
            <w:tcW w:w="4729"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1.</w:t>
            </w:r>
            <w:r>
              <w:rPr>
                <w:rFonts w:hint="eastAsia" w:ascii="Times New Roman" w:hAnsi="Times New Roman"/>
                <w:color w:val="auto"/>
                <w:kern w:val="0"/>
                <w:sz w:val="24"/>
                <w:highlight w:val="none"/>
              </w:rPr>
              <w:t>28</w:t>
            </w:r>
            <w:r>
              <w:rPr>
                <w:rFonts w:ascii="Times New Roman" w:hAnsi="Times New Roman"/>
                <w:color w:val="auto"/>
                <w:kern w:val="0"/>
                <w:sz w:val="24"/>
                <w:highlight w:val="none"/>
              </w:rPr>
              <w:t>m</w:t>
            </w:r>
            <w:r>
              <w:rPr>
                <w:rFonts w:ascii="Times New Roman" w:hAnsi="Times New Roman"/>
                <w:color w:val="auto"/>
                <w:kern w:val="0"/>
                <w:sz w:val="24"/>
                <w:highlight w:val="none"/>
                <w:vertAlign w:val="superscript"/>
              </w:rPr>
              <w:t>2</w:t>
            </w:r>
            <w:r>
              <w:rPr>
                <w:rFonts w:ascii="Times New Roman" w:hAnsi="Times New Roman"/>
                <w:color w:val="auto"/>
                <w:kern w:val="0"/>
                <w:sz w:val="24"/>
                <w:highlight w:val="none"/>
              </w:rPr>
              <w:t>/人</w:t>
            </w:r>
          </w:p>
          <w:p>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海丰县公园绿地面积36.74公顷，建成区内的城区常住人口数量28.73万人</w:t>
            </w:r>
            <w:r>
              <w:rPr>
                <w:rFonts w:hint="eastAsia" w:ascii="Times New Roman" w:hAnsi="Times New Roman"/>
                <w:color w:val="auto"/>
                <w:sz w:val="24"/>
                <w:highlight w:val="none"/>
              </w:rPr>
              <w:t>。</w:t>
            </w:r>
            <w:r>
              <w:rPr>
                <w:rFonts w:ascii="Times New Roman" w:hAnsi="Times New Roman"/>
                <w:color w:val="auto"/>
                <w:sz w:val="24"/>
                <w:highlight w:val="none"/>
              </w:rPr>
              <w:t>规划建设后估计可达9.</w:t>
            </w:r>
            <w:r>
              <w:rPr>
                <w:rFonts w:hint="eastAsia" w:ascii="Times New Roman" w:hAnsi="Times New Roman"/>
                <w:color w:val="auto"/>
                <w:sz w:val="24"/>
                <w:highlight w:val="none"/>
                <w:lang w:val="en-US" w:eastAsia="zh-CN"/>
              </w:rPr>
              <w:t>26</w:t>
            </w:r>
            <w:r>
              <w:rPr>
                <w:rFonts w:ascii="Times New Roman" w:hAnsi="Times New Roman"/>
                <w:color w:val="auto"/>
                <w:kern w:val="0"/>
                <w:sz w:val="24"/>
                <w:highlight w:val="none"/>
              </w:rPr>
              <w:t>m</w:t>
            </w:r>
            <w:r>
              <w:rPr>
                <w:rFonts w:ascii="Times New Roman" w:hAnsi="Times New Roman"/>
                <w:color w:val="auto"/>
                <w:kern w:val="0"/>
                <w:sz w:val="24"/>
                <w:highlight w:val="none"/>
                <w:vertAlign w:val="superscript"/>
              </w:rPr>
              <w:t>2</w:t>
            </w:r>
            <w:r>
              <w:rPr>
                <w:rFonts w:ascii="Times New Roman" w:hAnsi="Times New Roman"/>
                <w:color w:val="auto"/>
                <w:kern w:val="0"/>
                <w:sz w:val="24"/>
                <w:highlight w:val="none"/>
              </w:rPr>
              <w:t>/人</w:t>
            </w:r>
            <w:r>
              <w:rPr>
                <w:rFonts w:hint="eastAsia" w:ascii="Times New Roman" w:hAnsi="Times New Roman"/>
                <w:color w:val="auto"/>
                <w:kern w:val="0"/>
                <w:sz w:val="24"/>
                <w:highlight w:val="none"/>
              </w:rPr>
              <w:t>。</w:t>
            </w:r>
          </w:p>
        </w:tc>
        <w:tc>
          <w:tcPr>
            <w:tcW w:w="754"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未达标</w:t>
            </w:r>
          </w:p>
        </w:tc>
      </w:tr>
      <w:tr>
        <w:tblPrEx>
          <w:tblCellMar>
            <w:top w:w="0" w:type="dxa"/>
            <w:left w:w="108" w:type="dxa"/>
            <w:bottom w:w="0" w:type="dxa"/>
            <w:right w:w="108" w:type="dxa"/>
          </w:tblCellMar>
        </w:tblPrEx>
        <w:trPr>
          <w:trHeight w:val="90" w:hRule="atLeast"/>
          <w:jc w:val="center"/>
        </w:trPr>
        <w:tc>
          <w:tcPr>
            <w:tcW w:w="922" w:type="dxa"/>
            <w:vMerge w:val="continue"/>
            <w:tcBorders>
              <w:top w:val="nil"/>
              <w:left w:val="single" w:color="auto" w:sz="4" w:space="0"/>
              <w:bottom w:val="single" w:color="auto" w:sz="4" w:space="0"/>
              <w:right w:val="single" w:color="auto" w:sz="4" w:space="0"/>
            </w:tcBorders>
            <w:vAlign w:val="center"/>
          </w:tcPr>
          <w:p>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12</w:t>
            </w:r>
          </w:p>
        </w:tc>
        <w:tc>
          <w:tcPr>
            <w:tcW w:w="137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公园绿地服务半径覆盖率（%）</w:t>
            </w:r>
          </w:p>
        </w:tc>
        <w:tc>
          <w:tcPr>
            <w:tcW w:w="469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≥80%；1000-2000（含）m</w:t>
            </w:r>
            <w:r>
              <w:rPr>
                <w:rFonts w:ascii="Times New Roman" w:hAnsi="Times New Roman"/>
                <w:color w:val="auto"/>
                <w:kern w:val="0"/>
                <w:sz w:val="24"/>
                <w:highlight w:val="none"/>
                <w:vertAlign w:val="superscript"/>
              </w:rPr>
              <w:t>2</w:t>
            </w:r>
            <w:r>
              <w:rPr>
                <w:rFonts w:ascii="Times New Roman" w:hAnsi="Times New Roman"/>
                <w:color w:val="auto"/>
                <w:kern w:val="0"/>
                <w:sz w:val="24"/>
                <w:highlight w:val="none"/>
              </w:rPr>
              <w:t>公园绿地按照300m服务半径考核，2000m</w:t>
            </w:r>
            <w:r>
              <w:rPr>
                <w:rFonts w:ascii="Times New Roman" w:hAnsi="Times New Roman"/>
                <w:color w:val="auto"/>
                <w:kern w:val="0"/>
                <w:sz w:val="24"/>
                <w:highlight w:val="none"/>
                <w:vertAlign w:val="superscript"/>
              </w:rPr>
              <w:t>2</w:t>
            </w:r>
            <w:r>
              <w:rPr>
                <w:rFonts w:ascii="Times New Roman" w:hAnsi="Times New Roman"/>
                <w:color w:val="auto"/>
                <w:kern w:val="0"/>
                <w:sz w:val="24"/>
                <w:highlight w:val="none"/>
              </w:rPr>
              <w:t>以上公园绿地按照500m服务半径考核；历史文化街区参照《城市园林绿化评价标准》（GB/T50563-2010）计算。</w:t>
            </w:r>
          </w:p>
        </w:tc>
        <w:tc>
          <w:tcPr>
            <w:tcW w:w="948"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考核范围为建成区</w:t>
            </w:r>
          </w:p>
        </w:tc>
        <w:tc>
          <w:tcPr>
            <w:tcW w:w="4729"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现状50.4%，规划建设完成后</w:t>
            </w:r>
            <w:r>
              <w:rPr>
                <w:rFonts w:hint="eastAsia" w:ascii="Times New Roman" w:hAnsi="Times New Roman"/>
                <w:color w:val="auto"/>
                <w:kern w:val="0"/>
                <w:sz w:val="24"/>
                <w:highlight w:val="none"/>
              </w:rPr>
              <w:t>8</w:t>
            </w:r>
            <w:r>
              <w:rPr>
                <w:rFonts w:hint="eastAsia" w:ascii="Times New Roman" w:hAnsi="Times New Roman"/>
                <w:color w:val="auto"/>
                <w:kern w:val="0"/>
                <w:sz w:val="24"/>
                <w:highlight w:val="none"/>
                <w:lang w:val="en-US" w:eastAsia="zh-CN"/>
              </w:rPr>
              <w:t>1.43</w:t>
            </w:r>
            <w:r>
              <w:rPr>
                <w:rFonts w:ascii="Times New Roman" w:hAnsi="Times New Roman"/>
                <w:color w:val="auto"/>
                <w:kern w:val="0"/>
                <w:sz w:val="24"/>
                <w:highlight w:val="none"/>
              </w:rPr>
              <w:t>%。</w:t>
            </w:r>
          </w:p>
        </w:tc>
        <w:tc>
          <w:tcPr>
            <w:tcW w:w="754"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未达标</w:t>
            </w:r>
          </w:p>
          <w:p>
            <w:pPr>
              <w:widowControl/>
              <w:spacing w:line="360" w:lineRule="auto"/>
              <w:rPr>
                <w:rFonts w:ascii="Times New Roman" w:hAnsi="Times New Roman"/>
                <w:color w:val="auto"/>
                <w:kern w:val="0"/>
                <w:sz w:val="24"/>
                <w:highlight w:val="none"/>
              </w:rPr>
            </w:pPr>
          </w:p>
        </w:tc>
      </w:tr>
      <w:tr>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13</w:t>
            </w:r>
          </w:p>
        </w:tc>
        <w:tc>
          <w:tcPr>
            <w:tcW w:w="137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符合《公园设计规范》要求的综合公园（个）</w:t>
            </w:r>
          </w:p>
        </w:tc>
        <w:tc>
          <w:tcPr>
            <w:tcW w:w="469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≥1</w:t>
            </w:r>
          </w:p>
        </w:tc>
        <w:tc>
          <w:tcPr>
            <w:tcW w:w="948"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　</w:t>
            </w:r>
          </w:p>
        </w:tc>
        <w:tc>
          <w:tcPr>
            <w:tcW w:w="4729"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1个</w:t>
            </w:r>
          </w:p>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青年公园</w:t>
            </w:r>
            <w:r>
              <w:rPr>
                <w:rFonts w:ascii="Times New Roman" w:hAnsi="Times New Roman"/>
                <w:color w:val="auto"/>
                <w:sz w:val="24"/>
                <w:highlight w:val="none"/>
              </w:rPr>
              <w:t>（11.90公顷）</w:t>
            </w:r>
          </w:p>
        </w:tc>
        <w:tc>
          <w:tcPr>
            <w:tcW w:w="754"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达标</w:t>
            </w:r>
          </w:p>
        </w:tc>
      </w:tr>
      <w:tr>
        <w:tblPrEx>
          <w:tblCellMar>
            <w:top w:w="0" w:type="dxa"/>
            <w:left w:w="108" w:type="dxa"/>
            <w:bottom w:w="0" w:type="dxa"/>
            <w:right w:w="108" w:type="dxa"/>
          </w:tblCellMar>
        </w:tblPrEx>
        <w:trPr>
          <w:trHeight w:val="285" w:hRule="atLeast"/>
          <w:jc w:val="center"/>
        </w:trPr>
        <w:tc>
          <w:tcPr>
            <w:tcW w:w="922" w:type="dxa"/>
            <w:vMerge w:val="continue"/>
            <w:tcBorders>
              <w:top w:val="nil"/>
              <w:left w:val="single" w:color="auto" w:sz="4" w:space="0"/>
              <w:bottom w:val="single" w:color="auto" w:sz="4" w:space="0"/>
              <w:right w:val="single" w:color="auto" w:sz="4" w:space="0"/>
            </w:tcBorders>
            <w:vAlign w:val="center"/>
          </w:tcPr>
          <w:p>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14</w:t>
            </w:r>
          </w:p>
        </w:tc>
        <w:tc>
          <w:tcPr>
            <w:tcW w:w="137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新建、改建居住区绿地达标率（%）</w:t>
            </w:r>
          </w:p>
        </w:tc>
        <w:tc>
          <w:tcPr>
            <w:tcW w:w="469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≥95%</w:t>
            </w:r>
          </w:p>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2002年以后新建居住区</w:t>
            </w:r>
          </w:p>
        </w:tc>
        <w:tc>
          <w:tcPr>
            <w:tcW w:w="948"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考核范围为建成区</w:t>
            </w:r>
          </w:p>
        </w:tc>
        <w:tc>
          <w:tcPr>
            <w:tcW w:w="4729"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hint="eastAsia" w:ascii="Times New Roman" w:hAnsi="Times New Roman"/>
                <w:color w:val="auto"/>
                <w:sz w:val="24"/>
                <w:highlight w:val="none"/>
              </w:rPr>
              <w:t>海丰县</w:t>
            </w:r>
            <w:r>
              <w:rPr>
                <w:rFonts w:ascii="Times New Roman" w:hAnsi="Times New Roman"/>
                <w:color w:val="auto"/>
                <w:sz w:val="24"/>
                <w:highlight w:val="none"/>
              </w:rPr>
              <w:t>2002</w:t>
            </w:r>
            <w:r>
              <w:rPr>
                <w:rFonts w:hint="eastAsia" w:ascii="Times New Roman" w:hAnsi="Times New Roman"/>
                <w:color w:val="auto"/>
                <w:sz w:val="24"/>
                <w:highlight w:val="none"/>
              </w:rPr>
              <w:t>年（含）以后新建、改建居住区</w:t>
            </w:r>
            <w:r>
              <w:rPr>
                <w:rFonts w:ascii="Times New Roman" w:hAnsi="Times New Roman"/>
                <w:color w:val="auto"/>
                <w:sz w:val="24"/>
                <w:highlight w:val="none"/>
              </w:rPr>
              <w:t>38</w:t>
            </w:r>
            <w:r>
              <w:rPr>
                <w:rFonts w:hint="eastAsia" w:ascii="Times New Roman" w:hAnsi="Times New Roman"/>
                <w:color w:val="auto"/>
                <w:sz w:val="24"/>
                <w:highlight w:val="none"/>
              </w:rPr>
              <w:t>个，其中绿地达标的城市新建、改建居住区面积</w:t>
            </w:r>
            <w:r>
              <w:rPr>
                <w:rFonts w:hint="eastAsia" w:ascii="Times New Roman" w:hAnsi="Times New Roman"/>
                <w:color w:val="auto"/>
                <w:sz w:val="24"/>
                <w:highlight w:val="none"/>
                <w:lang w:val="en-US" w:eastAsia="zh-CN"/>
              </w:rPr>
              <w:t>99.91</w:t>
            </w:r>
            <w:r>
              <w:rPr>
                <w:rFonts w:hint="eastAsia" w:ascii="Times New Roman" w:hAnsi="Times New Roman"/>
                <w:color w:val="auto"/>
                <w:sz w:val="24"/>
                <w:highlight w:val="none"/>
              </w:rPr>
              <w:t>公顷，城市新建、改建居住区总面积</w:t>
            </w:r>
            <w:r>
              <w:rPr>
                <w:rFonts w:ascii="Times New Roman" w:hAnsi="Times New Roman"/>
                <w:color w:val="auto"/>
                <w:sz w:val="24"/>
                <w:highlight w:val="none"/>
              </w:rPr>
              <w:t>134.24</w:t>
            </w:r>
            <w:r>
              <w:rPr>
                <w:rFonts w:hint="eastAsia" w:ascii="Times New Roman" w:hAnsi="Times New Roman"/>
                <w:color w:val="auto"/>
                <w:sz w:val="24"/>
                <w:highlight w:val="none"/>
              </w:rPr>
              <w:t>公顷，新建、改建居住区绿地达标率</w:t>
            </w:r>
            <w:r>
              <w:rPr>
                <w:rFonts w:hint="eastAsia" w:ascii="Times New Roman" w:hAnsi="Times New Roman"/>
                <w:color w:val="auto"/>
                <w:sz w:val="24"/>
                <w:highlight w:val="none"/>
                <w:lang w:val="en-US" w:eastAsia="zh-CN"/>
              </w:rPr>
              <w:t>74.43</w:t>
            </w:r>
            <w:r>
              <w:rPr>
                <w:rFonts w:ascii="Times New Roman" w:hAnsi="Times New Roman"/>
                <w:color w:val="auto"/>
                <w:sz w:val="24"/>
                <w:highlight w:val="none"/>
              </w:rPr>
              <w:t>%</w:t>
            </w:r>
          </w:p>
        </w:tc>
        <w:tc>
          <w:tcPr>
            <w:tcW w:w="754"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未达标</w:t>
            </w:r>
          </w:p>
        </w:tc>
      </w:tr>
      <w:tr>
        <w:tblPrEx>
          <w:tblCellMar>
            <w:top w:w="0" w:type="dxa"/>
            <w:left w:w="108" w:type="dxa"/>
            <w:bottom w:w="0" w:type="dxa"/>
            <w:right w:w="108" w:type="dxa"/>
          </w:tblCellMar>
        </w:tblPrEx>
        <w:trPr>
          <w:trHeight w:val="285" w:hRule="atLeast"/>
          <w:jc w:val="center"/>
        </w:trPr>
        <w:tc>
          <w:tcPr>
            <w:tcW w:w="922" w:type="dxa"/>
            <w:vMerge w:val="continue"/>
            <w:tcBorders>
              <w:top w:val="nil"/>
              <w:left w:val="single" w:color="auto" w:sz="4" w:space="0"/>
              <w:bottom w:val="single" w:color="auto" w:sz="4" w:space="0"/>
              <w:right w:val="single" w:color="auto" w:sz="4" w:space="0"/>
            </w:tcBorders>
            <w:vAlign w:val="center"/>
          </w:tcPr>
          <w:p>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15</w:t>
            </w:r>
          </w:p>
        </w:tc>
        <w:tc>
          <w:tcPr>
            <w:tcW w:w="137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园林式居住区（单位）、达标率（%）或年提升率（%）</w:t>
            </w:r>
          </w:p>
        </w:tc>
        <w:tc>
          <w:tcPr>
            <w:tcW w:w="469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达标率≥50%或年提升率≥10%</w:t>
            </w:r>
          </w:p>
        </w:tc>
        <w:tc>
          <w:tcPr>
            <w:tcW w:w="948"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考核范围为建成区</w:t>
            </w:r>
          </w:p>
        </w:tc>
        <w:tc>
          <w:tcPr>
            <w:tcW w:w="4729"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需要进行专项评审，选出园林式居住区（单位），达标率需要超过50%</w:t>
            </w:r>
          </w:p>
        </w:tc>
        <w:tc>
          <w:tcPr>
            <w:tcW w:w="754"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缺失</w:t>
            </w:r>
          </w:p>
        </w:tc>
      </w:tr>
      <w:tr>
        <w:tblPrEx>
          <w:tblCellMar>
            <w:top w:w="0" w:type="dxa"/>
            <w:left w:w="108" w:type="dxa"/>
            <w:bottom w:w="0" w:type="dxa"/>
            <w:right w:w="108" w:type="dxa"/>
          </w:tblCellMar>
        </w:tblPrEx>
        <w:trPr>
          <w:trHeight w:val="285" w:hRule="atLeast"/>
          <w:jc w:val="center"/>
        </w:trPr>
        <w:tc>
          <w:tcPr>
            <w:tcW w:w="922" w:type="dxa"/>
            <w:vMerge w:val="continue"/>
            <w:tcBorders>
              <w:top w:val="nil"/>
              <w:left w:val="single" w:color="auto" w:sz="4" w:space="0"/>
              <w:bottom w:val="single" w:color="auto" w:sz="4" w:space="0"/>
              <w:right w:val="single" w:color="auto" w:sz="4" w:space="0"/>
            </w:tcBorders>
            <w:vAlign w:val="center"/>
          </w:tcPr>
          <w:p>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16</w:t>
            </w:r>
          </w:p>
        </w:tc>
        <w:tc>
          <w:tcPr>
            <w:tcW w:w="137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道路绿化普及率（%）</w:t>
            </w:r>
          </w:p>
        </w:tc>
        <w:tc>
          <w:tcPr>
            <w:tcW w:w="469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≥95%</w:t>
            </w:r>
          </w:p>
        </w:tc>
        <w:tc>
          <w:tcPr>
            <w:tcW w:w="948"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考核范围为建成区</w:t>
            </w:r>
          </w:p>
        </w:tc>
        <w:tc>
          <w:tcPr>
            <w:tcW w:w="4729"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县城建成区内道路两旁种植有行道树的道路长度78209米，城市建成区内道路总长度113223米，道路绿化普及率69.08%</w:t>
            </w:r>
          </w:p>
        </w:tc>
        <w:tc>
          <w:tcPr>
            <w:tcW w:w="754"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未达标</w:t>
            </w:r>
          </w:p>
        </w:tc>
      </w:tr>
      <w:tr>
        <w:tblPrEx>
          <w:tblCellMar>
            <w:top w:w="0" w:type="dxa"/>
            <w:left w:w="108" w:type="dxa"/>
            <w:bottom w:w="0" w:type="dxa"/>
            <w:right w:w="108" w:type="dxa"/>
          </w:tblCellMar>
        </w:tblPrEx>
        <w:trPr>
          <w:trHeight w:val="2646" w:hRule="atLeast"/>
          <w:jc w:val="center"/>
        </w:trPr>
        <w:tc>
          <w:tcPr>
            <w:tcW w:w="922" w:type="dxa"/>
            <w:vMerge w:val="continue"/>
            <w:tcBorders>
              <w:top w:val="nil"/>
              <w:left w:val="single" w:color="auto" w:sz="4" w:space="0"/>
              <w:bottom w:val="single" w:color="auto" w:sz="4" w:space="0"/>
              <w:right w:val="single" w:color="auto" w:sz="4" w:space="0"/>
            </w:tcBorders>
            <w:vAlign w:val="center"/>
          </w:tcPr>
          <w:p>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17</w:t>
            </w:r>
          </w:p>
        </w:tc>
        <w:tc>
          <w:tcPr>
            <w:tcW w:w="137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道路绿化达标率（%）</w:t>
            </w:r>
          </w:p>
        </w:tc>
        <w:tc>
          <w:tcPr>
            <w:tcW w:w="469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≥80%</w:t>
            </w:r>
          </w:p>
        </w:tc>
        <w:tc>
          <w:tcPr>
            <w:tcW w:w="948"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考核范围为建成区</w:t>
            </w:r>
          </w:p>
        </w:tc>
        <w:tc>
          <w:tcPr>
            <w:tcW w:w="4729"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hint="eastAsia" w:ascii="Times New Roman" w:hAnsi="Times New Roman"/>
                <w:color w:val="auto"/>
                <w:sz w:val="24"/>
                <w:highlight w:val="none"/>
              </w:rPr>
              <w:t>县城</w:t>
            </w:r>
            <w:r>
              <w:rPr>
                <w:rFonts w:ascii="Times New Roman" w:hAnsi="Times New Roman"/>
                <w:color w:val="auto"/>
                <w:sz w:val="24"/>
                <w:highlight w:val="none"/>
              </w:rPr>
              <w:t>建成区内绿地率达标的城市道路长度64095米，城市建成区内道路总长度114543米，道路绿化达标率58.65%</w:t>
            </w:r>
            <w:r>
              <w:rPr>
                <w:rFonts w:hint="eastAsia" w:ascii="Times New Roman" w:hAnsi="Times New Roman"/>
                <w:color w:val="auto"/>
                <w:sz w:val="24"/>
                <w:highlight w:val="none"/>
              </w:rPr>
              <w:t>。</w:t>
            </w:r>
          </w:p>
        </w:tc>
        <w:tc>
          <w:tcPr>
            <w:tcW w:w="754"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未达标</w:t>
            </w:r>
          </w:p>
        </w:tc>
      </w:tr>
      <w:tr>
        <w:tblPrEx>
          <w:tblCellMar>
            <w:top w:w="0" w:type="dxa"/>
            <w:left w:w="108" w:type="dxa"/>
            <w:bottom w:w="0" w:type="dxa"/>
            <w:right w:w="108" w:type="dxa"/>
          </w:tblCellMar>
        </w:tblPrEx>
        <w:trPr>
          <w:trHeight w:val="285" w:hRule="atLeast"/>
          <w:jc w:val="center"/>
        </w:trPr>
        <w:tc>
          <w:tcPr>
            <w:tcW w:w="922" w:type="dxa"/>
            <w:vMerge w:val="continue"/>
            <w:tcBorders>
              <w:top w:val="nil"/>
              <w:left w:val="single" w:color="auto" w:sz="4" w:space="0"/>
              <w:bottom w:val="single" w:color="auto" w:sz="4" w:space="0"/>
              <w:right w:val="single" w:color="auto" w:sz="4" w:space="0"/>
            </w:tcBorders>
            <w:vAlign w:val="center"/>
          </w:tcPr>
          <w:p>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18</w:t>
            </w:r>
          </w:p>
        </w:tc>
        <w:tc>
          <w:tcPr>
            <w:tcW w:w="137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防护绿地实施率（%）</w:t>
            </w:r>
          </w:p>
        </w:tc>
        <w:tc>
          <w:tcPr>
            <w:tcW w:w="469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≥80%</w:t>
            </w:r>
          </w:p>
        </w:tc>
        <w:tc>
          <w:tcPr>
            <w:tcW w:w="948"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考核范围为建成区</w:t>
            </w:r>
          </w:p>
        </w:tc>
        <w:tc>
          <w:tcPr>
            <w:tcW w:w="4729"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规划后防护绿地面积324.65公顷，防护绿地实施率100%</w:t>
            </w:r>
          </w:p>
        </w:tc>
        <w:tc>
          <w:tcPr>
            <w:tcW w:w="754"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达标</w:t>
            </w:r>
          </w:p>
        </w:tc>
      </w:tr>
      <w:tr>
        <w:tblPrEx>
          <w:tblCellMar>
            <w:top w:w="0" w:type="dxa"/>
            <w:left w:w="108" w:type="dxa"/>
            <w:bottom w:w="0" w:type="dxa"/>
            <w:right w:w="108" w:type="dxa"/>
          </w:tblCellMar>
        </w:tblPrEx>
        <w:trPr>
          <w:trHeight w:val="285" w:hRule="atLeast"/>
          <w:jc w:val="center"/>
        </w:trPr>
        <w:tc>
          <w:tcPr>
            <w:tcW w:w="922" w:type="dxa"/>
            <w:vMerge w:val="continue"/>
            <w:tcBorders>
              <w:top w:val="nil"/>
              <w:left w:val="single" w:color="auto" w:sz="4" w:space="0"/>
              <w:bottom w:val="single" w:color="auto" w:sz="4" w:space="0"/>
              <w:right w:val="single" w:color="auto" w:sz="4" w:space="0"/>
            </w:tcBorders>
            <w:vAlign w:val="center"/>
          </w:tcPr>
          <w:p>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19</w:t>
            </w:r>
          </w:p>
        </w:tc>
        <w:tc>
          <w:tcPr>
            <w:tcW w:w="137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河道绿化普及率（%）</w:t>
            </w:r>
          </w:p>
        </w:tc>
        <w:tc>
          <w:tcPr>
            <w:tcW w:w="469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≥85%</w:t>
            </w:r>
          </w:p>
        </w:tc>
        <w:tc>
          <w:tcPr>
            <w:tcW w:w="948"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考核范围为建成区</w:t>
            </w:r>
          </w:p>
        </w:tc>
        <w:tc>
          <w:tcPr>
            <w:tcW w:w="4729"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78.10</w:t>
            </w:r>
            <w:r>
              <w:rPr>
                <w:rFonts w:hint="eastAsia" w:ascii="Times New Roman" w:hAnsi="Times New Roman"/>
                <w:color w:val="auto"/>
                <w:sz w:val="24"/>
                <w:highlight w:val="none"/>
              </w:rPr>
              <w:t>%</w:t>
            </w:r>
          </w:p>
          <w:p>
            <w:pPr>
              <w:widowControl/>
              <w:spacing w:line="360" w:lineRule="auto"/>
              <w:rPr>
                <w:rFonts w:ascii="Times New Roman" w:hAnsi="Times New Roman"/>
                <w:color w:val="auto"/>
                <w:kern w:val="0"/>
                <w:sz w:val="24"/>
                <w:highlight w:val="none"/>
              </w:rPr>
            </w:pPr>
            <w:r>
              <w:rPr>
                <w:rFonts w:ascii="Times New Roman" w:hAnsi="Times New Roman"/>
                <w:color w:val="auto"/>
                <w:sz w:val="24"/>
                <w:highlight w:val="none"/>
              </w:rPr>
              <w:t>海丰县建成区范围内有河流1条，为龙津河，长度为4526.5米</w:t>
            </w:r>
            <w:r>
              <w:rPr>
                <w:rFonts w:hint="eastAsia" w:ascii="Times New Roman" w:hAnsi="Times New Roman"/>
                <w:color w:val="auto"/>
                <w:sz w:val="24"/>
                <w:highlight w:val="none"/>
              </w:rPr>
              <w:t>，</w:t>
            </w:r>
            <w:r>
              <w:rPr>
                <w:rFonts w:ascii="Times New Roman" w:hAnsi="Times New Roman"/>
                <w:color w:val="auto"/>
                <w:sz w:val="24"/>
                <w:highlight w:val="none"/>
              </w:rPr>
              <w:t>两岸岸线长度为9053米，宽度大于或等于12米的滨河绿带长度为7070.78米</w:t>
            </w:r>
            <w:r>
              <w:rPr>
                <w:rFonts w:hint="eastAsia" w:ascii="Times New Roman" w:hAnsi="Times New Roman"/>
                <w:color w:val="auto"/>
                <w:sz w:val="24"/>
                <w:highlight w:val="none"/>
              </w:rPr>
              <w:t>。经规划建设后河道绿化普及率可达92.93%。</w:t>
            </w:r>
          </w:p>
        </w:tc>
        <w:tc>
          <w:tcPr>
            <w:tcW w:w="754"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未达标</w:t>
            </w:r>
          </w:p>
        </w:tc>
      </w:tr>
      <w:tr>
        <w:tblPrEx>
          <w:tblCellMar>
            <w:top w:w="0" w:type="dxa"/>
            <w:left w:w="108" w:type="dxa"/>
            <w:bottom w:w="0" w:type="dxa"/>
            <w:right w:w="108" w:type="dxa"/>
          </w:tblCellMar>
        </w:tblPrEx>
        <w:trPr>
          <w:trHeight w:val="270" w:hRule="atLeast"/>
          <w:jc w:val="center"/>
        </w:trPr>
        <w:tc>
          <w:tcPr>
            <w:tcW w:w="922" w:type="dxa"/>
            <w:vMerge w:val="restart"/>
            <w:tcBorders>
              <w:top w:val="nil"/>
              <w:left w:val="single" w:color="auto" w:sz="4" w:space="0"/>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三、建设管控（10）</w:t>
            </w:r>
          </w:p>
        </w:tc>
        <w:tc>
          <w:tcPr>
            <w:tcW w:w="749"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20</w:t>
            </w:r>
          </w:p>
        </w:tc>
        <w:tc>
          <w:tcPr>
            <w:tcW w:w="137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绿地系统规划执行和建设管理</w:t>
            </w:r>
          </w:p>
        </w:tc>
        <w:tc>
          <w:tcPr>
            <w:tcW w:w="469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绿地系统规划得到有效执行，绿地建设符合规划；</w:t>
            </w:r>
          </w:p>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绿化建设成果得到有效保护，规划绿地性质无改变；</w:t>
            </w:r>
          </w:p>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③</w:t>
            </w:r>
            <w:r>
              <w:rPr>
                <w:rFonts w:ascii="Times New Roman" w:hAnsi="Times New Roman"/>
                <w:color w:val="auto"/>
                <w:kern w:val="0"/>
                <w:sz w:val="24"/>
                <w:highlight w:val="none"/>
              </w:rPr>
              <w:t>园林绿化主管部门参与公园绿地建设项目设计和项目竣工验收。</w:t>
            </w:r>
          </w:p>
        </w:tc>
        <w:tc>
          <w:tcPr>
            <w:tcW w:w="948"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　</w:t>
            </w:r>
          </w:p>
        </w:tc>
        <w:tc>
          <w:tcPr>
            <w:tcW w:w="4729"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正在编制绿地系统规划，未编制完成</w:t>
            </w:r>
          </w:p>
        </w:tc>
        <w:tc>
          <w:tcPr>
            <w:tcW w:w="754"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未达标</w:t>
            </w:r>
          </w:p>
        </w:tc>
      </w:tr>
      <w:tr>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21</w:t>
            </w:r>
          </w:p>
        </w:tc>
        <w:tc>
          <w:tcPr>
            <w:tcW w:w="137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大树移植、行道树树种更换等控制管理</w:t>
            </w:r>
          </w:p>
        </w:tc>
        <w:tc>
          <w:tcPr>
            <w:tcW w:w="469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制定严格控制大树移植及随意更换行道树树种的制度或管控措施，并落实良好；</w:t>
            </w:r>
          </w:p>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近2年（含申报年），公园绿地、道路绿化建设或改、扩建中未曾发生大规模、未经专家论证及社会公示认可而更换行道树树种等现象。</w:t>
            </w:r>
          </w:p>
        </w:tc>
        <w:tc>
          <w:tcPr>
            <w:tcW w:w="948"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　</w:t>
            </w:r>
          </w:p>
        </w:tc>
        <w:tc>
          <w:tcPr>
            <w:tcW w:w="4729"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2017年广东省林业厅、省住建厅联合发文严格控制大树移植。</w:t>
            </w:r>
          </w:p>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现状未制定严格控制大树移植的制度或管控措施。</w:t>
            </w:r>
          </w:p>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近2年未曾发生大规模、未经专家论证及社会公示认可而更换行道树树种等现象。</w:t>
            </w:r>
          </w:p>
        </w:tc>
        <w:tc>
          <w:tcPr>
            <w:tcW w:w="754"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缺失</w:t>
            </w:r>
          </w:p>
        </w:tc>
      </w:tr>
      <w:tr>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22</w:t>
            </w:r>
          </w:p>
        </w:tc>
        <w:tc>
          <w:tcPr>
            <w:tcW w:w="137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公园规范化管理</w:t>
            </w:r>
          </w:p>
        </w:tc>
        <w:tc>
          <w:tcPr>
            <w:tcW w:w="469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公园免费开放率100%；</w:t>
            </w:r>
          </w:p>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公园设计符合《公园设计规范》等相关标准规范要求，公园功能完善，设施完好,安全运行；</w:t>
            </w:r>
          </w:p>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③</w:t>
            </w:r>
            <w:r>
              <w:rPr>
                <w:rFonts w:ascii="Times New Roman" w:hAnsi="Times New Roman"/>
                <w:color w:val="auto"/>
                <w:kern w:val="0"/>
                <w:sz w:val="24"/>
                <w:highlight w:val="none"/>
              </w:rPr>
              <w:t>公园配套服务设施经营管理符合《城市公园配套服务项目经营管理暂行办法》等要求，保障公园的公益属性。</w:t>
            </w:r>
          </w:p>
        </w:tc>
        <w:tc>
          <w:tcPr>
            <w:tcW w:w="948"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　</w:t>
            </w:r>
          </w:p>
        </w:tc>
        <w:tc>
          <w:tcPr>
            <w:tcW w:w="4729"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公园免费开放率100%；公园公益属性基本保障，设计基本符合《公园设计规范》等相关标准规范要求，公园功能基本完善，设施完好,安全运行；</w:t>
            </w:r>
          </w:p>
        </w:tc>
        <w:tc>
          <w:tcPr>
            <w:tcW w:w="754"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达标</w:t>
            </w:r>
          </w:p>
        </w:tc>
      </w:tr>
      <w:tr>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23</w:t>
            </w:r>
          </w:p>
        </w:tc>
        <w:tc>
          <w:tcPr>
            <w:tcW w:w="137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公园绿地应急避险功能完善建设</w:t>
            </w:r>
          </w:p>
        </w:tc>
        <w:tc>
          <w:tcPr>
            <w:tcW w:w="469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在全面摸底评估的基础上，编制《绿地系统防灾避险规划》或在《绿地系统规划》中有专章；</w:t>
            </w:r>
          </w:p>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承担防灾避险功能的公园绿地中水、电、通讯、标识等设施符合相关标准规范要求。</w:t>
            </w:r>
          </w:p>
        </w:tc>
        <w:tc>
          <w:tcPr>
            <w:tcW w:w="948"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　</w:t>
            </w:r>
          </w:p>
        </w:tc>
        <w:tc>
          <w:tcPr>
            <w:tcW w:w="4729"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sz w:val="24"/>
                <w:highlight w:val="none"/>
              </w:rPr>
              <w:t>①</w:t>
            </w:r>
            <w:r>
              <w:rPr>
                <w:rFonts w:ascii="Times New Roman" w:hAnsi="Times New Roman"/>
                <w:color w:val="auto"/>
                <w:sz w:val="24"/>
                <w:highlight w:val="none"/>
              </w:rPr>
              <w:t>在编制的《绿地系统规划》中有《绿地系统防灾避险规划》专章；</w:t>
            </w:r>
            <w:r>
              <w:rPr>
                <w:rFonts w:hint="default" w:ascii="Times New Roman" w:hAnsi="Times New Roman" w:cs="Times New Roman"/>
                <w:color w:val="auto"/>
                <w:sz w:val="24"/>
                <w:highlight w:val="none"/>
              </w:rPr>
              <w:t>②</w:t>
            </w:r>
            <w:r>
              <w:rPr>
                <w:rFonts w:ascii="Times New Roman" w:hAnsi="Times New Roman"/>
                <w:color w:val="auto"/>
                <w:sz w:val="24"/>
                <w:highlight w:val="none"/>
              </w:rPr>
              <w:t>承担防灾避险功能的公园绿地中水、电、通讯、标识等设施符合相关标准规范要求。</w:t>
            </w:r>
          </w:p>
        </w:tc>
        <w:tc>
          <w:tcPr>
            <w:tcW w:w="754"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未达标</w:t>
            </w:r>
          </w:p>
        </w:tc>
      </w:tr>
      <w:tr>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24</w:t>
            </w:r>
          </w:p>
        </w:tc>
        <w:tc>
          <w:tcPr>
            <w:tcW w:w="137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绿道建设管理</w:t>
            </w:r>
          </w:p>
        </w:tc>
        <w:tc>
          <w:tcPr>
            <w:tcW w:w="469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绿道建设符合《绿道规划设计导则》、《广东省绿道建设管理规定》（粤府令第191号）、《广东省城市绿道规划设计指引》的函（粤建规函〔2011〕460号）等相关标准规范要求等相关标准规范要求；</w:t>
            </w:r>
          </w:p>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绿道及配套设施维护管理良好。</w:t>
            </w:r>
          </w:p>
        </w:tc>
        <w:tc>
          <w:tcPr>
            <w:tcW w:w="948"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　</w:t>
            </w:r>
          </w:p>
        </w:tc>
        <w:tc>
          <w:tcPr>
            <w:tcW w:w="4729"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青年水库绿道，880m左右。</w:t>
            </w:r>
          </w:p>
        </w:tc>
        <w:tc>
          <w:tcPr>
            <w:tcW w:w="754"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达标</w:t>
            </w:r>
          </w:p>
        </w:tc>
      </w:tr>
      <w:tr>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25</w:t>
            </w:r>
          </w:p>
        </w:tc>
        <w:tc>
          <w:tcPr>
            <w:tcW w:w="137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古树名木及后备资源保护</w:t>
            </w:r>
          </w:p>
        </w:tc>
        <w:tc>
          <w:tcPr>
            <w:tcW w:w="469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严禁移植古树名木,古树名木保护率100%；</w:t>
            </w:r>
          </w:p>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完成树龄超过50年（含）以上古树后备资源普查、建档、挂牌并确定保护责任单位或责任人。</w:t>
            </w:r>
          </w:p>
        </w:tc>
        <w:tc>
          <w:tcPr>
            <w:tcW w:w="948"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　</w:t>
            </w:r>
          </w:p>
        </w:tc>
        <w:tc>
          <w:tcPr>
            <w:tcW w:w="4729"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sz w:val="24"/>
                <w:highlight w:val="none"/>
              </w:rPr>
            </w:pPr>
            <w:r>
              <w:rPr>
                <w:rFonts w:hint="default" w:ascii="Times New Roman" w:hAnsi="Times New Roman" w:cs="Times New Roman"/>
                <w:color w:val="auto"/>
                <w:sz w:val="24"/>
                <w:highlight w:val="none"/>
              </w:rPr>
              <w:t>①</w:t>
            </w:r>
            <w:r>
              <w:rPr>
                <w:rFonts w:ascii="Times New Roman" w:hAnsi="Times New Roman"/>
                <w:color w:val="auto"/>
                <w:sz w:val="24"/>
                <w:highlight w:val="none"/>
              </w:rPr>
              <w:t>海丰县严禁移植古树名木，古树名木保护率100%；</w:t>
            </w:r>
            <w:r>
              <w:rPr>
                <w:rFonts w:hint="default" w:ascii="Times New Roman" w:hAnsi="Times New Roman" w:cs="Times New Roman"/>
                <w:color w:val="auto"/>
                <w:sz w:val="24"/>
                <w:highlight w:val="none"/>
              </w:rPr>
              <w:t>②</w:t>
            </w:r>
            <w:r>
              <w:rPr>
                <w:rFonts w:ascii="Times New Roman" w:hAnsi="Times New Roman"/>
                <w:color w:val="auto"/>
                <w:sz w:val="24"/>
                <w:highlight w:val="none"/>
              </w:rPr>
              <w:t>已完成全县树龄100年以上古树名木普查工作，现存古树名木共计10科14属14种，144株。一级古树0株，占总数的0%，二级古树14株，占总数9.72%，三级古树130株，占总数90.28%。所有古树均已建档、挂牌并确定保护责任单位或责任人。</w:t>
            </w:r>
          </w:p>
          <w:p>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尚未对树龄50-99年古树后备资源进行普查、建档、挂牌并确定保护责任单位或责任人工作。</w:t>
            </w:r>
          </w:p>
        </w:tc>
        <w:tc>
          <w:tcPr>
            <w:tcW w:w="754"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未达标</w:t>
            </w:r>
          </w:p>
        </w:tc>
      </w:tr>
      <w:tr>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26</w:t>
            </w:r>
          </w:p>
        </w:tc>
        <w:tc>
          <w:tcPr>
            <w:tcW w:w="137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节约型园林绿化建设</w:t>
            </w:r>
          </w:p>
        </w:tc>
        <w:tc>
          <w:tcPr>
            <w:tcW w:w="469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园林绿化建设以植物造景为主，以栽植全冠苗木为主，采取有效措施严格控制大树移植、大广场、喷泉、水景、人工大水面、大草坪、大色块、假树假花、雕塑、灯具造景、过度亮化等；</w:t>
            </w:r>
          </w:p>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合理选择应用乡土、适生植物，严格控制反季节种植等。</w:t>
            </w:r>
          </w:p>
        </w:tc>
        <w:tc>
          <w:tcPr>
            <w:tcW w:w="948"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　</w:t>
            </w:r>
          </w:p>
        </w:tc>
        <w:tc>
          <w:tcPr>
            <w:tcW w:w="4729"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sz w:val="24"/>
                <w:highlight w:val="none"/>
              </w:rPr>
              <w:t>经过调查，海丰县园林绿化建设以植物造景为主，本地树种比例 0.82，乡土树种丰富，满足指标要求</w:t>
            </w:r>
          </w:p>
        </w:tc>
        <w:tc>
          <w:tcPr>
            <w:tcW w:w="754"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达标</w:t>
            </w:r>
          </w:p>
        </w:tc>
      </w:tr>
      <w:tr>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27</w:t>
            </w:r>
          </w:p>
        </w:tc>
        <w:tc>
          <w:tcPr>
            <w:tcW w:w="137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立体绿化推广</w:t>
            </w:r>
          </w:p>
        </w:tc>
        <w:tc>
          <w:tcPr>
            <w:tcW w:w="469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因地制宜制定立体绿化推广的鼓励政策、技术措施和实施方案，且效果明显。</w:t>
            </w:r>
          </w:p>
        </w:tc>
        <w:tc>
          <w:tcPr>
            <w:tcW w:w="948"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加分项</w:t>
            </w:r>
          </w:p>
        </w:tc>
        <w:tc>
          <w:tcPr>
            <w:tcW w:w="4729"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未见相关鼓励政策、技术措施和实施方案，县城未有立体绿化项目。</w:t>
            </w:r>
          </w:p>
        </w:tc>
        <w:tc>
          <w:tcPr>
            <w:tcW w:w="754"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缺失</w:t>
            </w:r>
          </w:p>
        </w:tc>
      </w:tr>
      <w:tr>
        <w:tblPrEx>
          <w:tblCellMar>
            <w:top w:w="0" w:type="dxa"/>
            <w:left w:w="108" w:type="dxa"/>
            <w:bottom w:w="0" w:type="dxa"/>
            <w:right w:w="108" w:type="dxa"/>
          </w:tblCellMar>
        </w:tblPrEx>
        <w:trPr>
          <w:trHeight w:val="285" w:hRule="atLeast"/>
          <w:jc w:val="center"/>
        </w:trPr>
        <w:tc>
          <w:tcPr>
            <w:tcW w:w="922" w:type="dxa"/>
            <w:vMerge w:val="continue"/>
            <w:tcBorders>
              <w:top w:val="nil"/>
              <w:left w:val="single" w:color="auto" w:sz="4" w:space="0"/>
              <w:bottom w:val="single" w:color="auto" w:sz="4" w:space="0"/>
              <w:right w:val="single" w:color="auto" w:sz="4" w:space="0"/>
            </w:tcBorders>
            <w:vAlign w:val="center"/>
          </w:tcPr>
          <w:p>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28</w:t>
            </w:r>
          </w:p>
        </w:tc>
        <w:tc>
          <w:tcPr>
            <w:tcW w:w="137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历史风貌保护</w:t>
            </w:r>
          </w:p>
        </w:tc>
        <w:tc>
          <w:tcPr>
            <w:tcW w:w="469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制订县域内历史文化风貌保护规划及实施方案，并已获批准，实施效果良好；</w:t>
            </w:r>
          </w:p>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县城发展历史印迹清晰，老县城形态保存基本完好，县城历史文化街区、历史建筑得到有效保护；</w:t>
            </w:r>
          </w:p>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③</w:t>
            </w:r>
            <w:r>
              <w:rPr>
                <w:rFonts w:ascii="Times New Roman" w:hAnsi="Times New Roman"/>
                <w:color w:val="auto"/>
                <w:kern w:val="0"/>
                <w:sz w:val="24"/>
                <w:highlight w:val="none"/>
              </w:rPr>
              <w:t>规划区内道路格局符合县城形态特征,尺度宜人,不盲目拓宽取直；</w:t>
            </w:r>
          </w:p>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④</w:t>
            </w:r>
            <w:r>
              <w:rPr>
                <w:rFonts w:ascii="Times New Roman" w:hAnsi="Times New Roman"/>
                <w:color w:val="auto"/>
                <w:kern w:val="0"/>
                <w:sz w:val="24"/>
                <w:highlight w:val="none"/>
              </w:rPr>
              <w:t>不同历史发展阶段的代表性建筑保存完好，新建建筑具有地域特色和民族文化特征，风格协调统一。</w:t>
            </w:r>
          </w:p>
        </w:tc>
        <w:tc>
          <w:tcPr>
            <w:tcW w:w="948"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考核范围为规划区</w:t>
            </w:r>
          </w:p>
        </w:tc>
        <w:tc>
          <w:tcPr>
            <w:tcW w:w="4729"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sz w:val="24"/>
                <w:highlight w:val="none"/>
              </w:rPr>
            </w:pPr>
            <w:r>
              <w:rPr>
                <w:rFonts w:hint="eastAsia" w:ascii="Times New Roman" w:hAnsi="Times New Roman"/>
                <w:color w:val="auto"/>
                <w:sz w:val="24"/>
                <w:highlight w:val="none"/>
                <w:lang w:val="en-US" w:eastAsia="zh-CN"/>
              </w:rPr>
              <w:t>1991年2月被命名为省级历史文化名城，共2</w:t>
            </w:r>
            <w:r>
              <w:rPr>
                <w:rFonts w:ascii="Times New Roman" w:hAnsi="Times New Roman"/>
                <w:color w:val="auto"/>
                <w:sz w:val="24"/>
                <w:highlight w:val="none"/>
              </w:rPr>
              <w:t>3处历史文化街区，分别为红宫红场历史文化街区、人民南路-红场路历史文化街区、中山西路-中山中路历史文化街区，核心保护范围7.95公顷。</w:t>
            </w:r>
          </w:p>
          <w:p>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国重点、省级、市级和县级文物保护单位40处，其中国重点文物保护单位1处，省级文物保护单位4处，市级文物保护单位8处，县级文物保护单位27处</w:t>
            </w:r>
          </w:p>
          <w:p>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尚未编制县域内历史文化风貌保护规划及实施方案</w:t>
            </w:r>
          </w:p>
        </w:tc>
        <w:tc>
          <w:tcPr>
            <w:tcW w:w="754"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未达标</w:t>
            </w:r>
          </w:p>
        </w:tc>
      </w:tr>
      <w:tr>
        <w:tblPrEx>
          <w:tblCellMar>
            <w:top w:w="0" w:type="dxa"/>
            <w:left w:w="108" w:type="dxa"/>
            <w:bottom w:w="0" w:type="dxa"/>
            <w:right w:w="108" w:type="dxa"/>
          </w:tblCellMar>
        </w:tblPrEx>
        <w:trPr>
          <w:trHeight w:val="285" w:hRule="atLeast"/>
          <w:jc w:val="center"/>
        </w:trPr>
        <w:tc>
          <w:tcPr>
            <w:tcW w:w="922" w:type="dxa"/>
            <w:vMerge w:val="continue"/>
            <w:tcBorders>
              <w:top w:val="nil"/>
              <w:left w:val="single" w:color="auto" w:sz="4" w:space="0"/>
              <w:bottom w:val="single" w:color="auto" w:sz="4" w:space="0"/>
              <w:right w:val="single" w:color="auto" w:sz="4" w:space="0"/>
            </w:tcBorders>
            <w:vAlign w:val="center"/>
          </w:tcPr>
          <w:p>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29</w:t>
            </w:r>
          </w:p>
        </w:tc>
        <w:tc>
          <w:tcPr>
            <w:tcW w:w="137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风景名胜区、文化与自然遗产保护与管理</w:t>
            </w:r>
          </w:p>
        </w:tc>
        <w:tc>
          <w:tcPr>
            <w:tcW w:w="469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依法设立风景名胜区管理机构，职能明确，并正常行使职能；</w:t>
            </w:r>
          </w:p>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省级、省级风景名胜区或列入世界遗产名录的文化或自然遗产严格依据《风景名胜区条例》和相关法律法规与国际公约进行保护管理；</w:t>
            </w:r>
          </w:p>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③</w:t>
            </w:r>
            <w:r>
              <w:rPr>
                <w:rFonts w:ascii="Times New Roman" w:hAnsi="Times New Roman"/>
                <w:color w:val="auto"/>
                <w:kern w:val="0"/>
                <w:sz w:val="24"/>
                <w:highlight w:val="none"/>
              </w:rPr>
              <w:t>具有经批准的《风景名胜区总体规划》等规划，风景名胜区建设项目依法办理选址审批手续。</w:t>
            </w:r>
          </w:p>
        </w:tc>
        <w:tc>
          <w:tcPr>
            <w:tcW w:w="948"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考核范围为规划区</w:t>
            </w:r>
          </w:p>
        </w:tc>
        <w:tc>
          <w:tcPr>
            <w:tcW w:w="4729"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无风景名胜区和列入世界遗产名录的文化或自然遗产</w:t>
            </w:r>
          </w:p>
          <w:p>
            <w:pPr>
              <w:widowControl/>
              <w:spacing w:line="360" w:lineRule="auto"/>
              <w:rPr>
                <w:rFonts w:ascii="Times New Roman" w:hAnsi="Times New Roman"/>
                <w:color w:val="auto"/>
                <w:kern w:val="0"/>
                <w:sz w:val="24"/>
                <w:highlight w:val="none"/>
              </w:rPr>
            </w:pPr>
          </w:p>
        </w:tc>
        <w:tc>
          <w:tcPr>
            <w:tcW w:w="754"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不参与考核</w:t>
            </w:r>
          </w:p>
        </w:tc>
      </w:tr>
      <w:tr>
        <w:tblPrEx>
          <w:tblCellMar>
            <w:top w:w="0" w:type="dxa"/>
            <w:left w:w="108" w:type="dxa"/>
            <w:bottom w:w="0" w:type="dxa"/>
            <w:right w:w="108" w:type="dxa"/>
          </w:tblCellMar>
        </w:tblPrEx>
        <w:trPr>
          <w:trHeight w:val="285" w:hRule="atLeast"/>
          <w:jc w:val="center"/>
        </w:trPr>
        <w:tc>
          <w:tcPr>
            <w:tcW w:w="922" w:type="dxa"/>
            <w:vMerge w:val="restart"/>
            <w:tcBorders>
              <w:top w:val="nil"/>
              <w:left w:val="single" w:color="auto" w:sz="4" w:space="0"/>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四、生态环境（6）</w:t>
            </w:r>
          </w:p>
        </w:tc>
        <w:tc>
          <w:tcPr>
            <w:tcW w:w="749"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30</w:t>
            </w:r>
          </w:p>
        </w:tc>
        <w:tc>
          <w:tcPr>
            <w:tcW w:w="137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生态保护与修复</w:t>
            </w:r>
          </w:p>
        </w:tc>
        <w:tc>
          <w:tcPr>
            <w:tcW w:w="469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县域原有山水格局及自然生态系统得到较好保护，显山露水，确保其原貌性、完整性和功能完好性；</w:t>
            </w:r>
          </w:p>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水体岸线绿化遵循生态学原则，自然河流水系无裁弯取直、筑坝截流、违法取砂等现象，水体岸线自然化率≥80%；</w:t>
            </w:r>
          </w:p>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③</w:t>
            </w:r>
            <w:r>
              <w:rPr>
                <w:rFonts w:ascii="Times New Roman" w:hAnsi="Times New Roman"/>
                <w:color w:val="auto"/>
                <w:kern w:val="0"/>
                <w:sz w:val="24"/>
                <w:highlight w:val="none"/>
              </w:rPr>
              <w:t>自然山体保护完好，无违法违规开山采石、取土以及随意推山取平等现象；</w:t>
            </w:r>
          </w:p>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④</w:t>
            </w:r>
            <w:r>
              <w:rPr>
                <w:rFonts w:ascii="Times New Roman" w:hAnsi="Times New Roman"/>
                <w:color w:val="auto"/>
                <w:kern w:val="0"/>
                <w:sz w:val="24"/>
                <w:highlight w:val="none"/>
              </w:rPr>
              <w:t>按照县城卫生、安全、防灾、环保等要求建设防护绿地；</w:t>
            </w:r>
          </w:p>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⑤</w:t>
            </w:r>
            <w:r>
              <w:rPr>
                <w:rFonts w:ascii="Times New Roman" w:hAnsi="Times New Roman"/>
                <w:color w:val="auto"/>
                <w:kern w:val="0"/>
                <w:sz w:val="24"/>
                <w:highlight w:val="none"/>
              </w:rPr>
              <w:t>依据规划推进环境整治和生态修复。</w:t>
            </w:r>
          </w:p>
        </w:tc>
        <w:tc>
          <w:tcPr>
            <w:tcW w:w="948"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考核范围为规划区</w:t>
            </w:r>
          </w:p>
        </w:tc>
        <w:tc>
          <w:tcPr>
            <w:tcW w:w="4729"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县域自然山水给句和自然生态系统保护较好。</w:t>
            </w:r>
          </w:p>
          <w:p>
            <w:pPr>
              <w:widowControl/>
              <w:spacing w:line="360" w:lineRule="auto"/>
              <w:rPr>
                <w:rFonts w:ascii="Times New Roman" w:hAnsi="Times New Roman"/>
                <w:color w:val="auto"/>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sz w:val="24"/>
                <w:highlight w:val="none"/>
              </w:rPr>
              <w:t>海丰县主要水系为河流和水库类型，水岸总长度964.97 公里，适宜绿化长度659.38公里，已绿化长度611.12公里，全市主要水系绿化率 92.68%</w:t>
            </w:r>
          </w:p>
          <w:p>
            <w:pPr>
              <w:pStyle w:val="2"/>
              <w:ind w:left="0" w:leftChars="0" w:firstLine="0" w:firstLineChars="0"/>
              <w:rPr>
                <w:rFonts w:ascii="Times New Roman" w:hAnsi="Times New Roman" w:eastAsia="宋体"/>
                <w:color w:val="auto"/>
                <w:sz w:val="24"/>
                <w:highlight w:val="none"/>
              </w:rPr>
            </w:pPr>
            <w:r>
              <w:rPr>
                <w:rFonts w:hint="default" w:ascii="Times New Roman" w:hAnsi="Times New Roman" w:eastAsia="宋体" w:cs="Times New Roman"/>
                <w:color w:val="auto"/>
                <w:kern w:val="0"/>
                <w:sz w:val="24"/>
                <w:highlight w:val="none"/>
              </w:rPr>
              <w:t>③</w:t>
            </w:r>
            <w:r>
              <w:rPr>
                <w:rFonts w:ascii="Times New Roman" w:hAnsi="Times New Roman" w:eastAsia="宋体"/>
                <w:color w:val="auto"/>
                <w:kern w:val="0"/>
                <w:sz w:val="24"/>
                <w:highlight w:val="none"/>
              </w:rPr>
              <w:t>未见违规采石现象，有防灾绿地。</w:t>
            </w:r>
          </w:p>
          <w:p>
            <w:pPr>
              <w:widowControl/>
              <w:spacing w:line="360" w:lineRule="auto"/>
              <w:rPr>
                <w:rFonts w:ascii="Times New Roman" w:hAnsi="Times New Roman"/>
                <w:color w:val="auto"/>
                <w:sz w:val="24"/>
                <w:highlight w:val="none"/>
              </w:rPr>
            </w:pPr>
          </w:p>
        </w:tc>
        <w:tc>
          <w:tcPr>
            <w:tcW w:w="754"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达标</w:t>
            </w:r>
          </w:p>
        </w:tc>
      </w:tr>
      <w:tr>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31</w:t>
            </w:r>
          </w:p>
        </w:tc>
        <w:tc>
          <w:tcPr>
            <w:tcW w:w="137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生物多样性保护</w:t>
            </w:r>
          </w:p>
        </w:tc>
        <w:tc>
          <w:tcPr>
            <w:tcW w:w="469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已完成不小于县域范围的生物物种资源普查；</w:t>
            </w:r>
          </w:p>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以生物物种普查为基础，在《绿地系统规划》中有生物多样性保护专篇；</w:t>
            </w:r>
          </w:p>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③</w:t>
            </w:r>
            <w:r>
              <w:rPr>
                <w:rFonts w:ascii="Times New Roman" w:hAnsi="Times New Roman"/>
                <w:color w:val="auto"/>
                <w:kern w:val="0"/>
                <w:sz w:val="24"/>
                <w:highlight w:val="none"/>
              </w:rPr>
              <w:t>生物物种总量保持合理增长，重要物种及其栖息地得到有效保护。</w:t>
            </w:r>
          </w:p>
        </w:tc>
        <w:tc>
          <w:tcPr>
            <w:tcW w:w="948"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加分项</w:t>
            </w:r>
          </w:p>
        </w:tc>
        <w:tc>
          <w:tcPr>
            <w:tcW w:w="4729"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未进行生物多样性普查。</w:t>
            </w:r>
          </w:p>
          <w:p>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海丰县县域范围内生物丰度指数68.5</w:t>
            </w:r>
          </w:p>
          <w:p>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、植被覆盖指数87.3，生态环境状况为“优”《2019年度广东省汕尾市生态环境质量报告书》</w:t>
            </w:r>
          </w:p>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正在编制绿地系统规划</w:t>
            </w:r>
          </w:p>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③</w:t>
            </w:r>
            <w:r>
              <w:rPr>
                <w:rFonts w:ascii="Times New Roman" w:hAnsi="Times New Roman"/>
                <w:color w:val="auto"/>
                <w:kern w:val="0"/>
                <w:sz w:val="24"/>
                <w:highlight w:val="none"/>
              </w:rPr>
              <w:t>生物物种总量保持合理增长。</w:t>
            </w:r>
            <w:r>
              <w:rPr>
                <w:rFonts w:ascii="Times New Roman" w:hAnsi="Times New Roman"/>
                <w:color w:val="auto"/>
                <w:sz w:val="24"/>
                <w:highlight w:val="none"/>
              </w:rPr>
              <w:t>海丰县共有省级保护区2个，市级自然保护区2个，鸟类、蟒蛇、穿山甲、苏门羚、水獭、大壁虎、虎纹蛙、桫椤科种类等国家保护或重要资源物种及其栖息地得到有效保护。</w:t>
            </w:r>
          </w:p>
        </w:tc>
        <w:tc>
          <w:tcPr>
            <w:tcW w:w="754" w:type="dxa"/>
            <w:tcBorders>
              <w:top w:val="nil"/>
              <w:left w:val="nil"/>
              <w:bottom w:val="single" w:color="auto" w:sz="4" w:space="0"/>
              <w:right w:val="single" w:color="auto" w:sz="4" w:space="0"/>
            </w:tcBorders>
            <w:shd w:val="clear" w:color="auto" w:fill="auto"/>
            <w:noWrap/>
            <w:vAlign w:val="center"/>
          </w:tcPr>
          <w:p>
            <w:pPr>
              <w:spacing w:line="360" w:lineRule="auto"/>
              <w:rPr>
                <w:rFonts w:ascii="Times New Roman" w:hAnsi="Times New Roman"/>
                <w:color w:val="auto"/>
                <w:sz w:val="24"/>
                <w:highlight w:val="none"/>
              </w:rPr>
            </w:pPr>
            <w:r>
              <w:rPr>
                <w:rFonts w:ascii="Times New Roman" w:hAnsi="Times New Roman"/>
                <w:color w:val="auto"/>
                <w:sz w:val="24"/>
                <w:highlight w:val="none"/>
              </w:rPr>
              <w:t>缺失</w:t>
            </w:r>
          </w:p>
        </w:tc>
      </w:tr>
      <w:tr>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32</w:t>
            </w:r>
          </w:p>
        </w:tc>
        <w:tc>
          <w:tcPr>
            <w:tcW w:w="137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乡土、适生植物资源保护与应用</w:t>
            </w:r>
          </w:p>
        </w:tc>
        <w:tc>
          <w:tcPr>
            <w:tcW w:w="469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结合风景名胜区、植物专类园、综合公园、生产苗圃等建立乡土、适生植物种质资源库，并开展相应的引种驯化研究；</w:t>
            </w:r>
          </w:p>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积极推广应用乡土及适生植物，丰富地被植物品种；</w:t>
            </w:r>
          </w:p>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③</w:t>
            </w:r>
            <w:r>
              <w:rPr>
                <w:rFonts w:ascii="Times New Roman" w:hAnsi="Times New Roman"/>
                <w:color w:val="auto"/>
                <w:kern w:val="0"/>
                <w:sz w:val="24"/>
                <w:highlight w:val="none"/>
              </w:rPr>
              <w:t>本地木本植物指数≥0.70。</w:t>
            </w:r>
          </w:p>
        </w:tc>
        <w:tc>
          <w:tcPr>
            <w:tcW w:w="948"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　</w:t>
            </w:r>
          </w:p>
        </w:tc>
        <w:tc>
          <w:tcPr>
            <w:tcW w:w="4729"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sz w:val="24"/>
                <w:highlight w:val="none"/>
              </w:rPr>
              <w:t>海丰县未有建立乡土、适生植物种质资源库。</w:t>
            </w:r>
          </w:p>
          <w:p>
            <w:pPr>
              <w:widowControl/>
              <w:spacing w:line="360" w:lineRule="auto"/>
              <w:rPr>
                <w:rFonts w:ascii="Times New Roman" w:hAnsi="Times New Roman"/>
                <w:color w:val="auto"/>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sz w:val="24"/>
                <w:highlight w:val="none"/>
              </w:rPr>
              <w:t>乡土及适生植物种类和木本植物指数调查采用典型样地调查法，选取了 36个样点作为调查对象，以保证调查数据的全面性和严谨性。结果共记录园林景观植物 99种（含变种），隶属 47科54属，其中乔木59种，灌木40种；</w:t>
            </w:r>
          </w:p>
          <w:p>
            <w:pPr>
              <w:widowControl/>
              <w:spacing w:line="360" w:lineRule="auto"/>
              <w:rPr>
                <w:rFonts w:ascii="Times New Roman" w:hAnsi="Times New Roman"/>
                <w:color w:val="auto"/>
                <w:sz w:val="24"/>
                <w:highlight w:val="none"/>
              </w:rPr>
            </w:pPr>
            <w:r>
              <w:rPr>
                <w:rFonts w:hint="default" w:ascii="Times New Roman" w:hAnsi="Times New Roman" w:cs="Times New Roman"/>
                <w:color w:val="auto"/>
                <w:kern w:val="0"/>
                <w:sz w:val="24"/>
                <w:highlight w:val="none"/>
              </w:rPr>
              <w:t>③</w:t>
            </w:r>
            <w:r>
              <w:rPr>
                <w:rFonts w:ascii="Times New Roman" w:hAnsi="Times New Roman"/>
                <w:color w:val="auto"/>
                <w:sz w:val="24"/>
                <w:highlight w:val="none"/>
              </w:rPr>
              <w:t>木本植物总数</w:t>
            </w:r>
            <w:r>
              <w:rPr>
                <w:rFonts w:ascii="Times New Roman" w:hAnsi="Times New Roman"/>
                <w:color w:val="auto"/>
                <w:kern w:val="0"/>
                <w:sz w:val="24"/>
                <w:highlight w:val="none"/>
              </w:rPr>
              <w:t>量45879</w:t>
            </w:r>
            <w:r>
              <w:rPr>
                <w:rFonts w:ascii="Times New Roman" w:hAnsi="Times New Roman"/>
                <w:color w:val="auto"/>
                <w:sz w:val="24"/>
                <w:highlight w:val="none"/>
              </w:rPr>
              <w:t>株，本地木本植</w:t>
            </w:r>
            <w:r>
              <w:rPr>
                <w:rFonts w:ascii="Times New Roman" w:hAnsi="Times New Roman"/>
                <w:color w:val="auto"/>
                <w:kern w:val="0"/>
                <w:sz w:val="24"/>
                <w:highlight w:val="none"/>
              </w:rPr>
              <w:t>物37429</w:t>
            </w:r>
            <w:r>
              <w:rPr>
                <w:rFonts w:ascii="Times New Roman" w:hAnsi="Times New Roman"/>
                <w:color w:val="auto"/>
                <w:sz w:val="24"/>
                <w:highlight w:val="none"/>
              </w:rPr>
              <w:t>株，本地木本植物指数约为0.82，乡土树种丰富</w:t>
            </w:r>
          </w:p>
        </w:tc>
        <w:tc>
          <w:tcPr>
            <w:tcW w:w="754"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未达标</w:t>
            </w:r>
          </w:p>
        </w:tc>
      </w:tr>
      <w:tr>
        <w:tblPrEx>
          <w:tblCellMar>
            <w:top w:w="0" w:type="dxa"/>
            <w:left w:w="108" w:type="dxa"/>
            <w:bottom w:w="0" w:type="dxa"/>
            <w:right w:w="108" w:type="dxa"/>
          </w:tblCellMar>
        </w:tblPrEx>
        <w:trPr>
          <w:trHeight w:val="285" w:hRule="atLeast"/>
          <w:jc w:val="center"/>
        </w:trPr>
        <w:tc>
          <w:tcPr>
            <w:tcW w:w="922" w:type="dxa"/>
            <w:vMerge w:val="continue"/>
            <w:tcBorders>
              <w:top w:val="nil"/>
              <w:left w:val="single" w:color="auto" w:sz="4" w:space="0"/>
              <w:bottom w:val="single" w:color="auto" w:sz="4" w:space="0"/>
              <w:right w:val="single" w:color="auto" w:sz="4" w:space="0"/>
            </w:tcBorders>
            <w:vAlign w:val="center"/>
          </w:tcPr>
          <w:p>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33</w:t>
            </w:r>
          </w:p>
        </w:tc>
        <w:tc>
          <w:tcPr>
            <w:tcW w:w="137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湿地资源保护</w:t>
            </w:r>
          </w:p>
        </w:tc>
        <w:tc>
          <w:tcPr>
            <w:tcW w:w="469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已完成规划区内的湿地资源普查；</w:t>
            </w:r>
          </w:p>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以湿地资源普查为基础，制定湿地资源保护规划及其实施方案；</w:t>
            </w:r>
          </w:p>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③</w:t>
            </w:r>
            <w:r>
              <w:rPr>
                <w:rFonts w:ascii="Times New Roman" w:hAnsi="Times New Roman"/>
                <w:color w:val="auto"/>
                <w:kern w:val="0"/>
                <w:sz w:val="24"/>
                <w:highlight w:val="none"/>
              </w:rPr>
              <w:t>规划区内湿地资源保护管理责任明确，管理职能正常行使，资金保障到位。</w:t>
            </w:r>
          </w:p>
        </w:tc>
        <w:tc>
          <w:tcPr>
            <w:tcW w:w="948"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加分项；考核范围为规划区</w:t>
            </w:r>
          </w:p>
        </w:tc>
        <w:tc>
          <w:tcPr>
            <w:tcW w:w="4729" w:type="dxa"/>
            <w:tcBorders>
              <w:top w:val="nil"/>
              <w:left w:val="nil"/>
              <w:bottom w:val="single" w:color="auto" w:sz="4" w:space="0"/>
              <w:right w:val="single" w:color="auto" w:sz="4" w:space="0"/>
            </w:tcBorders>
            <w:shd w:val="clear" w:color="auto" w:fill="auto"/>
            <w:noWrap/>
            <w:vAlign w:val="center"/>
          </w:tcPr>
          <w:p>
            <w:pPr>
              <w:spacing w:line="360" w:lineRule="auto"/>
              <w:rPr>
                <w:rFonts w:ascii="Times New Roman" w:hAnsi="Times New Roman"/>
                <w:color w:val="auto"/>
                <w:sz w:val="24"/>
                <w:highlight w:val="none"/>
              </w:rPr>
            </w:pPr>
            <w:r>
              <w:rPr>
                <w:rFonts w:hint="default" w:ascii="Times New Roman" w:hAnsi="Times New Roman" w:cs="Times New Roman"/>
                <w:color w:val="auto"/>
                <w:sz w:val="24"/>
                <w:highlight w:val="none"/>
              </w:rPr>
              <w:t>①</w:t>
            </w:r>
            <w:r>
              <w:rPr>
                <w:rFonts w:ascii="Times New Roman" w:hAnsi="Times New Roman"/>
                <w:color w:val="auto"/>
                <w:sz w:val="24"/>
                <w:highlight w:val="none"/>
              </w:rPr>
              <w:t>海丰县国土面积127754.66公顷，湿地面积16634.54 公顷，其中国际重要湿地8586.32公顷，一般湿地8048.22公顷；</w:t>
            </w:r>
          </w:p>
          <w:p>
            <w:pPr>
              <w:spacing w:line="360" w:lineRule="auto"/>
              <w:rPr>
                <w:rFonts w:ascii="Times New Roman" w:hAnsi="Times New Roman"/>
                <w:color w:val="auto"/>
                <w:sz w:val="24"/>
                <w:highlight w:val="none"/>
              </w:rPr>
            </w:pPr>
            <w:r>
              <w:rPr>
                <w:rFonts w:ascii="Times New Roman" w:hAnsi="Times New Roman"/>
                <w:color w:val="auto"/>
                <w:sz w:val="24"/>
                <w:highlight w:val="none"/>
              </w:rPr>
              <w:t>未收集到湿地资源普查报告；</w:t>
            </w:r>
          </w:p>
          <w:p>
            <w:pPr>
              <w:spacing w:line="360" w:lineRule="auto"/>
              <w:rPr>
                <w:rFonts w:ascii="Times New Roman" w:hAnsi="Times New Roman"/>
                <w:color w:val="auto"/>
                <w:sz w:val="24"/>
                <w:highlight w:val="none"/>
              </w:rPr>
            </w:pPr>
            <w:r>
              <w:rPr>
                <w:rFonts w:hint="default" w:ascii="Times New Roman" w:hAnsi="Times New Roman" w:cs="Times New Roman"/>
                <w:color w:val="auto"/>
                <w:sz w:val="24"/>
                <w:highlight w:val="none"/>
              </w:rPr>
              <w:t>②</w:t>
            </w:r>
            <w:r>
              <w:rPr>
                <w:rFonts w:ascii="Times New Roman" w:hAnsi="Times New Roman"/>
                <w:color w:val="auto"/>
                <w:sz w:val="24"/>
                <w:highlight w:val="none"/>
              </w:rPr>
              <w:t>未收集湿地资源保护规划及其实施方案；</w:t>
            </w:r>
          </w:p>
          <w:p>
            <w:pPr>
              <w:spacing w:line="360" w:lineRule="auto"/>
              <w:rPr>
                <w:rFonts w:ascii="Times New Roman" w:hAnsi="Times New Roman"/>
                <w:color w:val="auto"/>
                <w:sz w:val="24"/>
                <w:highlight w:val="none"/>
              </w:rPr>
            </w:pPr>
            <w:r>
              <w:rPr>
                <w:rFonts w:hint="default" w:ascii="Times New Roman" w:hAnsi="Times New Roman" w:cs="Times New Roman"/>
                <w:color w:val="auto"/>
                <w:kern w:val="0"/>
                <w:sz w:val="24"/>
                <w:highlight w:val="none"/>
              </w:rPr>
              <w:t>③</w:t>
            </w:r>
            <w:r>
              <w:rPr>
                <w:rFonts w:ascii="Times New Roman" w:hAnsi="Times New Roman"/>
                <w:color w:val="auto"/>
                <w:kern w:val="0"/>
                <w:sz w:val="24"/>
                <w:highlight w:val="none"/>
              </w:rPr>
              <w:t>规划区内湿地资源保护管理责任由林业局负责。</w:t>
            </w:r>
          </w:p>
        </w:tc>
        <w:tc>
          <w:tcPr>
            <w:tcW w:w="754"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未达标</w:t>
            </w:r>
          </w:p>
        </w:tc>
      </w:tr>
      <w:tr>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34</w:t>
            </w:r>
          </w:p>
        </w:tc>
        <w:tc>
          <w:tcPr>
            <w:tcW w:w="137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全年空气质量优良天数（天）</w:t>
            </w:r>
          </w:p>
        </w:tc>
        <w:tc>
          <w:tcPr>
            <w:tcW w:w="469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≥292天</w:t>
            </w:r>
          </w:p>
        </w:tc>
        <w:tc>
          <w:tcPr>
            <w:tcW w:w="948"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　</w:t>
            </w:r>
          </w:p>
        </w:tc>
        <w:tc>
          <w:tcPr>
            <w:tcW w:w="4729"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345天</w:t>
            </w:r>
          </w:p>
        </w:tc>
        <w:tc>
          <w:tcPr>
            <w:tcW w:w="754"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达标</w:t>
            </w:r>
          </w:p>
        </w:tc>
      </w:tr>
      <w:tr>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35</w:t>
            </w:r>
          </w:p>
        </w:tc>
        <w:tc>
          <w:tcPr>
            <w:tcW w:w="137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地表水IV类及以上水体比率（%）</w:t>
            </w:r>
          </w:p>
        </w:tc>
        <w:tc>
          <w:tcPr>
            <w:tcW w:w="469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≥60%</w:t>
            </w:r>
          </w:p>
        </w:tc>
        <w:tc>
          <w:tcPr>
            <w:tcW w:w="948"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　</w:t>
            </w:r>
          </w:p>
        </w:tc>
        <w:tc>
          <w:tcPr>
            <w:tcW w:w="4729"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sz w:val="24"/>
                <w:highlight w:val="none"/>
              </w:rPr>
              <w:t>监测断面71个，IV 类水及以上断面≥53个，IV类及以上水体比率≥74.6%</w:t>
            </w:r>
          </w:p>
        </w:tc>
        <w:tc>
          <w:tcPr>
            <w:tcW w:w="754"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达标</w:t>
            </w:r>
          </w:p>
        </w:tc>
      </w:tr>
      <w:tr>
        <w:tblPrEx>
          <w:tblCellMar>
            <w:top w:w="0" w:type="dxa"/>
            <w:left w:w="108" w:type="dxa"/>
            <w:bottom w:w="0" w:type="dxa"/>
            <w:right w:w="108" w:type="dxa"/>
          </w:tblCellMar>
        </w:tblPrEx>
        <w:trPr>
          <w:trHeight w:val="270" w:hRule="atLeast"/>
          <w:jc w:val="center"/>
        </w:trPr>
        <w:tc>
          <w:tcPr>
            <w:tcW w:w="922" w:type="dxa"/>
            <w:vMerge w:val="restart"/>
            <w:tcBorders>
              <w:top w:val="nil"/>
              <w:left w:val="single" w:color="auto" w:sz="4" w:space="0"/>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五、市政设施（8）</w:t>
            </w:r>
          </w:p>
        </w:tc>
        <w:tc>
          <w:tcPr>
            <w:tcW w:w="749"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36</w:t>
            </w:r>
          </w:p>
        </w:tc>
        <w:tc>
          <w:tcPr>
            <w:tcW w:w="137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县容县貌</w:t>
            </w:r>
          </w:p>
        </w:tc>
        <w:tc>
          <w:tcPr>
            <w:tcW w:w="469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建成区环境整洁有序，建（构）筑物、公共设施和广告设置等与周边环境相协调，无违章私搭乱建现象。居住小区和街道环卫保洁制度落实，无乱丢弃、乱张贴、乱排放等行为；</w:t>
            </w:r>
          </w:p>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商业店铺：灯箱、广告、招牌、霓虹灯、门楼装璜、店面装饰等设置符合建设管理要求，无违规设摊、占道经营现象；</w:t>
            </w:r>
          </w:p>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③</w:t>
            </w:r>
            <w:r>
              <w:rPr>
                <w:rFonts w:ascii="Times New Roman" w:hAnsi="Times New Roman"/>
                <w:color w:val="auto"/>
                <w:kern w:val="0"/>
                <w:sz w:val="24"/>
                <w:highlight w:val="none"/>
              </w:rPr>
              <w:t>交通与停车管理：建成区交通安全管理有序，车辆停靠管理规范；</w:t>
            </w:r>
          </w:p>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④</w:t>
            </w:r>
            <w:r>
              <w:rPr>
                <w:rFonts w:ascii="Times New Roman" w:hAnsi="Times New Roman"/>
                <w:color w:val="auto"/>
                <w:kern w:val="0"/>
                <w:sz w:val="24"/>
                <w:highlight w:val="none"/>
              </w:rPr>
              <w:t>公厕数量达标，且为II类以上；设置合理，管理到位。设置密度应≥3座/km</w:t>
            </w:r>
            <w:r>
              <w:rPr>
                <w:rFonts w:ascii="Times New Roman" w:hAnsi="Times New Roman"/>
                <w:color w:val="auto"/>
                <w:kern w:val="0"/>
                <w:sz w:val="24"/>
                <w:highlight w:val="none"/>
                <w:vertAlign w:val="superscript"/>
              </w:rPr>
              <w:t>2</w:t>
            </w:r>
            <w:r>
              <w:rPr>
                <w:rFonts w:ascii="Times New Roman" w:hAnsi="Times New Roman"/>
                <w:color w:val="auto"/>
                <w:kern w:val="0"/>
                <w:sz w:val="24"/>
                <w:highlight w:val="none"/>
              </w:rPr>
              <w:t>，设置间距应满足《环境卫生设施设置标准》相关要求。</w:t>
            </w:r>
          </w:p>
        </w:tc>
        <w:tc>
          <w:tcPr>
            <w:tcW w:w="948"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　</w:t>
            </w:r>
          </w:p>
        </w:tc>
        <w:tc>
          <w:tcPr>
            <w:tcW w:w="4729"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县容县貌整体良好，市政街道比较干净，河道水体干净， 公园道路干净、平坦。</w:t>
            </w:r>
          </w:p>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商业店铺规范整齐，无违规设摊、占道经营现象。</w:t>
            </w:r>
          </w:p>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三类以上公厕62座。</w:t>
            </w:r>
          </w:p>
        </w:tc>
        <w:tc>
          <w:tcPr>
            <w:tcW w:w="754"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达标</w:t>
            </w:r>
          </w:p>
        </w:tc>
      </w:tr>
      <w:tr>
        <w:tblPrEx>
          <w:tblCellMar>
            <w:top w:w="0" w:type="dxa"/>
            <w:left w:w="108" w:type="dxa"/>
            <w:bottom w:w="0" w:type="dxa"/>
            <w:right w:w="108" w:type="dxa"/>
          </w:tblCellMar>
        </w:tblPrEx>
        <w:trPr>
          <w:trHeight w:val="285" w:hRule="atLeast"/>
          <w:jc w:val="center"/>
        </w:trPr>
        <w:tc>
          <w:tcPr>
            <w:tcW w:w="922" w:type="dxa"/>
            <w:vMerge w:val="continue"/>
            <w:tcBorders>
              <w:top w:val="nil"/>
              <w:left w:val="single" w:color="auto" w:sz="4" w:space="0"/>
              <w:bottom w:val="single" w:color="auto" w:sz="4" w:space="0"/>
              <w:right w:val="single" w:color="auto" w:sz="4" w:space="0"/>
            </w:tcBorders>
            <w:vAlign w:val="center"/>
          </w:tcPr>
          <w:p>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37</w:t>
            </w:r>
          </w:p>
        </w:tc>
        <w:tc>
          <w:tcPr>
            <w:tcW w:w="137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管网水检测项目合格率（%）</w:t>
            </w:r>
          </w:p>
        </w:tc>
        <w:tc>
          <w:tcPr>
            <w:tcW w:w="469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≥95%</w:t>
            </w:r>
          </w:p>
        </w:tc>
        <w:tc>
          <w:tcPr>
            <w:tcW w:w="948"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　</w:t>
            </w:r>
          </w:p>
        </w:tc>
        <w:tc>
          <w:tcPr>
            <w:tcW w:w="4729"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100%</w:t>
            </w:r>
          </w:p>
        </w:tc>
        <w:tc>
          <w:tcPr>
            <w:tcW w:w="754"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达标</w:t>
            </w:r>
          </w:p>
        </w:tc>
      </w:tr>
      <w:tr>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38</w:t>
            </w:r>
          </w:p>
        </w:tc>
        <w:tc>
          <w:tcPr>
            <w:tcW w:w="137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污水处理率</w:t>
            </w:r>
          </w:p>
        </w:tc>
        <w:tc>
          <w:tcPr>
            <w:tcW w:w="469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污水处理率≥85%</w:t>
            </w:r>
          </w:p>
        </w:tc>
        <w:tc>
          <w:tcPr>
            <w:tcW w:w="948"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否决项</w:t>
            </w:r>
          </w:p>
        </w:tc>
        <w:tc>
          <w:tcPr>
            <w:tcW w:w="4729"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2019年海丰县生活污水处理量为2286万吨，供水总量3127，按照0.8的排污系数计算，污水排放量2501.6万吨，污水处理率91.38%。</w:t>
            </w:r>
          </w:p>
        </w:tc>
        <w:tc>
          <w:tcPr>
            <w:tcW w:w="754"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达标</w:t>
            </w:r>
          </w:p>
        </w:tc>
      </w:tr>
      <w:tr>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39</w:t>
            </w:r>
          </w:p>
        </w:tc>
        <w:tc>
          <w:tcPr>
            <w:tcW w:w="137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生活垃圾无害化处理率（%）</w:t>
            </w:r>
          </w:p>
        </w:tc>
        <w:tc>
          <w:tcPr>
            <w:tcW w:w="469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≥90%</w:t>
            </w:r>
          </w:p>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鼓励实施垃圾减量、分类回收，积极开展有关宣传教育；</w:t>
            </w:r>
          </w:p>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③</w:t>
            </w:r>
            <w:r>
              <w:rPr>
                <w:rFonts w:ascii="Times New Roman" w:hAnsi="Times New Roman"/>
                <w:color w:val="auto"/>
                <w:kern w:val="0"/>
                <w:sz w:val="24"/>
                <w:highlight w:val="none"/>
              </w:rPr>
              <w:t>垃圾填埋场达到二级标准，垃圾焚烧厂达到2A标准。</w:t>
            </w:r>
          </w:p>
        </w:tc>
        <w:tc>
          <w:tcPr>
            <w:tcW w:w="948"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否决项</w:t>
            </w:r>
          </w:p>
        </w:tc>
        <w:tc>
          <w:tcPr>
            <w:tcW w:w="4729"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海丰县县环卫站2019年生活垃圾清运量（进场量）为40121.90吨，全部进行无害化处理（填埋）。其中运往三峰处理58261.84吨，运往陆丰处理111366.35吨，处理率为100%。</w:t>
            </w:r>
          </w:p>
        </w:tc>
        <w:tc>
          <w:tcPr>
            <w:tcW w:w="754"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达标</w:t>
            </w:r>
          </w:p>
        </w:tc>
      </w:tr>
      <w:tr>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40</w:t>
            </w:r>
          </w:p>
        </w:tc>
        <w:tc>
          <w:tcPr>
            <w:tcW w:w="137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公共供水用水普及率（%）</w:t>
            </w:r>
          </w:p>
        </w:tc>
        <w:tc>
          <w:tcPr>
            <w:tcW w:w="469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≥90%</w:t>
            </w:r>
          </w:p>
        </w:tc>
        <w:tc>
          <w:tcPr>
            <w:tcW w:w="948"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　</w:t>
            </w:r>
          </w:p>
        </w:tc>
        <w:tc>
          <w:tcPr>
            <w:tcW w:w="4729"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100%</w:t>
            </w:r>
          </w:p>
        </w:tc>
        <w:tc>
          <w:tcPr>
            <w:tcW w:w="754"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达标</w:t>
            </w:r>
          </w:p>
        </w:tc>
      </w:tr>
      <w:tr>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41</w:t>
            </w:r>
          </w:p>
        </w:tc>
        <w:tc>
          <w:tcPr>
            <w:tcW w:w="137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道路完好率（%）</w:t>
            </w:r>
          </w:p>
        </w:tc>
        <w:tc>
          <w:tcPr>
            <w:tcW w:w="469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≥95%</w:t>
            </w:r>
          </w:p>
        </w:tc>
        <w:tc>
          <w:tcPr>
            <w:tcW w:w="948"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　</w:t>
            </w:r>
          </w:p>
        </w:tc>
        <w:tc>
          <w:tcPr>
            <w:tcW w:w="4729"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100%</w:t>
            </w:r>
          </w:p>
        </w:tc>
        <w:tc>
          <w:tcPr>
            <w:tcW w:w="754"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达标</w:t>
            </w:r>
          </w:p>
        </w:tc>
      </w:tr>
      <w:tr>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42</w:t>
            </w:r>
          </w:p>
        </w:tc>
        <w:tc>
          <w:tcPr>
            <w:tcW w:w="137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市政基础设施安全运行</w:t>
            </w:r>
          </w:p>
        </w:tc>
        <w:tc>
          <w:tcPr>
            <w:tcW w:w="469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bookmarkStart w:id="280" w:name="OLE_LINK2"/>
            <w:r>
              <w:rPr>
                <w:rFonts w:ascii="Times New Roman" w:hAnsi="Times New Roman"/>
                <w:color w:val="auto"/>
                <w:kern w:val="0"/>
                <w:sz w:val="24"/>
                <w:highlight w:val="none"/>
              </w:rPr>
              <w:t>县城供水、供气、供热、市容环卫、园林绿化、地下管网、道路桥梁等市政基础设施档案健全；</w:t>
            </w:r>
          </w:p>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运行管理制度完善，监管到位，县城安全运行得到保障。</w:t>
            </w:r>
            <w:bookmarkEnd w:id="280"/>
          </w:p>
        </w:tc>
        <w:tc>
          <w:tcPr>
            <w:tcW w:w="948"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　</w:t>
            </w:r>
          </w:p>
        </w:tc>
        <w:tc>
          <w:tcPr>
            <w:tcW w:w="4729"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已收集供气运行管理材料，包括安全生产责任制度和岗位职责、安全操作规程、安全管理制度、应急救援预案、演练记录。</w:t>
            </w:r>
          </w:p>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县城供水、供气、供热、市容环卫、园林绿化、地下管网、道路桥梁等市政基础设施档案基本健全；运行管理制度相对完善，监管到位</w:t>
            </w:r>
          </w:p>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需补充档案及相关管理制度</w:t>
            </w:r>
          </w:p>
        </w:tc>
        <w:tc>
          <w:tcPr>
            <w:tcW w:w="754"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达标</w:t>
            </w:r>
          </w:p>
        </w:tc>
      </w:tr>
      <w:tr>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43</w:t>
            </w:r>
          </w:p>
        </w:tc>
        <w:tc>
          <w:tcPr>
            <w:tcW w:w="137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无障碍设施建设</w:t>
            </w:r>
          </w:p>
        </w:tc>
        <w:tc>
          <w:tcPr>
            <w:tcW w:w="469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建成区内主要道路、公园、公共建筑等公共场所设有无障碍设施，且使用及维护管理情况良好。</w:t>
            </w:r>
          </w:p>
        </w:tc>
        <w:tc>
          <w:tcPr>
            <w:tcW w:w="948"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　</w:t>
            </w:r>
          </w:p>
        </w:tc>
        <w:tc>
          <w:tcPr>
            <w:tcW w:w="4729"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无障碍设施、烟头桶、公厕、座椅、运动便民设施等设施比较齐备。</w:t>
            </w:r>
          </w:p>
        </w:tc>
        <w:tc>
          <w:tcPr>
            <w:tcW w:w="754"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达标</w:t>
            </w:r>
          </w:p>
        </w:tc>
      </w:tr>
      <w:tr>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44</w:t>
            </w:r>
          </w:p>
        </w:tc>
        <w:tc>
          <w:tcPr>
            <w:tcW w:w="137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绿色建筑和装配式建筑</w:t>
            </w:r>
          </w:p>
        </w:tc>
        <w:tc>
          <w:tcPr>
            <w:tcW w:w="469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近两年（含申报年）新建建筑中绿色建筑所占比例≥30%；</w:t>
            </w:r>
          </w:p>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节能建筑比例：夏热冬暖地区≥30%；</w:t>
            </w:r>
          </w:p>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③</w:t>
            </w:r>
            <w:r>
              <w:rPr>
                <w:rFonts w:ascii="Times New Roman" w:hAnsi="Times New Roman"/>
                <w:color w:val="auto"/>
                <w:kern w:val="0"/>
                <w:sz w:val="24"/>
                <w:highlight w:val="none"/>
              </w:rPr>
              <w:t>制定推广绿色建材和装配式建筑政策措施。</w:t>
            </w:r>
          </w:p>
        </w:tc>
        <w:tc>
          <w:tcPr>
            <w:tcW w:w="948"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　</w:t>
            </w:r>
          </w:p>
        </w:tc>
        <w:tc>
          <w:tcPr>
            <w:tcW w:w="4729"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hint="eastAsia" w:ascii="Times New Roman" w:hAnsi="Times New Roman"/>
                <w:color w:val="auto"/>
                <w:sz w:val="24"/>
                <w:highlight w:val="none"/>
              </w:rPr>
              <w:t>海丰县截止</w:t>
            </w:r>
            <w:r>
              <w:rPr>
                <w:rFonts w:ascii="Times New Roman" w:hAnsi="Times New Roman"/>
                <w:color w:val="auto"/>
                <w:sz w:val="24"/>
                <w:highlight w:val="none"/>
              </w:rPr>
              <w:t>2019</w:t>
            </w:r>
            <w:r>
              <w:rPr>
                <w:rFonts w:hint="eastAsia" w:ascii="Times New Roman" w:hAnsi="Times New Roman"/>
                <w:color w:val="auto"/>
                <w:sz w:val="24"/>
                <w:highlight w:val="none"/>
              </w:rPr>
              <w:t>年底，城镇绿色建筑占新建建筑面积</w:t>
            </w:r>
            <w:r>
              <w:rPr>
                <w:rFonts w:ascii="Times New Roman" w:hAnsi="Times New Roman"/>
                <w:color w:val="auto"/>
                <w:sz w:val="24"/>
                <w:highlight w:val="none"/>
              </w:rPr>
              <w:t>43%</w:t>
            </w:r>
            <w:r>
              <w:rPr>
                <w:rFonts w:hint="eastAsia" w:ascii="Times New Roman" w:hAnsi="Times New Roman"/>
                <w:color w:val="auto"/>
                <w:sz w:val="24"/>
                <w:highlight w:val="none"/>
              </w:rPr>
              <w:t>，城镇新增节能建筑面积</w:t>
            </w:r>
            <w:r>
              <w:rPr>
                <w:rFonts w:ascii="Times New Roman" w:hAnsi="Times New Roman"/>
                <w:color w:val="auto"/>
                <w:sz w:val="24"/>
                <w:highlight w:val="none"/>
              </w:rPr>
              <w:t>220.11</w:t>
            </w:r>
            <w:r>
              <w:rPr>
                <w:rFonts w:hint="eastAsia" w:ascii="Times New Roman" w:hAnsi="Times New Roman"/>
                <w:color w:val="auto"/>
                <w:sz w:val="24"/>
                <w:highlight w:val="none"/>
              </w:rPr>
              <w:t>万平方米，设计阶段和竣工阶段执行建筑节能标准比例均达到</w:t>
            </w:r>
            <w:r>
              <w:rPr>
                <w:rFonts w:ascii="Times New Roman" w:hAnsi="Times New Roman"/>
                <w:color w:val="auto"/>
                <w:sz w:val="24"/>
                <w:highlight w:val="none"/>
              </w:rPr>
              <w:t>100%</w:t>
            </w:r>
            <w:r>
              <w:rPr>
                <w:rFonts w:hint="eastAsia" w:ascii="Times New Roman" w:hAnsi="Times New Roman"/>
                <w:color w:val="auto"/>
                <w:sz w:val="24"/>
                <w:highlight w:val="none"/>
              </w:rPr>
              <w:t>。</w:t>
            </w:r>
          </w:p>
        </w:tc>
        <w:tc>
          <w:tcPr>
            <w:tcW w:w="754"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hint="eastAsia" w:ascii="Times New Roman" w:hAnsi="Times New Roman"/>
                <w:color w:val="auto"/>
                <w:kern w:val="0"/>
                <w:sz w:val="24"/>
                <w:highlight w:val="none"/>
              </w:rPr>
              <w:t>达标</w:t>
            </w:r>
          </w:p>
        </w:tc>
      </w:tr>
      <w:tr>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pPr>
              <w:widowControl/>
              <w:spacing w:line="360" w:lineRule="auto"/>
              <w:rPr>
                <w:rFonts w:ascii="Times New Roman" w:hAnsi="Times New Roman"/>
                <w:color w:val="auto"/>
                <w:kern w:val="0"/>
                <w:sz w:val="24"/>
                <w:highlight w:val="none"/>
              </w:rPr>
            </w:pPr>
          </w:p>
        </w:tc>
        <w:tc>
          <w:tcPr>
            <w:tcW w:w="749" w:type="dxa"/>
            <w:tcBorders>
              <w:top w:val="nil"/>
              <w:left w:val="nil"/>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45</w:t>
            </w:r>
          </w:p>
        </w:tc>
        <w:tc>
          <w:tcPr>
            <w:tcW w:w="137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林荫路推广率（%）</w:t>
            </w:r>
          </w:p>
        </w:tc>
        <w:tc>
          <w:tcPr>
            <w:tcW w:w="4696"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≥70%</w:t>
            </w:r>
          </w:p>
        </w:tc>
        <w:tc>
          <w:tcPr>
            <w:tcW w:w="948"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考核范围为建成区</w:t>
            </w:r>
          </w:p>
        </w:tc>
        <w:tc>
          <w:tcPr>
            <w:tcW w:w="4729"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sz w:val="24"/>
                <w:highlight w:val="none"/>
              </w:rPr>
            </w:pPr>
            <w:r>
              <w:rPr>
                <w:rFonts w:ascii="Times New Roman" w:hAnsi="Times New Roman"/>
                <w:color w:val="auto"/>
                <w:sz w:val="24"/>
                <w:highlight w:val="none"/>
              </w:rPr>
              <w:t>25.0%。建成区步行道、自行车道总长度总长度66451米，其中达到林荫道路标准的道路共26条，长度 16616米。</w:t>
            </w:r>
          </w:p>
        </w:tc>
        <w:tc>
          <w:tcPr>
            <w:tcW w:w="754" w:type="dxa"/>
            <w:tcBorders>
              <w:top w:val="nil"/>
              <w:left w:val="nil"/>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未达标</w:t>
            </w:r>
          </w:p>
        </w:tc>
      </w:tr>
      <w:tr>
        <w:tblPrEx>
          <w:tblCellMar>
            <w:top w:w="0" w:type="dxa"/>
            <w:left w:w="108" w:type="dxa"/>
            <w:bottom w:w="0" w:type="dxa"/>
            <w:right w:w="108" w:type="dxa"/>
          </w:tblCellMar>
        </w:tblPrEx>
        <w:trPr>
          <w:trHeight w:val="270" w:hRule="atLeast"/>
          <w:jc w:val="center"/>
        </w:trPr>
        <w:tc>
          <w:tcPr>
            <w:tcW w:w="922" w:type="dxa"/>
            <w:vMerge w:val="restart"/>
            <w:tcBorders>
              <w:top w:val="nil"/>
              <w:left w:val="single" w:color="auto" w:sz="4" w:space="0"/>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综合否决项</w:t>
            </w:r>
          </w:p>
        </w:tc>
        <w:tc>
          <w:tcPr>
            <w:tcW w:w="749" w:type="dxa"/>
            <w:vMerge w:val="restart"/>
            <w:tcBorders>
              <w:top w:val="nil"/>
              <w:left w:val="single" w:color="auto" w:sz="4" w:space="0"/>
              <w:bottom w:val="single" w:color="auto" w:sz="4" w:space="0"/>
              <w:right w:val="single" w:color="auto" w:sz="4" w:space="0"/>
            </w:tcBorders>
            <w:shd w:val="clear" w:color="auto" w:fill="auto"/>
            <w:noWrap/>
            <w:vAlign w:val="center"/>
          </w:tcPr>
          <w:p>
            <w:pPr>
              <w:widowControl/>
              <w:spacing w:line="360" w:lineRule="auto"/>
              <w:jc w:val="center"/>
              <w:rPr>
                <w:rFonts w:ascii="Times New Roman" w:hAnsi="Times New Roman"/>
                <w:color w:val="auto"/>
                <w:kern w:val="0"/>
                <w:sz w:val="24"/>
                <w:highlight w:val="none"/>
              </w:rPr>
            </w:pPr>
            <w:r>
              <w:rPr>
                <w:rFonts w:ascii="Times New Roman" w:hAnsi="Times New Roman"/>
                <w:color w:val="auto"/>
                <w:kern w:val="0"/>
                <w:sz w:val="24"/>
                <w:highlight w:val="none"/>
              </w:rPr>
              <w:t>46</w:t>
            </w:r>
          </w:p>
        </w:tc>
        <w:tc>
          <w:tcPr>
            <w:tcW w:w="7020" w:type="dxa"/>
            <w:gridSpan w:val="3"/>
            <w:tcBorders>
              <w:top w:val="single" w:color="auto" w:sz="4" w:space="0"/>
              <w:left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(一)否决项指标一项不达标。</w:t>
            </w:r>
          </w:p>
        </w:tc>
        <w:tc>
          <w:tcPr>
            <w:tcW w:w="4729" w:type="dxa"/>
            <w:vMerge w:val="restart"/>
            <w:tcBorders>
              <w:top w:val="single" w:color="auto" w:sz="4" w:space="0"/>
              <w:left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p>
          <w:p>
            <w:pPr>
              <w:widowControl/>
              <w:spacing w:line="360" w:lineRule="auto"/>
              <w:rPr>
                <w:rFonts w:ascii="Times New Roman" w:hAnsi="Times New Roman"/>
                <w:color w:val="auto"/>
                <w:kern w:val="0"/>
                <w:sz w:val="24"/>
                <w:highlight w:val="none"/>
              </w:rPr>
            </w:pPr>
          </w:p>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请各部门联合确认无一票否决情况发生</w:t>
            </w:r>
          </w:p>
        </w:tc>
        <w:tc>
          <w:tcPr>
            <w:tcW w:w="754" w:type="dxa"/>
            <w:vMerge w:val="restart"/>
            <w:tcBorders>
              <w:top w:val="single" w:color="auto" w:sz="4" w:space="0"/>
              <w:left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达标</w:t>
            </w:r>
          </w:p>
        </w:tc>
      </w:tr>
      <w:tr>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pPr>
              <w:widowControl/>
              <w:spacing w:line="360" w:lineRule="auto"/>
              <w:rPr>
                <w:rFonts w:ascii="Times New Roman" w:hAnsi="Times New Roman"/>
                <w:color w:val="auto"/>
                <w:kern w:val="0"/>
                <w:sz w:val="24"/>
                <w:highlight w:val="none"/>
              </w:rPr>
            </w:pPr>
          </w:p>
        </w:tc>
        <w:tc>
          <w:tcPr>
            <w:tcW w:w="749" w:type="dxa"/>
            <w:vMerge w:val="continue"/>
            <w:tcBorders>
              <w:top w:val="nil"/>
              <w:left w:val="single" w:color="auto" w:sz="4" w:space="0"/>
              <w:bottom w:val="single" w:color="auto" w:sz="4" w:space="0"/>
              <w:right w:val="single" w:color="auto" w:sz="4" w:space="0"/>
            </w:tcBorders>
            <w:vAlign w:val="center"/>
          </w:tcPr>
          <w:p>
            <w:pPr>
              <w:widowControl/>
              <w:spacing w:line="360" w:lineRule="auto"/>
              <w:jc w:val="center"/>
              <w:rPr>
                <w:rFonts w:ascii="Times New Roman" w:hAnsi="Times New Roman"/>
                <w:color w:val="auto"/>
                <w:kern w:val="0"/>
                <w:sz w:val="24"/>
                <w:highlight w:val="none"/>
              </w:rPr>
            </w:pPr>
          </w:p>
        </w:tc>
        <w:tc>
          <w:tcPr>
            <w:tcW w:w="7020" w:type="dxa"/>
            <w:gridSpan w:val="3"/>
            <w:tcBorders>
              <w:left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ascii="Times New Roman" w:hAnsi="Times New Roman"/>
                <w:color w:val="auto"/>
                <w:kern w:val="0"/>
                <w:sz w:val="24"/>
                <w:highlight w:val="none"/>
              </w:rPr>
              <w:t>(二)对近2年内发生以下情况的县城，均实行一票否决:</w:t>
            </w:r>
          </w:p>
        </w:tc>
        <w:tc>
          <w:tcPr>
            <w:tcW w:w="4729" w:type="dxa"/>
            <w:vMerge w:val="continue"/>
            <w:tcBorders>
              <w:left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p>
        </w:tc>
        <w:tc>
          <w:tcPr>
            <w:tcW w:w="754" w:type="dxa"/>
            <w:vMerge w:val="continue"/>
            <w:tcBorders>
              <w:left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p>
        </w:tc>
      </w:tr>
      <w:tr>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pPr>
              <w:widowControl/>
              <w:spacing w:line="360" w:lineRule="auto"/>
              <w:rPr>
                <w:rFonts w:ascii="Times New Roman" w:hAnsi="Times New Roman"/>
                <w:color w:val="auto"/>
                <w:kern w:val="0"/>
                <w:sz w:val="24"/>
                <w:highlight w:val="none"/>
              </w:rPr>
            </w:pPr>
          </w:p>
        </w:tc>
        <w:tc>
          <w:tcPr>
            <w:tcW w:w="749" w:type="dxa"/>
            <w:vMerge w:val="continue"/>
            <w:tcBorders>
              <w:top w:val="nil"/>
              <w:left w:val="single" w:color="auto" w:sz="4" w:space="0"/>
              <w:bottom w:val="single" w:color="auto" w:sz="4" w:space="0"/>
              <w:right w:val="single" w:color="auto" w:sz="4" w:space="0"/>
            </w:tcBorders>
            <w:vAlign w:val="center"/>
          </w:tcPr>
          <w:p>
            <w:pPr>
              <w:widowControl/>
              <w:spacing w:line="360" w:lineRule="auto"/>
              <w:jc w:val="center"/>
              <w:rPr>
                <w:rFonts w:ascii="Times New Roman" w:hAnsi="Times New Roman"/>
                <w:color w:val="auto"/>
                <w:kern w:val="0"/>
                <w:sz w:val="24"/>
                <w:highlight w:val="none"/>
              </w:rPr>
            </w:pPr>
          </w:p>
        </w:tc>
        <w:tc>
          <w:tcPr>
            <w:tcW w:w="7020" w:type="dxa"/>
            <w:gridSpan w:val="3"/>
            <w:tcBorders>
              <w:left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①</w:t>
            </w:r>
            <w:r>
              <w:rPr>
                <w:rFonts w:ascii="Times New Roman" w:hAnsi="Times New Roman"/>
                <w:color w:val="auto"/>
                <w:kern w:val="0"/>
                <w:sz w:val="24"/>
                <w:highlight w:val="none"/>
              </w:rPr>
              <w:t>园林绿化及生态环境保护、市政设施安全运行等方面的重大事故；</w:t>
            </w:r>
          </w:p>
        </w:tc>
        <w:tc>
          <w:tcPr>
            <w:tcW w:w="4729" w:type="dxa"/>
            <w:vMerge w:val="continue"/>
            <w:tcBorders>
              <w:left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p>
        </w:tc>
        <w:tc>
          <w:tcPr>
            <w:tcW w:w="754" w:type="dxa"/>
            <w:vMerge w:val="continue"/>
            <w:tcBorders>
              <w:left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p>
        </w:tc>
      </w:tr>
      <w:tr>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pPr>
              <w:widowControl/>
              <w:spacing w:line="360" w:lineRule="auto"/>
              <w:rPr>
                <w:rFonts w:ascii="Times New Roman" w:hAnsi="Times New Roman"/>
                <w:color w:val="auto"/>
                <w:kern w:val="0"/>
                <w:sz w:val="24"/>
                <w:highlight w:val="none"/>
              </w:rPr>
            </w:pPr>
          </w:p>
        </w:tc>
        <w:tc>
          <w:tcPr>
            <w:tcW w:w="749" w:type="dxa"/>
            <w:vMerge w:val="continue"/>
            <w:tcBorders>
              <w:top w:val="nil"/>
              <w:left w:val="single" w:color="auto" w:sz="4" w:space="0"/>
              <w:bottom w:val="single" w:color="auto" w:sz="4" w:space="0"/>
              <w:right w:val="single" w:color="auto" w:sz="4" w:space="0"/>
            </w:tcBorders>
            <w:vAlign w:val="center"/>
          </w:tcPr>
          <w:p>
            <w:pPr>
              <w:widowControl/>
              <w:spacing w:line="360" w:lineRule="auto"/>
              <w:jc w:val="center"/>
              <w:rPr>
                <w:rFonts w:ascii="Times New Roman" w:hAnsi="Times New Roman"/>
                <w:color w:val="auto"/>
                <w:kern w:val="0"/>
                <w:sz w:val="24"/>
                <w:highlight w:val="none"/>
              </w:rPr>
            </w:pPr>
          </w:p>
        </w:tc>
        <w:tc>
          <w:tcPr>
            <w:tcW w:w="7020" w:type="dxa"/>
            <w:gridSpan w:val="3"/>
            <w:tcBorders>
              <w:left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②</w:t>
            </w:r>
            <w:r>
              <w:rPr>
                <w:rFonts w:ascii="Times New Roman" w:hAnsi="Times New Roman"/>
                <w:color w:val="auto"/>
                <w:kern w:val="0"/>
                <w:sz w:val="24"/>
                <w:highlight w:val="none"/>
              </w:rPr>
              <w:t>城乡规划、风景名胜区等方面的重大违法建设事件；</w:t>
            </w:r>
          </w:p>
        </w:tc>
        <w:tc>
          <w:tcPr>
            <w:tcW w:w="4729" w:type="dxa"/>
            <w:vMerge w:val="continue"/>
            <w:tcBorders>
              <w:left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p>
        </w:tc>
        <w:tc>
          <w:tcPr>
            <w:tcW w:w="754" w:type="dxa"/>
            <w:vMerge w:val="continue"/>
            <w:tcBorders>
              <w:left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p>
        </w:tc>
      </w:tr>
      <w:tr>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pPr>
              <w:widowControl/>
              <w:spacing w:line="360" w:lineRule="auto"/>
              <w:rPr>
                <w:rFonts w:ascii="Times New Roman" w:hAnsi="Times New Roman"/>
                <w:color w:val="auto"/>
                <w:kern w:val="0"/>
                <w:sz w:val="24"/>
                <w:highlight w:val="none"/>
              </w:rPr>
            </w:pPr>
          </w:p>
        </w:tc>
        <w:tc>
          <w:tcPr>
            <w:tcW w:w="749" w:type="dxa"/>
            <w:vMerge w:val="continue"/>
            <w:tcBorders>
              <w:top w:val="nil"/>
              <w:left w:val="single" w:color="auto" w:sz="4" w:space="0"/>
              <w:bottom w:val="single" w:color="auto" w:sz="4" w:space="0"/>
              <w:right w:val="single" w:color="auto" w:sz="4" w:space="0"/>
            </w:tcBorders>
            <w:vAlign w:val="center"/>
          </w:tcPr>
          <w:p>
            <w:pPr>
              <w:widowControl/>
              <w:spacing w:line="360" w:lineRule="auto"/>
              <w:jc w:val="center"/>
              <w:rPr>
                <w:rFonts w:ascii="Times New Roman" w:hAnsi="Times New Roman"/>
                <w:color w:val="auto"/>
                <w:kern w:val="0"/>
                <w:sz w:val="24"/>
                <w:highlight w:val="none"/>
              </w:rPr>
            </w:pPr>
          </w:p>
        </w:tc>
        <w:tc>
          <w:tcPr>
            <w:tcW w:w="7020" w:type="dxa"/>
            <w:gridSpan w:val="3"/>
            <w:tcBorders>
              <w:left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③</w:t>
            </w:r>
            <w:r>
              <w:rPr>
                <w:rFonts w:ascii="Times New Roman" w:hAnsi="Times New Roman"/>
                <w:color w:val="auto"/>
                <w:kern w:val="0"/>
                <w:sz w:val="24"/>
                <w:highlight w:val="none"/>
              </w:rPr>
              <w:t>被住房城乡建设部通报批评；</w:t>
            </w:r>
          </w:p>
        </w:tc>
        <w:tc>
          <w:tcPr>
            <w:tcW w:w="4729" w:type="dxa"/>
            <w:vMerge w:val="continue"/>
            <w:tcBorders>
              <w:left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p>
        </w:tc>
        <w:tc>
          <w:tcPr>
            <w:tcW w:w="754" w:type="dxa"/>
            <w:vMerge w:val="continue"/>
            <w:tcBorders>
              <w:left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p>
        </w:tc>
      </w:tr>
      <w:tr>
        <w:tblPrEx>
          <w:tblCellMar>
            <w:top w:w="0" w:type="dxa"/>
            <w:left w:w="108" w:type="dxa"/>
            <w:bottom w:w="0" w:type="dxa"/>
            <w:right w:w="108" w:type="dxa"/>
          </w:tblCellMar>
        </w:tblPrEx>
        <w:trPr>
          <w:trHeight w:val="270" w:hRule="atLeast"/>
          <w:jc w:val="center"/>
        </w:trPr>
        <w:tc>
          <w:tcPr>
            <w:tcW w:w="922" w:type="dxa"/>
            <w:vMerge w:val="continue"/>
            <w:tcBorders>
              <w:top w:val="nil"/>
              <w:left w:val="single" w:color="auto" w:sz="4" w:space="0"/>
              <w:bottom w:val="single" w:color="auto" w:sz="4" w:space="0"/>
              <w:right w:val="single" w:color="auto" w:sz="4" w:space="0"/>
            </w:tcBorders>
            <w:vAlign w:val="center"/>
          </w:tcPr>
          <w:p>
            <w:pPr>
              <w:widowControl/>
              <w:spacing w:line="360" w:lineRule="auto"/>
              <w:rPr>
                <w:rFonts w:ascii="Times New Roman" w:hAnsi="Times New Roman"/>
                <w:color w:val="auto"/>
                <w:kern w:val="0"/>
                <w:sz w:val="24"/>
                <w:highlight w:val="none"/>
              </w:rPr>
            </w:pPr>
          </w:p>
        </w:tc>
        <w:tc>
          <w:tcPr>
            <w:tcW w:w="749" w:type="dxa"/>
            <w:vMerge w:val="continue"/>
            <w:tcBorders>
              <w:top w:val="nil"/>
              <w:left w:val="single" w:color="auto" w:sz="4" w:space="0"/>
              <w:bottom w:val="single" w:color="auto" w:sz="4" w:space="0"/>
              <w:right w:val="single" w:color="auto" w:sz="4" w:space="0"/>
            </w:tcBorders>
            <w:vAlign w:val="center"/>
          </w:tcPr>
          <w:p>
            <w:pPr>
              <w:widowControl/>
              <w:spacing w:line="360" w:lineRule="auto"/>
              <w:jc w:val="center"/>
              <w:rPr>
                <w:rFonts w:ascii="Times New Roman" w:hAnsi="Times New Roman"/>
                <w:color w:val="auto"/>
                <w:kern w:val="0"/>
                <w:sz w:val="24"/>
                <w:highlight w:val="none"/>
              </w:rPr>
            </w:pPr>
          </w:p>
        </w:tc>
        <w:tc>
          <w:tcPr>
            <w:tcW w:w="7020" w:type="dxa"/>
            <w:gridSpan w:val="3"/>
            <w:tcBorders>
              <w:left w:val="single" w:color="auto" w:sz="4" w:space="0"/>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r>
              <w:rPr>
                <w:rFonts w:hint="default" w:ascii="Times New Roman" w:hAnsi="Times New Roman" w:cs="Times New Roman"/>
                <w:color w:val="auto"/>
                <w:kern w:val="0"/>
                <w:sz w:val="24"/>
                <w:highlight w:val="none"/>
              </w:rPr>
              <w:t>④</w:t>
            </w:r>
            <w:r>
              <w:rPr>
                <w:rFonts w:ascii="Times New Roman" w:hAnsi="Times New Roman"/>
                <w:color w:val="auto"/>
                <w:kern w:val="0"/>
                <w:sz w:val="24"/>
                <w:highlight w:val="none"/>
              </w:rPr>
              <w:t>媒体曝光，造成重大负面影响。</w:t>
            </w:r>
          </w:p>
        </w:tc>
        <w:tc>
          <w:tcPr>
            <w:tcW w:w="4729" w:type="dxa"/>
            <w:vMerge w:val="continue"/>
            <w:tcBorders>
              <w:left w:val="single" w:color="auto" w:sz="4" w:space="0"/>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p>
        </w:tc>
        <w:tc>
          <w:tcPr>
            <w:tcW w:w="754" w:type="dxa"/>
            <w:vMerge w:val="continue"/>
            <w:tcBorders>
              <w:left w:val="single" w:color="auto" w:sz="4" w:space="0"/>
              <w:bottom w:val="single" w:color="auto" w:sz="4" w:space="0"/>
              <w:right w:val="single" w:color="auto" w:sz="4" w:space="0"/>
            </w:tcBorders>
            <w:shd w:val="clear" w:color="auto" w:fill="auto"/>
            <w:noWrap/>
            <w:vAlign w:val="center"/>
          </w:tcPr>
          <w:p>
            <w:pPr>
              <w:widowControl/>
              <w:spacing w:line="360" w:lineRule="auto"/>
              <w:rPr>
                <w:rFonts w:ascii="Times New Roman" w:hAnsi="Times New Roman"/>
                <w:color w:val="auto"/>
                <w:kern w:val="0"/>
                <w:sz w:val="24"/>
                <w:highlight w:val="none"/>
              </w:rPr>
            </w:pPr>
          </w:p>
        </w:tc>
      </w:tr>
    </w:tbl>
    <w:p>
      <w:pPr>
        <w:rPr>
          <w:rFonts w:ascii="Times New Roman" w:hAnsi="Times New Roman"/>
          <w:color w:val="auto"/>
          <w:highlight w:val="none"/>
        </w:rPr>
      </w:pPr>
    </w:p>
    <w:p>
      <w:pPr>
        <w:pStyle w:val="2"/>
        <w:ind w:firstLine="560"/>
        <w:rPr>
          <w:rFonts w:ascii="Times New Roman" w:hAnsi="Times New Roman" w:eastAsia="宋体"/>
          <w:color w:val="auto"/>
          <w:highlight w:val="none"/>
        </w:rPr>
      </w:pPr>
    </w:p>
    <w:p>
      <w:pPr>
        <w:pStyle w:val="2"/>
        <w:ind w:firstLine="560"/>
        <w:rPr>
          <w:rFonts w:ascii="Times New Roman" w:hAnsi="Times New Roman" w:eastAsia="宋体"/>
          <w:color w:val="auto"/>
          <w:highlight w:val="none"/>
        </w:rPr>
        <w:sectPr>
          <w:pgSz w:w="16838" w:h="11906" w:orient="landscape"/>
          <w:pgMar w:top="1800" w:right="1440" w:bottom="1800" w:left="1440" w:header="851" w:footer="992" w:gutter="0"/>
          <w:pgNumType w:fmt="numberInDash"/>
          <w:cols w:space="425" w:num="1"/>
          <w:docGrid w:type="lines" w:linePitch="312" w:charSpace="0"/>
        </w:sectPr>
      </w:pPr>
    </w:p>
    <w:p>
      <w:pPr>
        <w:pStyle w:val="5"/>
        <w:rPr>
          <w:rFonts w:ascii="Times New Roman" w:hAnsi="Times New Roman" w:eastAsia="宋体"/>
          <w:color w:val="auto"/>
          <w:highlight w:val="none"/>
        </w:rPr>
      </w:pPr>
      <w:bookmarkStart w:id="281" w:name="_Toc18258"/>
      <w:bookmarkStart w:id="282" w:name="_Toc25454"/>
      <w:bookmarkStart w:id="283" w:name="_Toc29228"/>
      <w:bookmarkStart w:id="284" w:name="_Toc21489"/>
      <w:bookmarkStart w:id="285" w:name="_Toc60499684"/>
      <w:bookmarkStart w:id="286" w:name="_Toc8209"/>
      <w:bookmarkStart w:id="287" w:name="_Toc60776375"/>
      <w:bookmarkStart w:id="288" w:name="_Toc17533"/>
      <w:bookmarkStart w:id="289" w:name="_Toc54451049"/>
      <w:r>
        <w:rPr>
          <w:rFonts w:ascii="Times New Roman" w:hAnsi="Times New Roman" w:eastAsia="宋体"/>
          <w:color w:val="auto"/>
          <w:highlight w:val="none"/>
        </w:rPr>
        <w:t>指标说明</w:t>
      </w:r>
      <w:bookmarkEnd w:id="281"/>
      <w:bookmarkEnd w:id="282"/>
      <w:bookmarkEnd w:id="283"/>
      <w:bookmarkEnd w:id="284"/>
      <w:bookmarkEnd w:id="285"/>
      <w:bookmarkEnd w:id="286"/>
      <w:bookmarkEnd w:id="287"/>
      <w:bookmarkEnd w:id="288"/>
    </w:p>
    <w:p>
      <w:pPr>
        <w:pStyle w:val="5"/>
        <w:rPr>
          <w:rFonts w:ascii="Times New Roman" w:hAnsi="Times New Roman" w:eastAsia="宋体"/>
          <w:color w:val="auto"/>
          <w:highlight w:val="none"/>
        </w:rPr>
      </w:pPr>
      <w:bookmarkStart w:id="290" w:name="_Toc60776376"/>
      <w:bookmarkStart w:id="291" w:name="_Toc3808"/>
      <w:bookmarkStart w:id="292" w:name="_Toc9373"/>
      <w:bookmarkStart w:id="293" w:name="_Toc14107"/>
      <w:bookmarkStart w:id="294" w:name="_Toc8033"/>
      <w:bookmarkStart w:id="295" w:name="_Toc60499685"/>
      <w:bookmarkStart w:id="296" w:name="_Toc271"/>
      <w:bookmarkStart w:id="297" w:name="_Toc16213"/>
      <w:r>
        <w:rPr>
          <w:rFonts w:ascii="Times New Roman" w:hAnsi="Times New Roman" w:eastAsia="宋体"/>
          <w:color w:val="auto"/>
          <w:highlight w:val="none"/>
        </w:rPr>
        <w:t>一、综合管理</w:t>
      </w:r>
      <w:bookmarkEnd w:id="289"/>
      <w:bookmarkEnd w:id="290"/>
      <w:bookmarkEnd w:id="291"/>
      <w:bookmarkEnd w:id="292"/>
      <w:bookmarkEnd w:id="293"/>
      <w:bookmarkEnd w:id="294"/>
      <w:bookmarkEnd w:id="295"/>
      <w:bookmarkEnd w:id="296"/>
      <w:bookmarkEnd w:id="297"/>
    </w:p>
    <w:p>
      <w:pPr>
        <w:pStyle w:val="6"/>
        <w:rPr>
          <w:rFonts w:ascii="Times New Roman" w:hAnsi="Times New Roman"/>
          <w:color w:val="auto"/>
          <w:highlight w:val="none"/>
        </w:rPr>
      </w:pPr>
      <w:bookmarkStart w:id="298" w:name="_Toc60499686"/>
      <w:bookmarkStart w:id="299" w:name="_Toc31708"/>
      <w:bookmarkStart w:id="300" w:name="_Toc54451050"/>
      <w:bookmarkStart w:id="301" w:name="_Toc60776377"/>
      <w:r>
        <w:rPr>
          <w:rFonts w:ascii="Times New Roman" w:hAnsi="Times New Roman"/>
          <w:color w:val="auto"/>
          <w:highlight w:val="none"/>
        </w:rPr>
        <w:t>1、园林绿化管理机构</w:t>
      </w:r>
      <w:bookmarkEnd w:id="298"/>
      <w:bookmarkEnd w:id="299"/>
      <w:bookmarkEnd w:id="300"/>
      <w:bookmarkEnd w:id="301"/>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w:t>
      </w:r>
      <w:r>
        <w:rPr>
          <w:rFonts w:hint="default" w:ascii="Times New Roman" w:hAnsi="Times New Roman" w:cs="Times New Roman"/>
          <w:color w:val="auto"/>
          <w:sz w:val="24"/>
          <w:highlight w:val="none"/>
        </w:rPr>
        <w:t>①</w:t>
      </w:r>
      <w:r>
        <w:rPr>
          <w:rFonts w:ascii="Times New Roman" w:hAnsi="Times New Roman"/>
          <w:color w:val="auto"/>
          <w:sz w:val="24"/>
          <w:highlight w:val="none"/>
        </w:rPr>
        <w:t>各级政府职能分工的要求，设立有专门承担园林绿化管理的机构，依照相关法律法规有效行使园林绿化行业管理职能；</w:t>
      </w:r>
      <w:r>
        <w:rPr>
          <w:rFonts w:hint="default" w:ascii="Times New Roman" w:hAnsi="Times New Roman" w:cs="Times New Roman"/>
          <w:color w:val="auto"/>
          <w:sz w:val="24"/>
          <w:highlight w:val="none"/>
        </w:rPr>
        <w:t>②</w:t>
      </w:r>
      <w:r>
        <w:rPr>
          <w:rFonts w:ascii="Times New Roman" w:hAnsi="Times New Roman"/>
          <w:color w:val="auto"/>
          <w:sz w:val="24"/>
          <w:highlight w:val="none"/>
        </w:rPr>
        <w:t>专门机构领导层应有以园林绿化专业为主的人员，并具有相应的园林绿化专业技术队伍，负责全县域园林绿化从规划设计、施工建设、竣工验收到养护管理全过程指导服务与监督管理。</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调查结果：按县机构改革文件，海丰县城园林绿化主管部门是</w:t>
      </w:r>
      <w:r>
        <w:rPr>
          <w:rFonts w:hint="eastAsia" w:ascii="Times New Roman" w:hAnsi="Times New Roman"/>
          <w:color w:val="auto"/>
          <w:sz w:val="24"/>
          <w:highlight w:val="none"/>
        </w:rPr>
        <w:t>县</w:t>
      </w:r>
      <w:r>
        <w:rPr>
          <w:rFonts w:ascii="Times New Roman" w:hAnsi="Times New Roman"/>
          <w:color w:val="auto"/>
          <w:sz w:val="24"/>
          <w:highlight w:val="none"/>
        </w:rPr>
        <w:t>公</w:t>
      </w:r>
      <w:r>
        <w:rPr>
          <w:rFonts w:hint="eastAsia" w:ascii="Times New Roman" w:hAnsi="Times New Roman"/>
          <w:color w:val="auto"/>
          <w:sz w:val="24"/>
          <w:highlight w:val="none"/>
        </w:rPr>
        <w:t>用</w:t>
      </w:r>
      <w:r>
        <w:rPr>
          <w:rFonts w:ascii="Times New Roman" w:hAnsi="Times New Roman"/>
          <w:color w:val="auto"/>
          <w:sz w:val="24"/>
          <w:highlight w:val="none"/>
        </w:rPr>
        <w:t>事业事务中心</w:t>
      </w:r>
      <w:r>
        <w:rPr>
          <w:rFonts w:hint="eastAsia" w:ascii="Times New Roman" w:hAnsi="Times New Roman"/>
          <w:color w:val="auto"/>
          <w:sz w:val="24"/>
          <w:highlight w:val="none"/>
        </w:rPr>
        <w:t>，</w:t>
      </w:r>
      <w:r>
        <w:rPr>
          <w:rFonts w:ascii="Times New Roman" w:hAnsi="Times New Roman"/>
          <w:b/>
          <w:bCs/>
          <w:color w:val="auto"/>
          <w:sz w:val="24"/>
          <w:highlight w:val="none"/>
        </w:rPr>
        <w:t>已达标</w:t>
      </w:r>
      <w:r>
        <w:rPr>
          <w:rFonts w:ascii="Times New Roman" w:hAnsi="Times New Roman"/>
          <w:color w:val="auto"/>
          <w:sz w:val="24"/>
          <w:highlight w:val="none"/>
        </w:rPr>
        <w:t>。</w:t>
      </w:r>
    </w:p>
    <w:p>
      <w:pPr>
        <w:pStyle w:val="6"/>
        <w:rPr>
          <w:rFonts w:ascii="Times New Roman" w:hAnsi="Times New Roman"/>
          <w:color w:val="auto"/>
          <w:highlight w:val="none"/>
        </w:rPr>
      </w:pPr>
      <w:bookmarkStart w:id="302" w:name="_Toc60499687"/>
      <w:bookmarkStart w:id="303" w:name="_Toc54451051"/>
      <w:bookmarkStart w:id="304" w:name="_Toc8530"/>
      <w:bookmarkStart w:id="305" w:name="_Toc60776378"/>
      <w:r>
        <w:rPr>
          <w:rFonts w:ascii="Times New Roman" w:hAnsi="Times New Roman"/>
          <w:color w:val="auto"/>
          <w:highlight w:val="none"/>
        </w:rPr>
        <w:t>2、园林绿化建设维护专项资金</w:t>
      </w:r>
      <w:bookmarkEnd w:id="302"/>
      <w:bookmarkEnd w:id="303"/>
      <w:bookmarkEnd w:id="304"/>
      <w:bookmarkEnd w:id="305"/>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w:t>
      </w:r>
      <w:r>
        <w:rPr>
          <w:rFonts w:hint="default" w:ascii="Times New Roman" w:hAnsi="Times New Roman" w:cs="Times New Roman"/>
          <w:color w:val="auto"/>
          <w:sz w:val="24"/>
          <w:highlight w:val="none"/>
        </w:rPr>
        <w:t>①</w:t>
      </w:r>
      <w:r>
        <w:rPr>
          <w:rFonts w:ascii="Times New Roman" w:hAnsi="Times New Roman"/>
          <w:color w:val="auto"/>
          <w:sz w:val="24"/>
          <w:highlight w:val="none"/>
        </w:rPr>
        <w:t>政府财政预算中专门列项“园林绿化建设和维护资金”，保障园林绿化建设、专业化精细化养护管理及相关人员经费；</w:t>
      </w:r>
      <w:r>
        <w:rPr>
          <w:rFonts w:hint="default" w:ascii="Times New Roman" w:hAnsi="Times New Roman" w:cs="Times New Roman"/>
          <w:color w:val="auto"/>
          <w:sz w:val="24"/>
          <w:highlight w:val="none"/>
        </w:rPr>
        <w:t>②</w:t>
      </w:r>
      <w:r>
        <w:rPr>
          <w:rFonts w:ascii="Times New Roman" w:hAnsi="Times New Roman"/>
          <w:color w:val="auto"/>
          <w:sz w:val="24"/>
          <w:highlight w:val="none"/>
        </w:rPr>
        <w:t>近2年（含申报年）园林绿化建设资金保障到位，且与本年度新建、改建及扩建园林绿化项目相适应；</w:t>
      </w:r>
      <w:r>
        <w:rPr>
          <w:rFonts w:hint="default" w:ascii="Times New Roman" w:hAnsi="Times New Roman" w:cs="Times New Roman"/>
          <w:color w:val="auto"/>
          <w:sz w:val="24"/>
          <w:highlight w:val="none"/>
        </w:rPr>
        <w:t>③</w:t>
      </w:r>
      <w:r>
        <w:rPr>
          <w:rFonts w:ascii="Times New Roman" w:hAnsi="Times New Roman"/>
          <w:color w:val="auto"/>
          <w:sz w:val="24"/>
          <w:highlight w:val="none"/>
        </w:rPr>
        <w:t>园林绿化养护资金与各类绿地总量相适应，不低于当地园林绿化养护管理定额标准，并随物价指数和人工工资增长而合理增加。</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w:t>
      </w:r>
      <w:r>
        <w:rPr>
          <w:rFonts w:hint="default" w:ascii="Times New Roman" w:hAnsi="Times New Roman" w:cs="Times New Roman"/>
          <w:color w:val="auto"/>
          <w:sz w:val="24"/>
          <w:highlight w:val="none"/>
        </w:rPr>
        <w:t>①</w:t>
      </w:r>
      <w:r>
        <w:rPr>
          <w:rFonts w:ascii="Times New Roman" w:hAnsi="Times New Roman"/>
          <w:color w:val="auto"/>
          <w:sz w:val="24"/>
          <w:highlight w:val="none"/>
        </w:rPr>
        <w:t>2019年，政府安排园林绿化维护资金180万元，实际支出180万元；安排园林绿化建设资金543万元，实际支出422.47万元；安排相关人员经费246万元。2020年安排园林绿化维护资金180万元，至7月实际支出90万元；安排园林绿化建设资金507.13万元，实际支出120.049998万元；安排相关人员经费246万元</w:t>
      </w:r>
      <w:r>
        <w:rPr>
          <w:rFonts w:hint="eastAsia" w:ascii="Times New Roman" w:hAnsi="Times New Roman"/>
          <w:color w:val="auto"/>
          <w:sz w:val="24"/>
          <w:highlight w:val="none"/>
        </w:rPr>
        <w:t>，</w:t>
      </w:r>
      <w:r>
        <w:rPr>
          <w:rFonts w:ascii="Times New Roman" w:hAnsi="Times New Roman"/>
          <w:b/>
          <w:bCs/>
          <w:color w:val="auto"/>
          <w:sz w:val="24"/>
          <w:highlight w:val="none"/>
        </w:rPr>
        <w:t>已达标。</w:t>
      </w:r>
    </w:p>
    <w:p>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表1-1 海丰县2019年、2020年园林绿化资金统计表</w:t>
      </w:r>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2023"/>
        <w:gridCol w:w="1804"/>
        <w:gridCol w:w="1292"/>
        <w:gridCol w:w="1293"/>
        <w:gridCol w:w="12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pPr>
              <w:jc w:val="center"/>
              <w:rPr>
                <w:rFonts w:ascii="Times New Roman" w:hAnsi="Times New Roman"/>
                <w:b/>
                <w:color w:val="auto"/>
                <w:szCs w:val="21"/>
                <w:highlight w:val="none"/>
              </w:rPr>
            </w:pPr>
            <w:r>
              <w:rPr>
                <w:rFonts w:ascii="Times New Roman" w:hAnsi="Times New Roman"/>
                <w:b/>
                <w:color w:val="auto"/>
                <w:szCs w:val="21"/>
                <w:highlight w:val="none"/>
              </w:rPr>
              <w:t>年份</w:t>
            </w:r>
          </w:p>
        </w:tc>
        <w:tc>
          <w:tcPr>
            <w:tcW w:w="2023" w:type="dxa"/>
            <w:vAlign w:val="center"/>
          </w:tcPr>
          <w:p>
            <w:pPr>
              <w:jc w:val="center"/>
              <w:rPr>
                <w:rFonts w:ascii="Times New Roman" w:hAnsi="Times New Roman"/>
                <w:b/>
                <w:color w:val="auto"/>
                <w:szCs w:val="21"/>
                <w:highlight w:val="none"/>
              </w:rPr>
            </w:pPr>
            <w:r>
              <w:rPr>
                <w:rFonts w:ascii="Times New Roman" w:hAnsi="Times New Roman"/>
                <w:b/>
                <w:color w:val="auto"/>
                <w:szCs w:val="21"/>
                <w:highlight w:val="none"/>
              </w:rPr>
              <w:t>经费项目</w:t>
            </w:r>
          </w:p>
        </w:tc>
        <w:tc>
          <w:tcPr>
            <w:tcW w:w="1804" w:type="dxa"/>
            <w:vAlign w:val="center"/>
          </w:tcPr>
          <w:p>
            <w:pPr>
              <w:jc w:val="center"/>
              <w:rPr>
                <w:rFonts w:ascii="Times New Roman" w:hAnsi="Times New Roman"/>
                <w:b/>
                <w:color w:val="auto"/>
                <w:szCs w:val="21"/>
                <w:highlight w:val="none"/>
              </w:rPr>
            </w:pPr>
            <w:r>
              <w:rPr>
                <w:rFonts w:ascii="Times New Roman" w:hAnsi="Times New Roman"/>
                <w:b/>
                <w:color w:val="auto"/>
                <w:szCs w:val="21"/>
                <w:highlight w:val="none"/>
              </w:rPr>
              <w:t>经费类型</w:t>
            </w:r>
          </w:p>
        </w:tc>
        <w:tc>
          <w:tcPr>
            <w:tcW w:w="1292" w:type="dxa"/>
            <w:vAlign w:val="center"/>
          </w:tcPr>
          <w:p>
            <w:pPr>
              <w:jc w:val="center"/>
              <w:rPr>
                <w:rFonts w:ascii="Times New Roman" w:hAnsi="Times New Roman"/>
                <w:b/>
                <w:color w:val="auto"/>
                <w:szCs w:val="21"/>
                <w:highlight w:val="none"/>
              </w:rPr>
            </w:pPr>
            <w:r>
              <w:rPr>
                <w:rFonts w:ascii="Times New Roman" w:hAnsi="Times New Roman"/>
                <w:b/>
                <w:color w:val="auto"/>
                <w:szCs w:val="21"/>
                <w:highlight w:val="none"/>
              </w:rPr>
              <w:t>经费预算（万元）</w:t>
            </w:r>
          </w:p>
        </w:tc>
        <w:tc>
          <w:tcPr>
            <w:tcW w:w="1293" w:type="dxa"/>
            <w:vAlign w:val="center"/>
          </w:tcPr>
          <w:p>
            <w:pPr>
              <w:jc w:val="center"/>
              <w:rPr>
                <w:rFonts w:ascii="Times New Roman" w:hAnsi="Times New Roman"/>
                <w:b/>
                <w:color w:val="auto"/>
                <w:szCs w:val="21"/>
                <w:highlight w:val="none"/>
              </w:rPr>
            </w:pPr>
            <w:r>
              <w:rPr>
                <w:rFonts w:ascii="Times New Roman" w:hAnsi="Times New Roman"/>
                <w:b/>
                <w:color w:val="auto"/>
                <w:szCs w:val="21"/>
                <w:highlight w:val="none"/>
              </w:rPr>
              <w:t>实际支出（万元）</w:t>
            </w:r>
          </w:p>
        </w:tc>
        <w:tc>
          <w:tcPr>
            <w:tcW w:w="1293" w:type="dxa"/>
            <w:vAlign w:val="center"/>
          </w:tcPr>
          <w:p>
            <w:pPr>
              <w:jc w:val="center"/>
              <w:rPr>
                <w:rFonts w:ascii="Times New Roman" w:hAnsi="Times New Roman"/>
                <w:b/>
                <w:color w:val="auto"/>
                <w:szCs w:val="21"/>
                <w:highlight w:val="none"/>
              </w:rPr>
            </w:pPr>
            <w:r>
              <w:rPr>
                <w:rFonts w:ascii="Times New Roman" w:hAnsi="Times New Roman"/>
                <w:b/>
                <w:color w:val="auto"/>
                <w:szCs w:val="21"/>
                <w:highlight w:val="none"/>
              </w:rPr>
              <w:t>主管部门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2019</w:t>
            </w:r>
          </w:p>
        </w:tc>
        <w:tc>
          <w:tcPr>
            <w:tcW w:w="2023"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公共绿化消防用水</w:t>
            </w:r>
          </w:p>
        </w:tc>
        <w:tc>
          <w:tcPr>
            <w:tcW w:w="1804"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园林绿化维护资金</w:t>
            </w:r>
          </w:p>
        </w:tc>
        <w:tc>
          <w:tcPr>
            <w:tcW w:w="1292"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180</w:t>
            </w:r>
          </w:p>
        </w:tc>
        <w:tc>
          <w:tcPr>
            <w:tcW w:w="1293"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180</w:t>
            </w:r>
          </w:p>
        </w:tc>
        <w:tc>
          <w:tcPr>
            <w:tcW w:w="1293"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县供水公司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2019</w:t>
            </w:r>
          </w:p>
        </w:tc>
        <w:tc>
          <w:tcPr>
            <w:tcW w:w="2023"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县城道路及公共绿化养护工程养护</w:t>
            </w:r>
          </w:p>
        </w:tc>
        <w:tc>
          <w:tcPr>
            <w:tcW w:w="1804"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园林绿化建设资金</w:t>
            </w:r>
          </w:p>
        </w:tc>
        <w:tc>
          <w:tcPr>
            <w:tcW w:w="1292"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543</w:t>
            </w:r>
          </w:p>
        </w:tc>
        <w:tc>
          <w:tcPr>
            <w:tcW w:w="1293"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422.47</w:t>
            </w:r>
          </w:p>
        </w:tc>
        <w:tc>
          <w:tcPr>
            <w:tcW w:w="1293"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县林业局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2019</w:t>
            </w:r>
          </w:p>
        </w:tc>
        <w:tc>
          <w:tcPr>
            <w:tcW w:w="2023"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海城园林环卫所</w:t>
            </w:r>
          </w:p>
        </w:tc>
        <w:tc>
          <w:tcPr>
            <w:tcW w:w="1804"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相关人员经费</w:t>
            </w:r>
          </w:p>
        </w:tc>
        <w:tc>
          <w:tcPr>
            <w:tcW w:w="1292"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180</w:t>
            </w:r>
          </w:p>
        </w:tc>
        <w:tc>
          <w:tcPr>
            <w:tcW w:w="1293" w:type="dxa"/>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w:t>
            </w:r>
          </w:p>
        </w:tc>
        <w:tc>
          <w:tcPr>
            <w:tcW w:w="1293" w:type="dxa"/>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2020</w:t>
            </w:r>
          </w:p>
        </w:tc>
        <w:tc>
          <w:tcPr>
            <w:tcW w:w="2023"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公共绿化消防用水</w:t>
            </w:r>
          </w:p>
        </w:tc>
        <w:tc>
          <w:tcPr>
            <w:tcW w:w="1804"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园林绿化维护资金</w:t>
            </w:r>
          </w:p>
        </w:tc>
        <w:tc>
          <w:tcPr>
            <w:tcW w:w="1292"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180</w:t>
            </w:r>
          </w:p>
        </w:tc>
        <w:tc>
          <w:tcPr>
            <w:tcW w:w="1293"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90（至7月份）</w:t>
            </w:r>
          </w:p>
        </w:tc>
        <w:tc>
          <w:tcPr>
            <w:tcW w:w="1293"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县供水公司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2020</w:t>
            </w:r>
          </w:p>
        </w:tc>
        <w:tc>
          <w:tcPr>
            <w:tcW w:w="2023"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县城道路及公共绿化养护工程养护</w:t>
            </w:r>
          </w:p>
        </w:tc>
        <w:tc>
          <w:tcPr>
            <w:tcW w:w="1804"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园林绿化建设资金</w:t>
            </w:r>
          </w:p>
        </w:tc>
        <w:tc>
          <w:tcPr>
            <w:tcW w:w="1292"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507.13</w:t>
            </w:r>
          </w:p>
        </w:tc>
        <w:tc>
          <w:tcPr>
            <w:tcW w:w="1293"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120.049998（至7月份）</w:t>
            </w:r>
          </w:p>
        </w:tc>
        <w:tc>
          <w:tcPr>
            <w:tcW w:w="1293"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县林业局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2020</w:t>
            </w:r>
          </w:p>
        </w:tc>
        <w:tc>
          <w:tcPr>
            <w:tcW w:w="2023"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海城园林环卫所</w:t>
            </w:r>
          </w:p>
        </w:tc>
        <w:tc>
          <w:tcPr>
            <w:tcW w:w="1804"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相关人员经费</w:t>
            </w:r>
          </w:p>
        </w:tc>
        <w:tc>
          <w:tcPr>
            <w:tcW w:w="1292"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180</w:t>
            </w:r>
          </w:p>
        </w:tc>
        <w:tc>
          <w:tcPr>
            <w:tcW w:w="1293" w:type="dxa"/>
            <w:vAlign w:val="center"/>
          </w:tcPr>
          <w:p>
            <w:pPr>
              <w:jc w:val="center"/>
              <w:rPr>
                <w:rFonts w:ascii="Times New Roman" w:hAnsi="Times New Roman"/>
                <w:color w:val="auto"/>
                <w:szCs w:val="21"/>
                <w:highlight w:val="none"/>
              </w:rPr>
            </w:pPr>
          </w:p>
        </w:tc>
        <w:tc>
          <w:tcPr>
            <w:tcW w:w="1293" w:type="dxa"/>
            <w:vAlign w:val="center"/>
          </w:tcPr>
          <w:p>
            <w:pPr>
              <w:jc w:val="center"/>
              <w:rPr>
                <w:rFonts w:ascii="Times New Roman" w:hAnsi="Times New Roman"/>
                <w:color w:val="auto"/>
                <w:szCs w:val="21"/>
                <w:highlight w:val="none"/>
              </w:rPr>
            </w:pPr>
          </w:p>
        </w:tc>
      </w:tr>
    </w:tbl>
    <w:p>
      <w:pPr>
        <w:rPr>
          <w:rFonts w:ascii="Times New Roman" w:hAnsi="Times New Roman"/>
          <w:color w:val="auto"/>
          <w:highlight w:val="none"/>
        </w:rPr>
      </w:pPr>
      <w:bookmarkStart w:id="306" w:name="_Toc54451052"/>
      <w:bookmarkStart w:id="307" w:name="_Toc60499688"/>
    </w:p>
    <w:p>
      <w:pPr>
        <w:pStyle w:val="6"/>
        <w:rPr>
          <w:rFonts w:ascii="Times New Roman" w:hAnsi="Times New Roman"/>
          <w:color w:val="auto"/>
          <w:highlight w:val="none"/>
        </w:rPr>
      </w:pPr>
      <w:bookmarkStart w:id="308" w:name="_Toc60776379"/>
      <w:bookmarkStart w:id="309" w:name="_Toc23154"/>
      <w:r>
        <w:rPr>
          <w:rFonts w:ascii="Times New Roman" w:hAnsi="Times New Roman"/>
          <w:color w:val="auto"/>
          <w:highlight w:val="none"/>
        </w:rPr>
        <w:t>3、园林绿化科研应用</w:t>
      </w:r>
      <w:bookmarkEnd w:id="306"/>
      <w:bookmarkEnd w:id="307"/>
      <w:bookmarkEnd w:id="308"/>
      <w:bookmarkEnd w:id="309"/>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指标要求：近2年（含申报年）积极应用园林绿化新技术、新成果。</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调查结果：未收集到近2年园林绿化科研资料，</w:t>
      </w:r>
      <w:r>
        <w:rPr>
          <w:rFonts w:ascii="Times New Roman" w:hAnsi="Times New Roman"/>
          <w:b/>
          <w:bCs/>
          <w:color w:val="auto"/>
          <w:sz w:val="24"/>
          <w:highlight w:val="none"/>
        </w:rPr>
        <w:t>为缺失性指标</w:t>
      </w:r>
      <w:r>
        <w:rPr>
          <w:rFonts w:ascii="Times New Roman" w:hAnsi="Times New Roman"/>
          <w:color w:val="auto"/>
          <w:sz w:val="24"/>
          <w:highlight w:val="none"/>
        </w:rPr>
        <w:t>。</w:t>
      </w:r>
    </w:p>
    <w:p>
      <w:pPr>
        <w:pStyle w:val="6"/>
        <w:rPr>
          <w:rFonts w:ascii="Times New Roman" w:hAnsi="Times New Roman"/>
          <w:color w:val="auto"/>
          <w:highlight w:val="none"/>
        </w:rPr>
      </w:pPr>
      <w:bookmarkStart w:id="310" w:name="_Toc60776380"/>
      <w:bookmarkStart w:id="311" w:name="_Toc54451053"/>
      <w:bookmarkStart w:id="312" w:name="_Toc25720"/>
      <w:bookmarkStart w:id="313" w:name="_Toc60499689"/>
      <w:r>
        <w:rPr>
          <w:rFonts w:ascii="Times New Roman" w:hAnsi="Times New Roman"/>
          <w:color w:val="auto"/>
          <w:highlight w:val="none"/>
        </w:rPr>
        <w:t>4、《绿地系统规划》编制实施</w:t>
      </w:r>
      <w:bookmarkEnd w:id="310"/>
      <w:bookmarkEnd w:id="311"/>
      <w:bookmarkEnd w:id="312"/>
      <w:bookmarkEnd w:id="313"/>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w:t>
      </w:r>
      <w:r>
        <w:rPr>
          <w:rFonts w:hint="default" w:ascii="Times New Roman" w:hAnsi="Times New Roman" w:cs="Times New Roman"/>
          <w:color w:val="auto"/>
          <w:sz w:val="24"/>
          <w:highlight w:val="none"/>
        </w:rPr>
        <w:t>①</w:t>
      </w:r>
      <w:r>
        <w:rPr>
          <w:rFonts w:ascii="Times New Roman" w:hAnsi="Times New Roman"/>
          <w:color w:val="auto"/>
          <w:sz w:val="24"/>
          <w:highlight w:val="none"/>
        </w:rPr>
        <w:t>《县城总体规划》审批后一年内编制完成《绿地系统规划》的编制；</w:t>
      </w:r>
      <w:r>
        <w:rPr>
          <w:rFonts w:hint="default" w:ascii="Times New Roman" w:hAnsi="Times New Roman" w:cs="Times New Roman"/>
          <w:color w:val="auto"/>
          <w:sz w:val="24"/>
          <w:highlight w:val="none"/>
        </w:rPr>
        <w:t>②</w:t>
      </w:r>
      <w:r>
        <w:rPr>
          <w:rFonts w:ascii="Times New Roman" w:hAnsi="Times New Roman"/>
          <w:color w:val="auto"/>
          <w:sz w:val="24"/>
          <w:highlight w:val="none"/>
        </w:rPr>
        <w:t>《绿地系统规划》由具有相关规划资质或能力的单位编制（修订），与县城总体规划、控制性详细规划等相协调，并依法审核批准实施。。</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调查结果：已完成《海丰县县城总体规划（2015-2025 年）》，目前正编制《绿地系统规划》，</w:t>
      </w:r>
      <w:r>
        <w:rPr>
          <w:rFonts w:hint="eastAsia" w:ascii="Times New Roman" w:hAnsi="Times New Roman"/>
          <w:b/>
          <w:bCs/>
          <w:color w:val="auto"/>
          <w:sz w:val="24"/>
          <w:highlight w:val="none"/>
        </w:rPr>
        <w:t>为缺失性指标</w:t>
      </w:r>
      <w:r>
        <w:rPr>
          <w:rFonts w:hint="eastAsia" w:ascii="Times New Roman" w:hAnsi="Times New Roman"/>
          <w:color w:val="auto"/>
          <w:sz w:val="24"/>
          <w:highlight w:val="none"/>
        </w:rPr>
        <w:t>。</w:t>
      </w:r>
    </w:p>
    <w:p>
      <w:pPr>
        <w:pStyle w:val="6"/>
        <w:rPr>
          <w:rFonts w:ascii="Times New Roman" w:hAnsi="Times New Roman"/>
          <w:color w:val="auto"/>
          <w:highlight w:val="none"/>
        </w:rPr>
      </w:pPr>
      <w:bookmarkStart w:id="314" w:name="_Toc20584"/>
      <w:bookmarkStart w:id="315" w:name="_Toc60776381"/>
      <w:bookmarkStart w:id="316" w:name="_Toc54451054"/>
      <w:bookmarkStart w:id="317" w:name="_Toc60499690"/>
      <w:r>
        <w:rPr>
          <w:rFonts w:ascii="Times New Roman" w:hAnsi="Times New Roman"/>
          <w:color w:val="auto"/>
          <w:highlight w:val="none"/>
        </w:rPr>
        <w:t>5、绿线管理</w:t>
      </w:r>
      <w:bookmarkEnd w:id="314"/>
      <w:bookmarkEnd w:id="315"/>
      <w:bookmarkEnd w:id="316"/>
      <w:bookmarkEnd w:id="317"/>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严格实施县城绿线管制制度，按照《城市绿线管理办法》（建设部令第112号）和《城市绿线划定技术规范》（GB/T51163-2016）要求划定绿线，并在至少两种以上的媒体上向社会公布，设立绿线公示牌或绿线界碑，向社会公布四至边界，严禁侵占。</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调查结果：未划定城市绿线并在至少两种以上的媒体上向社会公布，</w:t>
      </w:r>
      <w:r>
        <w:rPr>
          <w:rFonts w:ascii="Times New Roman" w:hAnsi="Times New Roman"/>
          <w:b/>
          <w:bCs/>
          <w:color w:val="auto"/>
          <w:sz w:val="24"/>
          <w:highlight w:val="none"/>
        </w:rPr>
        <w:t>为缺失性指标</w:t>
      </w:r>
      <w:r>
        <w:rPr>
          <w:rFonts w:ascii="Times New Roman" w:hAnsi="Times New Roman"/>
          <w:color w:val="auto"/>
          <w:sz w:val="24"/>
          <w:highlight w:val="none"/>
        </w:rPr>
        <w:t>。</w:t>
      </w:r>
    </w:p>
    <w:p>
      <w:pPr>
        <w:pStyle w:val="6"/>
        <w:rPr>
          <w:rFonts w:ascii="Times New Roman" w:hAnsi="Times New Roman"/>
          <w:color w:val="auto"/>
          <w:highlight w:val="none"/>
        </w:rPr>
      </w:pPr>
      <w:bookmarkStart w:id="318" w:name="_Toc54451055"/>
      <w:bookmarkStart w:id="319" w:name="_Toc60499691"/>
      <w:bookmarkStart w:id="320" w:name="_Toc12292"/>
      <w:bookmarkStart w:id="321" w:name="_Toc60776382"/>
      <w:r>
        <w:rPr>
          <w:rFonts w:ascii="Times New Roman" w:hAnsi="Times New Roman"/>
          <w:color w:val="auto"/>
          <w:highlight w:val="none"/>
        </w:rPr>
        <w:t>6、园林绿化制度建设</w:t>
      </w:r>
      <w:bookmarkEnd w:id="318"/>
      <w:bookmarkEnd w:id="319"/>
      <w:bookmarkEnd w:id="320"/>
      <w:bookmarkEnd w:id="321"/>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指标要求：建立健全绿线管理、建设管理、养护管理、生态保护、生物多样性保护、古树名木保护、义务植树等园林绿化规章、规范、制度。</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调查结果：2010年，海丰县人民政府印发《海丰县市政公用设施管理规定（试行）》。《规定》有专门的园林绿化管理条例（第五章 城市园林绿化管理），但未编制关于绿线管理、建设管理、养护管理、城市生态保护、生物多样性保护等法规、标准或制度，</w:t>
      </w:r>
      <w:r>
        <w:rPr>
          <w:rFonts w:ascii="Times New Roman" w:hAnsi="Times New Roman"/>
          <w:b/>
          <w:bCs/>
          <w:color w:val="auto"/>
          <w:sz w:val="24"/>
          <w:highlight w:val="none"/>
        </w:rPr>
        <w:t>为缺失性指标</w:t>
      </w:r>
      <w:r>
        <w:rPr>
          <w:rFonts w:ascii="Times New Roman" w:hAnsi="Times New Roman"/>
          <w:color w:val="auto"/>
          <w:sz w:val="24"/>
          <w:highlight w:val="none"/>
        </w:rPr>
        <w:t>。</w:t>
      </w:r>
    </w:p>
    <w:p>
      <w:pPr>
        <w:pStyle w:val="6"/>
        <w:rPr>
          <w:rFonts w:ascii="Times New Roman" w:hAnsi="Times New Roman"/>
          <w:color w:val="auto"/>
          <w:highlight w:val="none"/>
        </w:rPr>
      </w:pPr>
      <w:bookmarkStart w:id="322" w:name="_Toc54451056"/>
      <w:bookmarkStart w:id="323" w:name="_Toc60499692"/>
      <w:bookmarkStart w:id="324" w:name="_Toc8862"/>
      <w:bookmarkStart w:id="325" w:name="_Toc60776383"/>
      <w:r>
        <w:rPr>
          <w:rFonts w:ascii="Times New Roman" w:hAnsi="Times New Roman"/>
          <w:color w:val="auto"/>
          <w:highlight w:val="none"/>
        </w:rPr>
        <w:t>7、园林绿化管理信息技术</w:t>
      </w:r>
      <w:bookmarkEnd w:id="322"/>
      <w:bookmarkEnd w:id="323"/>
      <w:bookmarkEnd w:id="324"/>
      <w:bookmarkEnd w:id="325"/>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指标要求：已建立园林绿化信息数据库、信息发布与社会服务信息共享平台；可供市民查询，保障公众参与和社会监督。</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调查结果：未建立建立园林绿化信息数据库、信息发布与社会服务信息共享平台，</w:t>
      </w:r>
      <w:r>
        <w:rPr>
          <w:rFonts w:ascii="Times New Roman" w:hAnsi="Times New Roman"/>
          <w:b/>
          <w:bCs/>
          <w:color w:val="auto"/>
          <w:sz w:val="24"/>
          <w:highlight w:val="none"/>
        </w:rPr>
        <w:t>为缺失性指标</w:t>
      </w:r>
      <w:r>
        <w:rPr>
          <w:rFonts w:ascii="Times New Roman" w:hAnsi="Times New Roman"/>
          <w:color w:val="auto"/>
          <w:sz w:val="24"/>
          <w:highlight w:val="none"/>
        </w:rPr>
        <w:t>。</w:t>
      </w:r>
    </w:p>
    <w:p>
      <w:pPr>
        <w:pStyle w:val="6"/>
        <w:rPr>
          <w:rFonts w:ascii="Times New Roman" w:hAnsi="Times New Roman"/>
          <w:color w:val="auto"/>
          <w:highlight w:val="none"/>
        </w:rPr>
      </w:pPr>
      <w:bookmarkStart w:id="326" w:name="_Toc54451057"/>
      <w:bookmarkStart w:id="327" w:name="_Toc25460"/>
      <w:bookmarkStart w:id="328" w:name="_Toc60499693"/>
      <w:bookmarkStart w:id="329" w:name="_Toc60776384"/>
      <w:r>
        <w:rPr>
          <w:rFonts w:ascii="Times New Roman" w:hAnsi="Times New Roman"/>
          <w:color w:val="auto"/>
          <w:highlight w:val="none"/>
        </w:rPr>
        <w:t>8、公众对城市园林绿化的满意率</w:t>
      </w:r>
      <w:bookmarkEnd w:id="326"/>
      <w:bookmarkEnd w:id="327"/>
      <w:bookmarkEnd w:id="328"/>
      <w:bookmarkEnd w:id="329"/>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指标要求：≥85%。</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计算方法：公众对城市园林绿化的满意度（%）=城市园林绿化满意度总分（M）大于等于8 分的公众人数（人）/城市园林绿化满意度调查被抽查公众的总人数（人）×100%。注：抽查比例不低于城市人口的千分之一。</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调查结果：海丰县建成区共有常住人口2</w:t>
      </w:r>
      <w:r>
        <w:rPr>
          <w:rFonts w:hint="eastAsia" w:ascii="Times New Roman" w:hAnsi="Times New Roman"/>
          <w:color w:val="auto"/>
          <w:sz w:val="24"/>
          <w:highlight w:val="none"/>
        </w:rPr>
        <w:t>8</w:t>
      </w:r>
      <w:r>
        <w:rPr>
          <w:rFonts w:ascii="Times New Roman" w:hAnsi="Times New Roman"/>
          <w:color w:val="auto"/>
          <w:sz w:val="24"/>
          <w:highlight w:val="none"/>
        </w:rPr>
        <w:t>.73万人，按千分之一比例进行调查，至少调查2</w:t>
      </w:r>
      <w:r>
        <w:rPr>
          <w:rFonts w:hint="eastAsia" w:ascii="Times New Roman" w:hAnsi="Times New Roman"/>
          <w:color w:val="auto"/>
          <w:sz w:val="24"/>
          <w:highlight w:val="none"/>
        </w:rPr>
        <w:t>8</w:t>
      </w:r>
      <w:r>
        <w:rPr>
          <w:rFonts w:ascii="Times New Roman" w:hAnsi="Times New Roman"/>
          <w:color w:val="auto"/>
          <w:sz w:val="24"/>
          <w:highlight w:val="none"/>
        </w:rPr>
        <w:t>8人。目前未进行公众对城市园林绿化的满意率的调查，</w:t>
      </w:r>
      <w:r>
        <w:rPr>
          <w:rFonts w:ascii="Times New Roman" w:hAnsi="Times New Roman"/>
          <w:b/>
          <w:bCs/>
          <w:color w:val="auto"/>
          <w:sz w:val="24"/>
          <w:highlight w:val="none"/>
        </w:rPr>
        <w:t>为缺失性指标</w:t>
      </w:r>
      <w:r>
        <w:rPr>
          <w:rFonts w:ascii="Times New Roman" w:hAnsi="Times New Roman"/>
          <w:color w:val="auto"/>
          <w:sz w:val="24"/>
          <w:highlight w:val="none"/>
        </w:rPr>
        <w:t>。</w:t>
      </w:r>
    </w:p>
    <w:p>
      <w:pPr>
        <w:pStyle w:val="5"/>
        <w:rPr>
          <w:rFonts w:ascii="Times New Roman" w:hAnsi="Times New Roman" w:eastAsia="宋体"/>
          <w:color w:val="auto"/>
          <w:highlight w:val="none"/>
        </w:rPr>
      </w:pPr>
      <w:bookmarkStart w:id="330" w:name="_Toc29703"/>
      <w:bookmarkStart w:id="331" w:name="_Toc585"/>
      <w:bookmarkStart w:id="332" w:name="_Toc29900"/>
      <w:bookmarkStart w:id="333" w:name="_Toc8362"/>
      <w:bookmarkStart w:id="334" w:name="_Toc2864"/>
      <w:bookmarkStart w:id="335" w:name="_Toc60776385"/>
      <w:bookmarkStart w:id="336" w:name="_Toc12338"/>
      <w:bookmarkStart w:id="337" w:name="_Toc54451058"/>
      <w:bookmarkStart w:id="338" w:name="_Toc60499694"/>
      <w:r>
        <w:rPr>
          <w:rFonts w:ascii="Times New Roman" w:hAnsi="Times New Roman" w:eastAsia="宋体"/>
          <w:color w:val="auto"/>
          <w:highlight w:val="none"/>
        </w:rPr>
        <w:t>二、绿地建设</w:t>
      </w:r>
      <w:bookmarkEnd w:id="330"/>
      <w:bookmarkEnd w:id="331"/>
      <w:bookmarkEnd w:id="332"/>
      <w:bookmarkEnd w:id="333"/>
      <w:bookmarkEnd w:id="334"/>
      <w:bookmarkEnd w:id="335"/>
      <w:bookmarkEnd w:id="336"/>
      <w:bookmarkEnd w:id="337"/>
      <w:bookmarkEnd w:id="338"/>
    </w:p>
    <w:p>
      <w:pPr>
        <w:pStyle w:val="6"/>
        <w:rPr>
          <w:rFonts w:ascii="Times New Roman" w:hAnsi="Times New Roman"/>
          <w:color w:val="auto"/>
          <w:highlight w:val="none"/>
        </w:rPr>
      </w:pPr>
      <w:bookmarkStart w:id="339" w:name="_Toc60776386"/>
      <w:bookmarkStart w:id="340" w:name="_Toc60499695"/>
      <w:bookmarkStart w:id="341" w:name="_Toc54451059"/>
      <w:bookmarkStart w:id="342" w:name="_Toc20642"/>
      <w:r>
        <w:rPr>
          <w:rFonts w:ascii="Times New Roman" w:hAnsi="Times New Roman"/>
          <w:color w:val="auto"/>
          <w:highlight w:val="none"/>
        </w:rPr>
        <w:t>9、建成区绿化覆盖率</w:t>
      </w:r>
      <w:bookmarkEnd w:id="339"/>
      <w:bookmarkEnd w:id="340"/>
      <w:bookmarkEnd w:id="341"/>
      <w:bookmarkEnd w:id="342"/>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指标要求：≥38%。</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计算方法：建成区绿化覆盖率（%）=建成区所有植被的垂直投影面积（km</w:t>
      </w:r>
      <w:r>
        <w:rPr>
          <w:rFonts w:ascii="Times New Roman" w:hAnsi="Times New Roman"/>
          <w:color w:val="auto"/>
          <w:sz w:val="24"/>
          <w:highlight w:val="none"/>
          <w:vertAlign w:val="superscript"/>
        </w:rPr>
        <w:t>2</w:t>
      </w:r>
      <w:r>
        <w:rPr>
          <w:rFonts w:ascii="Times New Roman" w:hAnsi="Times New Roman"/>
          <w:color w:val="auto"/>
          <w:sz w:val="24"/>
          <w:highlight w:val="none"/>
        </w:rPr>
        <w:t>）/建成区面积（km</w:t>
      </w:r>
      <w:r>
        <w:rPr>
          <w:rFonts w:ascii="Times New Roman" w:hAnsi="Times New Roman"/>
          <w:color w:val="auto"/>
          <w:sz w:val="24"/>
          <w:highlight w:val="none"/>
          <w:vertAlign w:val="superscript"/>
        </w:rPr>
        <w:t>2</w:t>
      </w:r>
      <w:r>
        <w:rPr>
          <w:rFonts w:ascii="Times New Roman" w:hAnsi="Times New Roman"/>
          <w:color w:val="auto"/>
          <w:sz w:val="24"/>
          <w:highlight w:val="none"/>
        </w:rPr>
        <w:t>）×100%。</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调查结果：海丰县建成区面积</w:t>
      </w:r>
      <w:r>
        <w:rPr>
          <w:rFonts w:hint="eastAsia" w:ascii="Times New Roman" w:hAnsi="Times New Roman"/>
          <w:color w:val="auto"/>
          <w:sz w:val="24"/>
          <w:highlight w:val="none"/>
        </w:rPr>
        <w:t>1900</w:t>
      </w:r>
      <w:r>
        <w:rPr>
          <w:rFonts w:ascii="Times New Roman" w:hAnsi="Times New Roman"/>
          <w:color w:val="auto"/>
          <w:sz w:val="24"/>
          <w:highlight w:val="none"/>
        </w:rPr>
        <w:t>公顷，现状绿化覆盖面积456.94公顷，绿化覆盖率16.42%，</w:t>
      </w:r>
      <w:r>
        <w:rPr>
          <w:rFonts w:ascii="Times New Roman" w:hAnsi="Times New Roman"/>
          <w:b/>
          <w:color w:val="auto"/>
          <w:sz w:val="24"/>
          <w:highlight w:val="none"/>
        </w:rPr>
        <w:t>暂不达标。</w:t>
      </w:r>
      <w:r>
        <w:rPr>
          <w:rFonts w:ascii="Times New Roman" w:hAnsi="Times New Roman"/>
          <w:bCs/>
          <w:color w:val="auto"/>
          <w:sz w:val="24"/>
          <w:highlight w:val="none"/>
        </w:rPr>
        <w:t>经重新规划建设后，</w:t>
      </w:r>
      <w:r>
        <w:rPr>
          <w:rFonts w:ascii="Times New Roman" w:hAnsi="Times New Roman"/>
          <w:color w:val="auto"/>
          <w:sz w:val="24"/>
          <w:highlight w:val="none"/>
        </w:rPr>
        <w:t>建成区面积</w:t>
      </w:r>
      <w:r>
        <w:rPr>
          <w:rFonts w:hint="eastAsia" w:ascii="Times New Roman" w:hAnsi="Times New Roman"/>
          <w:color w:val="auto"/>
          <w:sz w:val="24"/>
          <w:highlight w:val="none"/>
        </w:rPr>
        <w:t>27</w:t>
      </w:r>
      <w:r>
        <w:rPr>
          <w:rFonts w:ascii="Times New Roman" w:hAnsi="Times New Roman"/>
          <w:color w:val="auto"/>
          <w:sz w:val="24"/>
          <w:highlight w:val="none"/>
        </w:rPr>
        <w:t>0</w:t>
      </w:r>
      <w:r>
        <w:rPr>
          <w:rFonts w:hint="eastAsia" w:ascii="Times New Roman" w:hAnsi="Times New Roman"/>
          <w:color w:val="auto"/>
          <w:sz w:val="24"/>
          <w:highlight w:val="none"/>
        </w:rPr>
        <w:t>0</w:t>
      </w:r>
      <w:r>
        <w:rPr>
          <w:rFonts w:ascii="Times New Roman" w:hAnsi="Times New Roman"/>
          <w:color w:val="auto"/>
          <w:sz w:val="24"/>
          <w:highlight w:val="none"/>
        </w:rPr>
        <w:t>公顷</w:t>
      </w:r>
      <w:r>
        <w:rPr>
          <w:rFonts w:hint="eastAsia" w:ascii="Times New Roman" w:hAnsi="Times New Roman"/>
          <w:color w:val="auto"/>
          <w:sz w:val="24"/>
          <w:highlight w:val="none"/>
        </w:rPr>
        <w:t>，</w:t>
      </w:r>
      <w:r>
        <w:rPr>
          <w:rFonts w:ascii="Times New Roman" w:hAnsi="Times New Roman"/>
          <w:bCs/>
          <w:color w:val="auto"/>
          <w:sz w:val="24"/>
          <w:highlight w:val="none"/>
        </w:rPr>
        <w:t>绿化绿化覆盖面积可达1036.81公顷，</w:t>
      </w:r>
      <w:r>
        <w:rPr>
          <w:rFonts w:ascii="Times New Roman" w:hAnsi="Times New Roman"/>
          <w:color w:val="auto"/>
          <w:sz w:val="24"/>
          <w:highlight w:val="none"/>
        </w:rPr>
        <w:t>绿化覆盖率38.4</w:t>
      </w:r>
      <w:r>
        <w:rPr>
          <w:rFonts w:hint="eastAsia" w:ascii="Times New Roman" w:hAnsi="Times New Roman"/>
          <w:color w:val="auto"/>
          <w:sz w:val="24"/>
          <w:highlight w:val="none"/>
        </w:rPr>
        <w:t>0</w:t>
      </w:r>
      <w:r>
        <w:rPr>
          <w:rFonts w:ascii="Times New Roman" w:hAnsi="Times New Roman"/>
          <w:color w:val="auto"/>
          <w:sz w:val="24"/>
          <w:highlight w:val="none"/>
        </w:rPr>
        <w:t>%，达到创省园标准。</w:t>
      </w:r>
    </w:p>
    <w:p>
      <w:pPr>
        <w:spacing w:line="360" w:lineRule="auto"/>
        <w:jc w:val="center"/>
        <w:rPr>
          <w:rFonts w:ascii="Times New Roman" w:hAnsi="Times New Roman"/>
          <w:b/>
          <w:color w:val="auto"/>
          <w:sz w:val="24"/>
          <w:highlight w:val="none"/>
        </w:rPr>
      </w:pPr>
      <w:r>
        <w:rPr>
          <w:rFonts w:ascii="Times New Roman" w:hAnsi="Times New Roman"/>
          <w:b/>
          <w:color w:val="auto"/>
          <w:sz w:val="24"/>
          <w:highlight w:val="none"/>
        </w:rPr>
        <w:t>表2-1 海丰县建成区绿化覆盖率统计表</w:t>
      </w:r>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0"/>
        <w:gridCol w:w="1420"/>
        <w:gridCol w:w="1420"/>
        <w:gridCol w:w="1420"/>
        <w:gridCol w:w="1421"/>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center"/>
          </w:tcPr>
          <w:p>
            <w:pPr>
              <w:jc w:val="center"/>
              <w:rPr>
                <w:rFonts w:ascii="Times New Roman" w:hAnsi="Times New Roman"/>
                <w:b/>
                <w:color w:val="auto"/>
                <w:szCs w:val="21"/>
                <w:highlight w:val="none"/>
              </w:rPr>
            </w:pPr>
            <w:r>
              <w:rPr>
                <w:rFonts w:ascii="Times New Roman" w:hAnsi="Times New Roman"/>
                <w:b/>
                <w:color w:val="auto"/>
                <w:szCs w:val="21"/>
                <w:highlight w:val="none"/>
              </w:rPr>
              <w:t>序号</w:t>
            </w:r>
          </w:p>
        </w:tc>
        <w:tc>
          <w:tcPr>
            <w:tcW w:w="1420" w:type="dxa"/>
            <w:vAlign w:val="center"/>
          </w:tcPr>
          <w:p>
            <w:pPr>
              <w:jc w:val="center"/>
              <w:rPr>
                <w:rFonts w:ascii="Times New Roman" w:hAnsi="Times New Roman"/>
                <w:b/>
                <w:color w:val="auto"/>
                <w:szCs w:val="21"/>
                <w:highlight w:val="none"/>
              </w:rPr>
            </w:pPr>
            <w:r>
              <w:rPr>
                <w:rFonts w:ascii="Times New Roman" w:hAnsi="Times New Roman"/>
                <w:b/>
                <w:color w:val="auto"/>
                <w:szCs w:val="21"/>
                <w:highlight w:val="none"/>
              </w:rPr>
              <w:t>状态</w:t>
            </w:r>
          </w:p>
        </w:tc>
        <w:tc>
          <w:tcPr>
            <w:tcW w:w="1420" w:type="dxa"/>
            <w:vAlign w:val="center"/>
          </w:tcPr>
          <w:p>
            <w:pPr>
              <w:jc w:val="center"/>
              <w:rPr>
                <w:rFonts w:ascii="Times New Roman" w:hAnsi="Times New Roman"/>
                <w:color w:val="auto"/>
                <w:highlight w:val="none"/>
              </w:rPr>
            </w:pPr>
            <w:r>
              <w:rPr>
                <w:rFonts w:ascii="Times New Roman" w:hAnsi="Times New Roman"/>
                <w:b/>
                <w:color w:val="auto"/>
                <w:szCs w:val="21"/>
                <w:highlight w:val="none"/>
              </w:rPr>
              <w:t>行政区</w:t>
            </w:r>
          </w:p>
        </w:tc>
        <w:tc>
          <w:tcPr>
            <w:tcW w:w="1420" w:type="dxa"/>
            <w:vAlign w:val="center"/>
          </w:tcPr>
          <w:p>
            <w:pPr>
              <w:jc w:val="center"/>
              <w:rPr>
                <w:rFonts w:ascii="Times New Roman" w:hAnsi="Times New Roman"/>
                <w:b/>
                <w:color w:val="auto"/>
                <w:szCs w:val="21"/>
                <w:highlight w:val="none"/>
              </w:rPr>
            </w:pPr>
            <w:r>
              <w:rPr>
                <w:rFonts w:ascii="Times New Roman" w:hAnsi="Times New Roman"/>
                <w:b/>
                <w:color w:val="auto"/>
                <w:szCs w:val="21"/>
                <w:highlight w:val="none"/>
              </w:rPr>
              <w:t>建成区面积</w:t>
            </w:r>
          </w:p>
          <w:p>
            <w:pPr>
              <w:jc w:val="center"/>
              <w:rPr>
                <w:rFonts w:ascii="Times New Roman" w:hAnsi="Times New Roman"/>
                <w:b/>
                <w:color w:val="auto"/>
                <w:szCs w:val="21"/>
                <w:highlight w:val="none"/>
              </w:rPr>
            </w:pPr>
            <w:r>
              <w:rPr>
                <w:rFonts w:ascii="Times New Roman" w:hAnsi="Times New Roman"/>
                <w:b/>
                <w:color w:val="auto"/>
                <w:szCs w:val="21"/>
                <w:highlight w:val="none"/>
              </w:rPr>
              <w:t>（hm）</w:t>
            </w:r>
          </w:p>
        </w:tc>
        <w:tc>
          <w:tcPr>
            <w:tcW w:w="1421" w:type="dxa"/>
            <w:vAlign w:val="center"/>
          </w:tcPr>
          <w:p>
            <w:pPr>
              <w:jc w:val="center"/>
              <w:rPr>
                <w:rFonts w:ascii="Times New Roman" w:hAnsi="Times New Roman"/>
                <w:b/>
                <w:color w:val="auto"/>
                <w:szCs w:val="21"/>
                <w:highlight w:val="none"/>
              </w:rPr>
            </w:pPr>
            <w:r>
              <w:rPr>
                <w:rFonts w:ascii="Times New Roman" w:hAnsi="Times New Roman"/>
                <w:b/>
                <w:color w:val="auto"/>
                <w:szCs w:val="21"/>
                <w:highlight w:val="none"/>
              </w:rPr>
              <w:t>绿化覆盖面积（hm）</w:t>
            </w:r>
          </w:p>
        </w:tc>
        <w:tc>
          <w:tcPr>
            <w:tcW w:w="1421" w:type="dxa"/>
            <w:vAlign w:val="center"/>
          </w:tcPr>
          <w:p>
            <w:pPr>
              <w:jc w:val="center"/>
              <w:rPr>
                <w:rFonts w:ascii="Times New Roman" w:hAnsi="Times New Roman"/>
                <w:b/>
                <w:color w:val="auto"/>
                <w:szCs w:val="21"/>
                <w:highlight w:val="none"/>
              </w:rPr>
            </w:pPr>
            <w:r>
              <w:rPr>
                <w:rFonts w:ascii="Times New Roman" w:hAnsi="Times New Roman"/>
                <w:b/>
                <w:color w:val="auto"/>
                <w:szCs w:val="21"/>
                <w:highlight w:val="none"/>
              </w:rPr>
              <w:t>绿化覆盖率</w:t>
            </w:r>
          </w:p>
          <w:p>
            <w:pPr>
              <w:jc w:val="center"/>
              <w:rPr>
                <w:rFonts w:ascii="Times New Roman" w:hAnsi="Times New Roman"/>
                <w:b/>
                <w:color w:val="auto"/>
                <w:szCs w:val="21"/>
                <w:highlight w:val="none"/>
              </w:rPr>
            </w:pPr>
            <w:r>
              <w:rPr>
                <w:rFonts w:ascii="Times New Roman" w:hAnsi="Times New Roman"/>
                <w:b/>
                <w:color w:val="auto"/>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Times New Roman" w:hAnsi="Times New Roman"/>
                <w:color w:val="auto"/>
                <w:szCs w:val="21"/>
                <w:highlight w:val="none"/>
              </w:rPr>
            </w:pPr>
            <w:r>
              <w:rPr>
                <w:rFonts w:ascii="Times New Roman" w:hAnsi="Times New Roman"/>
                <w:color w:val="auto"/>
                <w:szCs w:val="21"/>
                <w:highlight w:val="none"/>
              </w:rPr>
              <w:t>1</w:t>
            </w:r>
          </w:p>
        </w:tc>
        <w:tc>
          <w:tcPr>
            <w:tcW w:w="1420" w:type="dxa"/>
          </w:tcPr>
          <w:p>
            <w:pPr>
              <w:jc w:val="center"/>
              <w:rPr>
                <w:rFonts w:ascii="Times New Roman" w:hAnsi="Times New Roman"/>
                <w:color w:val="auto"/>
                <w:szCs w:val="21"/>
                <w:highlight w:val="none"/>
              </w:rPr>
            </w:pPr>
            <w:r>
              <w:rPr>
                <w:rFonts w:ascii="Times New Roman" w:hAnsi="Times New Roman"/>
                <w:color w:val="auto"/>
                <w:szCs w:val="21"/>
                <w:highlight w:val="none"/>
              </w:rPr>
              <w:t>现状</w:t>
            </w:r>
          </w:p>
        </w:tc>
        <w:tc>
          <w:tcPr>
            <w:tcW w:w="1420" w:type="dxa"/>
          </w:tcPr>
          <w:p>
            <w:pPr>
              <w:jc w:val="center"/>
              <w:rPr>
                <w:rFonts w:ascii="Times New Roman" w:hAnsi="Times New Roman"/>
                <w:color w:val="auto"/>
                <w:highlight w:val="none"/>
              </w:rPr>
            </w:pPr>
            <w:r>
              <w:rPr>
                <w:rFonts w:ascii="Times New Roman" w:hAnsi="Times New Roman"/>
                <w:color w:val="auto"/>
                <w:szCs w:val="21"/>
                <w:highlight w:val="none"/>
              </w:rPr>
              <w:t>海丰县</w:t>
            </w:r>
          </w:p>
        </w:tc>
        <w:tc>
          <w:tcPr>
            <w:tcW w:w="1420" w:type="dxa"/>
          </w:tcPr>
          <w:p>
            <w:pPr>
              <w:jc w:val="center"/>
              <w:rPr>
                <w:rFonts w:ascii="Times New Roman" w:hAnsi="Times New Roman"/>
                <w:color w:val="auto"/>
                <w:szCs w:val="21"/>
                <w:highlight w:val="none"/>
              </w:rPr>
            </w:pPr>
            <w:r>
              <w:rPr>
                <w:rFonts w:ascii="Times New Roman" w:hAnsi="Times New Roman"/>
                <w:color w:val="auto"/>
                <w:szCs w:val="21"/>
                <w:highlight w:val="none"/>
              </w:rPr>
              <w:t>190</w:t>
            </w:r>
            <w:r>
              <w:rPr>
                <w:rFonts w:hint="eastAsia" w:ascii="Times New Roman" w:hAnsi="Times New Roman"/>
                <w:color w:val="auto"/>
                <w:szCs w:val="21"/>
                <w:highlight w:val="none"/>
              </w:rPr>
              <w:t>0</w:t>
            </w:r>
            <w:r>
              <w:rPr>
                <w:rFonts w:ascii="Times New Roman" w:hAnsi="Times New Roman"/>
                <w:color w:val="auto"/>
                <w:szCs w:val="21"/>
                <w:highlight w:val="none"/>
              </w:rPr>
              <w:t>.00</w:t>
            </w:r>
          </w:p>
        </w:tc>
        <w:tc>
          <w:tcPr>
            <w:tcW w:w="1421" w:type="dxa"/>
          </w:tcPr>
          <w:p>
            <w:pPr>
              <w:jc w:val="center"/>
              <w:rPr>
                <w:rFonts w:ascii="Times New Roman" w:hAnsi="Times New Roman"/>
                <w:color w:val="auto"/>
                <w:szCs w:val="21"/>
                <w:highlight w:val="none"/>
              </w:rPr>
            </w:pPr>
            <w:r>
              <w:rPr>
                <w:rFonts w:ascii="Times New Roman" w:hAnsi="Times New Roman"/>
                <w:color w:val="auto"/>
                <w:szCs w:val="21"/>
                <w:highlight w:val="none"/>
              </w:rPr>
              <w:t>311.95</w:t>
            </w:r>
          </w:p>
        </w:tc>
        <w:tc>
          <w:tcPr>
            <w:tcW w:w="1421" w:type="dxa"/>
          </w:tcPr>
          <w:p>
            <w:pPr>
              <w:jc w:val="center"/>
              <w:rPr>
                <w:rFonts w:ascii="Times New Roman" w:hAnsi="Times New Roman"/>
                <w:color w:val="auto"/>
                <w:szCs w:val="21"/>
                <w:highlight w:val="none"/>
              </w:rPr>
            </w:pPr>
            <w:r>
              <w:rPr>
                <w:rFonts w:ascii="Times New Roman" w:hAnsi="Times New Roman"/>
                <w:color w:val="auto"/>
                <w:szCs w:val="21"/>
                <w:highlight w:val="none"/>
              </w:rPr>
              <w:t>23.94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Times New Roman" w:hAnsi="Times New Roman"/>
                <w:color w:val="auto"/>
                <w:szCs w:val="21"/>
                <w:highlight w:val="none"/>
              </w:rPr>
            </w:pPr>
            <w:r>
              <w:rPr>
                <w:rFonts w:ascii="Times New Roman" w:hAnsi="Times New Roman"/>
                <w:color w:val="auto"/>
                <w:szCs w:val="21"/>
                <w:highlight w:val="none"/>
              </w:rPr>
              <w:t>2</w:t>
            </w:r>
          </w:p>
        </w:tc>
        <w:tc>
          <w:tcPr>
            <w:tcW w:w="1420" w:type="dxa"/>
          </w:tcPr>
          <w:p>
            <w:pPr>
              <w:jc w:val="center"/>
              <w:rPr>
                <w:rFonts w:ascii="Times New Roman" w:hAnsi="Times New Roman"/>
                <w:color w:val="auto"/>
                <w:szCs w:val="21"/>
                <w:highlight w:val="none"/>
              </w:rPr>
            </w:pPr>
            <w:r>
              <w:rPr>
                <w:rFonts w:ascii="Times New Roman" w:hAnsi="Times New Roman"/>
                <w:color w:val="auto"/>
                <w:szCs w:val="21"/>
                <w:highlight w:val="none"/>
              </w:rPr>
              <w:t>规划建设后</w:t>
            </w:r>
          </w:p>
        </w:tc>
        <w:tc>
          <w:tcPr>
            <w:tcW w:w="1420" w:type="dxa"/>
          </w:tcPr>
          <w:p>
            <w:pPr>
              <w:jc w:val="center"/>
              <w:rPr>
                <w:rFonts w:ascii="Times New Roman" w:hAnsi="Times New Roman"/>
                <w:color w:val="auto"/>
                <w:szCs w:val="21"/>
                <w:highlight w:val="none"/>
              </w:rPr>
            </w:pPr>
            <w:r>
              <w:rPr>
                <w:rFonts w:ascii="Times New Roman" w:hAnsi="Times New Roman"/>
                <w:color w:val="auto"/>
                <w:szCs w:val="21"/>
                <w:highlight w:val="none"/>
              </w:rPr>
              <w:t>海丰县</w:t>
            </w:r>
          </w:p>
        </w:tc>
        <w:tc>
          <w:tcPr>
            <w:tcW w:w="1420" w:type="dxa"/>
          </w:tcPr>
          <w:p>
            <w:pPr>
              <w:jc w:val="center"/>
              <w:rPr>
                <w:rFonts w:ascii="Times New Roman" w:hAnsi="Times New Roman"/>
                <w:color w:val="auto"/>
                <w:szCs w:val="21"/>
                <w:highlight w:val="none"/>
              </w:rPr>
            </w:pPr>
            <w:r>
              <w:rPr>
                <w:rFonts w:hint="eastAsia" w:ascii="Times New Roman" w:hAnsi="Times New Roman"/>
                <w:color w:val="auto"/>
                <w:szCs w:val="21"/>
                <w:highlight w:val="none"/>
              </w:rPr>
              <w:t>2700</w:t>
            </w:r>
            <w:r>
              <w:rPr>
                <w:rFonts w:ascii="Times New Roman" w:hAnsi="Times New Roman"/>
                <w:color w:val="auto"/>
                <w:szCs w:val="21"/>
                <w:highlight w:val="none"/>
              </w:rPr>
              <w:t>.00</w:t>
            </w:r>
          </w:p>
        </w:tc>
        <w:tc>
          <w:tcPr>
            <w:tcW w:w="1421" w:type="dxa"/>
          </w:tcPr>
          <w:p>
            <w:pPr>
              <w:jc w:val="center"/>
              <w:rPr>
                <w:rFonts w:ascii="Times New Roman" w:hAnsi="Times New Roman"/>
                <w:color w:val="auto"/>
                <w:szCs w:val="21"/>
                <w:highlight w:val="none"/>
              </w:rPr>
            </w:pPr>
            <w:r>
              <w:rPr>
                <w:rFonts w:ascii="Times New Roman" w:hAnsi="Times New Roman"/>
                <w:color w:val="auto"/>
                <w:szCs w:val="21"/>
                <w:highlight w:val="none"/>
              </w:rPr>
              <w:t>1036.81</w:t>
            </w:r>
          </w:p>
        </w:tc>
        <w:tc>
          <w:tcPr>
            <w:tcW w:w="1421" w:type="dxa"/>
          </w:tcPr>
          <w:p>
            <w:pPr>
              <w:jc w:val="center"/>
              <w:rPr>
                <w:rFonts w:ascii="Times New Roman" w:hAnsi="Times New Roman"/>
                <w:color w:val="auto"/>
                <w:szCs w:val="21"/>
                <w:highlight w:val="none"/>
              </w:rPr>
            </w:pPr>
            <w:r>
              <w:rPr>
                <w:rFonts w:ascii="Times New Roman" w:hAnsi="Times New Roman"/>
                <w:color w:val="auto"/>
                <w:szCs w:val="21"/>
                <w:highlight w:val="none"/>
              </w:rPr>
              <w:t>38.4</w:t>
            </w:r>
            <w:r>
              <w:rPr>
                <w:rFonts w:hint="eastAsia" w:ascii="Times New Roman" w:hAnsi="Times New Roman"/>
                <w:color w:val="auto"/>
                <w:szCs w:val="21"/>
                <w:highlight w:val="none"/>
              </w:rPr>
              <w:t>0</w:t>
            </w:r>
          </w:p>
        </w:tc>
      </w:tr>
    </w:tbl>
    <w:p>
      <w:pPr>
        <w:spacing w:line="360" w:lineRule="auto"/>
        <w:rPr>
          <w:rFonts w:ascii="Times New Roman" w:hAnsi="Times New Roman"/>
          <w:color w:val="auto"/>
          <w:sz w:val="24"/>
          <w:highlight w:val="none"/>
        </w:rPr>
      </w:pPr>
    </w:p>
    <w:p>
      <w:pPr>
        <w:spacing w:line="360" w:lineRule="auto"/>
        <w:jc w:val="center"/>
        <w:rPr>
          <w:rFonts w:ascii="Times New Roman" w:hAnsi="Times New Roman"/>
          <w:b/>
          <w:color w:val="auto"/>
          <w:sz w:val="24"/>
          <w:highlight w:val="none"/>
        </w:rPr>
      </w:pPr>
      <w:r>
        <w:rPr>
          <w:rFonts w:ascii="Times New Roman" w:hAnsi="Times New Roman"/>
          <w:b/>
          <w:color w:val="auto"/>
          <w:sz w:val="24"/>
          <w:highlight w:val="none"/>
        </w:rPr>
        <w:t>表2-2 海丰县建成区各类绿地绿化覆盖面积明细表</w:t>
      </w:r>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1"/>
        <w:gridCol w:w="1688"/>
        <w:gridCol w:w="1020"/>
        <w:gridCol w:w="1020"/>
        <w:gridCol w:w="1020"/>
        <w:gridCol w:w="1020"/>
        <w:gridCol w:w="1020"/>
        <w:gridCol w:w="10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vAlign w:val="center"/>
          </w:tcPr>
          <w:p>
            <w:pPr>
              <w:jc w:val="center"/>
              <w:rPr>
                <w:rFonts w:ascii="Times New Roman" w:hAnsi="Times New Roman"/>
                <w:b/>
                <w:color w:val="auto"/>
                <w:szCs w:val="21"/>
                <w:highlight w:val="none"/>
              </w:rPr>
            </w:pPr>
            <w:r>
              <w:rPr>
                <w:rFonts w:ascii="Times New Roman" w:hAnsi="Times New Roman"/>
                <w:b/>
                <w:color w:val="auto"/>
                <w:szCs w:val="21"/>
                <w:highlight w:val="none"/>
              </w:rPr>
              <w:t>序号</w:t>
            </w:r>
          </w:p>
        </w:tc>
        <w:tc>
          <w:tcPr>
            <w:tcW w:w="1688" w:type="dxa"/>
            <w:vAlign w:val="center"/>
          </w:tcPr>
          <w:p>
            <w:pPr>
              <w:jc w:val="center"/>
              <w:rPr>
                <w:rFonts w:ascii="Times New Roman" w:hAnsi="Times New Roman"/>
                <w:b/>
                <w:color w:val="auto"/>
                <w:szCs w:val="21"/>
                <w:highlight w:val="none"/>
              </w:rPr>
            </w:pPr>
            <w:r>
              <w:rPr>
                <w:rFonts w:ascii="Times New Roman" w:hAnsi="Times New Roman"/>
                <w:b/>
                <w:color w:val="auto"/>
                <w:szCs w:val="21"/>
                <w:highlight w:val="none"/>
              </w:rPr>
              <w:t>类别</w:t>
            </w:r>
          </w:p>
        </w:tc>
        <w:tc>
          <w:tcPr>
            <w:tcW w:w="1020" w:type="dxa"/>
            <w:vAlign w:val="center"/>
          </w:tcPr>
          <w:p>
            <w:pPr>
              <w:jc w:val="center"/>
              <w:rPr>
                <w:rFonts w:ascii="Times New Roman" w:hAnsi="Times New Roman"/>
                <w:b/>
                <w:color w:val="auto"/>
                <w:szCs w:val="21"/>
                <w:highlight w:val="none"/>
              </w:rPr>
            </w:pPr>
            <w:r>
              <w:rPr>
                <w:rFonts w:ascii="Times New Roman" w:hAnsi="Times New Roman"/>
                <w:b/>
                <w:color w:val="auto"/>
                <w:szCs w:val="21"/>
                <w:highlight w:val="none"/>
              </w:rPr>
              <w:t>公园绿地</w:t>
            </w:r>
          </w:p>
        </w:tc>
        <w:tc>
          <w:tcPr>
            <w:tcW w:w="1020" w:type="dxa"/>
            <w:vAlign w:val="center"/>
          </w:tcPr>
          <w:p>
            <w:pPr>
              <w:jc w:val="center"/>
              <w:rPr>
                <w:rFonts w:ascii="Times New Roman" w:hAnsi="Times New Roman"/>
                <w:b/>
                <w:color w:val="auto"/>
                <w:szCs w:val="21"/>
                <w:highlight w:val="none"/>
              </w:rPr>
            </w:pPr>
            <w:r>
              <w:rPr>
                <w:rFonts w:ascii="Times New Roman" w:hAnsi="Times New Roman"/>
                <w:b/>
                <w:color w:val="auto"/>
                <w:szCs w:val="21"/>
                <w:highlight w:val="none"/>
              </w:rPr>
              <w:t>广场绿地</w:t>
            </w:r>
          </w:p>
        </w:tc>
        <w:tc>
          <w:tcPr>
            <w:tcW w:w="1020" w:type="dxa"/>
            <w:vAlign w:val="center"/>
          </w:tcPr>
          <w:p>
            <w:pPr>
              <w:jc w:val="center"/>
              <w:rPr>
                <w:rFonts w:ascii="Times New Roman" w:hAnsi="Times New Roman"/>
                <w:b/>
                <w:color w:val="auto"/>
                <w:szCs w:val="21"/>
                <w:highlight w:val="none"/>
              </w:rPr>
            </w:pPr>
            <w:r>
              <w:rPr>
                <w:rFonts w:ascii="Times New Roman" w:hAnsi="Times New Roman"/>
                <w:b/>
                <w:color w:val="auto"/>
                <w:szCs w:val="21"/>
                <w:highlight w:val="none"/>
              </w:rPr>
              <w:t>防护绿地</w:t>
            </w:r>
          </w:p>
        </w:tc>
        <w:tc>
          <w:tcPr>
            <w:tcW w:w="1020" w:type="dxa"/>
            <w:vAlign w:val="center"/>
          </w:tcPr>
          <w:p>
            <w:pPr>
              <w:jc w:val="center"/>
              <w:rPr>
                <w:rFonts w:ascii="Times New Roman" w:hAnsi="Times New Roman"/>
                <w:b/>
                <w:color w:val="auto"/>
                <w:szCs w:val="21"/>
                <w:highlight w:val="none"/>
              </w:rPr>
            </w:pPr>
            <w:r>
              <w:rPr>
                <w:rFonts w:ascii="Times New Roman" w:hAnsi="Times New Roman"/>
                <w:b/>
                <w:color w:val="auto"/>
                <w:szCs w:val="21"/>
                <w:highlight w:val="none"/>
              </w:rPr>
              <w:t>附属绿地</w:t>
            </w:r>
          </w:p>
        </w:tc>
        <w:tc>
          <w:tcPr>
            <w:tcW w:w="1020" w:type="dxa"/>
            <w:vAlign w:val="center"/>
          </w:tcPr>
          <w:p>
            <w:pPr>
              <w:jc w:val="center"/>
              <w:rPr>
                <w:rFonts w:ascii="Times New Roman" w:hAnsi="Times New Roman"/>
                <w:b/>
                <w:color w:val="auto"/>
                <w:szCs w:val="21"/>
                <w:highlight w:val="none"/>
              </w:rPr>
            </w:pPr>
            <w:r>
              <w:rPr>
                <w:rFonts w:ascii="Times New Roman" w:hAnsi="Times New Roman"/>
                <w:b/>
                <w:color w:val="auto"/>
                <w:szCs w:val="21"/>
                <w:highlight w:val="none"/>
              </w:rPr>
              <w:t>区域绿地</w:t>
            </w:r>
          </w:p>
        </w:tc>
        <w:tc>
          <w:tcPr>
            <w:tcW w:w="1023" w:type="dxa"/>
            <w:vAlign w:val="center"/>
          </w:tcPr>
          <w:p>
            <w:pPr>
              <w:jc w:val="center"/>
              <w:rPr>
                <w:rFonts w:ascii="Times New Roman" w:hAnsi="Times New Roman"/>
                <w:b/>
                <w:color w:val="auto"/>
                <w:szCs w:val="21"/>
                <w:highlight w:val="none"/>
              </w:rPr>
            </w:pPr>
            <w:r>
              <w:rPr>
                <w:rFonts w:ascii="Times New Roman" w:hAnsi="Times New Roman"/>
                <w:b/>
                <w:color w:val="auto"/>
                <w:szCs w:val="21"/>
                <w:highlight w:val="none"/>
              </w:rPr>
              <w:t>合计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w:t>
            </w:r>
          </w:p>
        </w:tc>
        <w:tc>
          <w:tcPr>
            <w:tcW w:w="1688"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现状绿化覆盖面积（hm）</w:t>
            </w:r>
          </w:p>
        </w:tc>
        <w:tc>
          <w:tcPr>
            <w:tcW w:w="1020" w:type="dxa"/>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 xml:space="preserve">36.74 </w:t>
            </w:r>
          </w:p>
        </w:tc>
        <w:tc>
          <w:tcPr>
            <w:tcW w:w="1020" w:type="dxa"/>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 xml:space="preserve">4.13 </w:t>
            </w:r>
          </w:p>
        </w:tc>
        <w:tc>
          <w:tcPr>
            <w:tcW w:w="1020" w:type="dxa"/>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 xml:space="preserve">8.60  </w:t>
            </w:r>
          </w:p>
        </w:tc>
        <w:tc>
          <w:tcPr>
            <w:tcW w:w="1020" w:type="dxa"/>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 xml:space="preserve">186.25 </w:t>
            </w:r>
          </w:p>
        </w:tc>
        <w:tc>
          <w:tcPr>
            <w:tcW w:w="1020" w:type="dxa"/>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 xml:space="preserve">33.20 </w:t>
            </w:r>
          </w:p>
        </w:tc>
        <w:tc>
          <w:tcPr>
            <w:tcW w:w="1023" w:type="dxa"/>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 xml:space="preserve">268.92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w:t>
            </w:r>
          </w:p>
        </w:tc>
        <w:tc>
          <w:tcPr>
            <w:tcW w:w="1688"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重新规划后绿化覆盖面积（hm）</w:t>
            </w:r>
          </w:p>
        </w:tc>
        <w:tc>
          <w:tcPr>
            <w:tcW w:w="1020" w:type="dxa"/>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 xml:space="preserve">267.73  </w:t>
            </w:r>
          </w:p>
        </w:tc>
        <w:tc>
          <w:tcPr>
            <w:tcW w:w="1020" w:type="dxa"/>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0.63</w:t>
            </w:r>
          </w:p>
        </w:tc>
        <w:tc>
          <w:tcPr>
            <w:tcW w:w="1020" w:type="dxa"/>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368.92</w:t>
            </w:r>
          </w:p>
        </w:tc>
        <w:tc>
          <w:tcPr>
            <w:tcW w:w="1020" w:type="dxa"/>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 xml:space="preserve">314.27  </w:t>
            </w:r>
          </w:p>
        </w:tc>
        <w:tc>
          <w:tcPr>
            <w:tcW w:w="1020" w:type="dxa"/>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 xml:space="preserve">85.27  </w:t>
            </w:r>
          </w:p>
        </w:tc>
        <w:tc>
          <w:tcPr>
            <w:tcW w:w="1023" w:type="dxa"/>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1036.81</w:t>
            </w:r>
          </w:p>
        </w:tc>
      </w:tr>
    </w:tbl>
    <w:p>
      <w:pPr>
        <w:spacing w:line="360" w:lineRule="auto"/>
        <w:rPr>
          <w:rFonts w:ascii="Times New Roman" w:hAnsi="Times New Roman"/>
          <w:color w:val="auto"/>
          <w:sz w:val="24"/>
          <w:highlight w:val="none"/>
        </w:rPr>
      </w:pPr>
    </w:p>
    <w:p>
      <w:pPr>
        <w:pStyle w:val="6"/>
        <w:rPr>
          <w:rFonts w:ascii="Times New Roman" w:hAnsi="Times New Roman"/>
          <w:color w:val="auto"/>
          <w:highlight w:val="none"/>
        </w:rPr>
      </w:pPr>
      <w:bookmarkStart w:id="343" w:name="_Toc60499696"/>
      <w:bookmarkStart w:id="344" w:name="_Toc54451060"/>
      <w:bookmarkStart w:id="345" w:name="_Toc32265"/>
      <w:bookmarkStart w:id="346" w:name="_Toc60776387"/>
      <w:r>
        <w:rPr>
          <w:rFonts w:ascii="Times New Roman" w:hAnsi="Times New Roman"/>
          <w:color w:val="auto"/>
          <w:highlight w:val="none"/>
        </w:rPr>
        <w:t>10、建成区绿地率</w:t>
      </w:r>
      <w:bookmarkEnd w:id="343"/>
      <w:bookmarkEnd w:id="344"/>
      <w:bookmarkEnd w:id="345"/>
      <w:bookmarkEnd w:id="346"/>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指标要求：≥33%。</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计算方法：建成区绿地率（%）=建成区各类城市绿地面积（km</w:t>
      </w:r>
      <w:r>
        <w:rPr>
          <w:rFonts w:ascii="Times New Roman" w:hAnsi="Times New Roman"/>
          <w:color w:val="auto"/>
          <w:sz w:val="24"/>
          <w:highlight w:val="none"/>
          <w:vertAlign w:val="superscript"/>
        </w:rPr>
        <w:t>2</w:t>
      </w:r>
      <w:r>
        <w:rPr>
          <w:rFonts w:ascii="Times New Roman" w:hAnsi="Times New Roman"/>
          <w:color w:val="auto"/>
          <w:sz w:val="24"/>
          <w:highlight w:val="none"/>
        </w:rPr>
        <w:t>）/建成区面积（km</w:t>
      </w:r>
      <w:r>
        <w:rPr>
          <w:rFonts w:ascii="Times New Roman" w:hAnsi="Times New Roman"/>
          <w:color w:val="auto"/>
          <w:sz w:val="24"/>
          <w:highlight w:val="none"/>
          <w:vertAlign w:val="superscript"/>
        </w:rPr>
        <w:t>2</w:t>
      </w:r>
      <w:r>
        <w:rPr>
          <w:rFonts w:ascii="Times New Roman" w:hAnsi="Times New Roman"/>
          <w:color w:val="auto"/>
          <w:sz w:val="24"/>
          <w:highlight w:val="none"/>
        </w:rPr>
        <w:t>）×100%。</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调查结果：海丰县现状建成区面积190</w:t>
      </w:r>
      <w:r>
        <w:rPr>
          <w:rFonts w:hint="eastAsia" w:ascii="Times New Roman" w:hAnsi="Times New Roman"/>
          <w:color w:val="auto"/>
          <w:sz w:val="24"/>
          <w:highlight w:val="none"/>
        </w:rPr>
        <w:t>0</w:t>
      </w:r>
      <w:r>
        <w:rPr>
          <w:rFonts w:ascii="Times New Roman" w:hAnsi="Times New Roman"/>
          <w:color w:val="auto"/>
          <w:sz w:val="24"/>
          <w:highlight w:val="none"/>
        </w:rPr>
        <w:t>公顷，现状绿地面积268.92公顷，绿地率14.15%，</w:t>
      </w:r>
      <w:r>
        <w:rPr>
          <w:rFonts w:ascii="Times New Roman" w:hAnsi="Times New Roman"/>
          <w:b/>
          <w:color w:val="auto"/>
          <w:sz w:val="24"/>
          <w:highlight w:val="none"/>
        </w:rPr>
        <w:t>暂不达标</w:t>
      </w:r>
      <w:r>
        <w:rPr>
          <w:rFonts w:ascii="Times New Roman" w:hAnsi="Times New Roman"/>
          <w:color w:val="auto"/>
          <w:sz w:val="24"/>
          <w:highlight w:val="none"/>
        </w:rPr>
        <w:t>。重新规划建设后，建成区面积</w:t>
      </w:r>
      <w:r>
        <w:rPr>
          <w:rFonts w:hint="eastAsia" w:ascii="Times New Roman" w:hAnsi="Times New Roman"/>
          <w:color w:val="auto"/>
          <w:sz w:val="24"/>
          <w:highlight w:val="none"/>
        </w:rPr>
        <w:t>27</w:t>
      </w:r>
      <w:r>
        <w:rPr>
          <w:rFonts w:ascii="Times New Roman" w:hAnsi="Times New Roman"/>
          <w:color w:val="auto"/>
          <w:sz w:val="24"/>
          <w:highlight w:val="none"/>
        </w:rPr>
        <w:t>0</w:t>
      </w:r>
      <w:r>
        <w:rPr>
          <w:rFonts w:hint="eastAsia" w:ascii="Times New Roman" w:hAnsi="Times New Roman"/>
          <w:color w:val="auto"/>
          <w:sz w:val="24"/>
          <w:highlight w:val="none"/>
        </w:rPr>
        <w:t>0</w:t>
      </w:r>
      <w:r>
        <w:rPr>
          <w:rFonts w:ascii="Times New Roman" w:hAnsi="Times New Roman"/>
          <w:color w:val="auto"/>
          <w:sz w:val="24"/>
          <w:highlight w:val="none"/>
        </w:rPr>
        <w:t>公顷</w:t>
      </w:r>
      <w:r>
        <w:rPr>
          <w:rFonts w:hint="eastAsia" w:ascii="Times New Roman" w:hAnsi="Times New Roman"/>
          <w:color w:val="auto"/>
          <w:sz w:val="24"/>
          <w:highlight w:val="none"/>
        </w:rPr>
        <w:t>，</w:t>
      </w:r>
      <w:r>
        <w:rPr>
          <w:rFonts w:ascii="Times New Roman" w:hAnsi="Times New Roman"/>
          <w:color w:val="auto"/>
          <w:sz w:val="24"/>
          <w:highlight w:val="none"/>
        </w:rPr>
        <w:t>建成区绿地面积938.24公顷，绿地率34.75%，达到创省园标准。</w:t>
      </w:r>
    </w:p>
    <w:p>
      <w:pPr>
        <w:spacing w:line="360" w:lineRule="auto"/>
        <w:jc w:val="center"/>
        <w:rPr>
          <w:rFonts w:ascii="Times New Roman" w:hAnsi="Times New Roman"/>
          <w:b/>
          <w:color w:val="auto"/>
          <w:sz w:val="24"/>
          <w:highlight w:val="none"/>
        </w:rPr>
      </w:pPr>
      <w:r>
        <w:rPr>
          <w:rFonts w:ascii="Times New Roman" w:hAnsi="Times New Roman"/>
          <w:b/>
          <w:color w:val="auto"/>
          <w:sz w:val="24"/>
          <w:highlight w:val="none"/>
        </w:rPr>
        <w:t>表2-</w:t>
      </w:r>
      <w:r>
        <w:rPr>
          <w:rFonts w:hint="eastAsia" w:ascii="Times New Roman" w:hAnsi="Times New Roman"/>
          <w:b/>
          <w:color w:val="auto"/>
          <w:sz w:val="24"/>
          <w:highlight w:val="none"/>
        </w:rPr>
        <w:t>3</w:t>
      </w:r>
      <w:r>
        <w:rPr>
          <w:rFonts w:ascii="Times New Roman" w:hAnsi="Times New Roman"/>
          <w:b/>
          <w:color w:val="auto"/>
          <w:sz w:val="24"/>
          <w:highlight w:val="none"/>
        </w:rPr>
        <w:t xml:space="preserve"> 海丰县建成区绿化覆盖率统计表</w:t>
      </w:r>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0"/>
        <w:gridCol w:w="1420"/>
        <w:gridCol w:w="1420"/>
        <w:gridCol w:w="1420"/>
        <w:gridCol w:w="1421"/>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center"/>
          </w:tcPr>
          <w:p>
            <w:pPr>
              <w:jc w:val="center"/>
              <w:rPr>
                <w:rFonts w:ascii="Times New Roman" w:hAnsi="Times New Roman"/>
                <w:b/>
                <w:color w:val="auto"/>
                <w:szCs w:val="21"/>
                <w:highlight w:val="none"/>
              </w:rPr>
            </w:pPr>
            <w:r>
              <w:rPr>
                <w:rFonts w:ascii="Times New Roman" w:hAnsi="Times New Roman"/>
                <w:b/>
                <w:color w:val="auto"/>
                <w:szCs w:val="21"/>
                <w:highlight w:val="none"/>
              </w:rPr>
              <w:t>序号</w:t>
            </w:r>
          </w:p>
        </w:tc>
        <w:tc>
          <w:tcPr>
            <w:tcW w:w="1420" w:type="dxa"/>
            <w:vAlign w:val="center"/>
          </w:tcPr>
          <w:p>
            <w:pPr>
              <w:jc w:val="center"/>
              <w:rPr>
                <w:rFonts w:ascii="Times New Roman" w:hAnsi="Times New Roman"/>
                <w:b/>
                <w:color w:val="auto"/>
                <w:szCs w:val="21"/>
                <w:highlight w:val="none"/>
              </w:rPr>
            </w:pPr>
            <w:r>
              <w:rPr>
                <w:rFonts w:ascii="Times New Roman" w:hAnsi="Times New Roman"/>
                <w:b/>
                <w:color w:val="auto"/>
                <w:szCs w:val="21"/>
                <w:highlight w:val="none"/>
              </w:rPr>
              <w:t>状态</w:t>
            </w:r>
          </w:p>
        </w:tc>
        <w:tc>
          <w:tcPr>
            <w:tcW w:w="1420" w:type="dxa"/>
            <w:vAlign w:val="center"/>
          </w:tcPr>
          <w:p>
            <w:pPr>
              <w:jc w:val="center"/>
              <w:rPr>
                <w:rFonts w:ascii="Times New Roman" w:hAnsi="Times New Roman"/>
                <w:color w:val="auto"/>
                <w:highlight w:val="none"/>
              </w:rPr>
            </w:pPr>
            <w:r>
              <w:rPr>
                <w:rFonts w:ascii="Times New Roman" w:hAnsi="Times New Roman"/>
                <w:b/>
                <w:color w:val="auto"/>
                <w:szCs w:val="21"/>
                <w:highlight w:val="none"/>
              </w:rPr>
              <w:t>行政区</w:t>
            </w:r>
          </w:p>
        </w:tc>
        <w:tc>
          <w:tcPr>
            <w:tcW w:w="1420" w:type="dxa"/>
            <w:vAlign w:val="center"/>
          </w:tcPr>
          <w:p>
            <w:pPr>
              <w:jc w:val="center"/>
              <w:rPr>
                <w:rFonts w:ascii="Times New Roman" w:hAnsi="Times New Roman"/>
                <w:b/>
                <w:color w:val="auto"/>
                <w:szCs w:val="21"/>
                <w:highlight w:val="none"/>
              </w:rPr>
            </w:pPr>
            <w:r>
              <w:rPr>
                <w:rFonts w:ascii="Times New Roman" w:hAnsi="Times New Roman"/>
                <w:b/>
                <w:color w:val="auto"/>
                <w:szCs w:val="21"/>
                <w:highlight w:val="none"/>
              </w:rPr>
              <w:t>建成区面积</w:t>
            </w:r>
          </w:p>
          <w:p>
            <w:pPr>
              <w:jc w:val="center"/>
              <w:rPr>
                <w:rFonts w:ascii="Times New Roman" w:hAnsi="Times New Roman"/>
                <w:b/>
                <w:color w:val="auto"/>
                <w:szCs w:val="21"/>
                <w:highlight w:val="none"/>
              </w:rPr>
            </w:pPr>
            <w:r>
              <w:rPr>
                <w:rFonts w:ascii="Times New Roman" w:hAnsi="Times New Roman"/>
                <w:b/>
                <w:color w:val="auto"/>
                <w:szCs w:val="21"/>
                <w:highlight w:val="none"/>
              </w:rPr>
              <w:t>（hm）</w:t>
            </w:r>
          </w:p>
        </w:tc>
        <w:tc>
          <w:tcPr>
            <w:tcW w:w="1421" w:type="dxa"/>
            <w:vAlign w:val="center"/>
          </w:tcPr>
          <w:p>
            <w:pPr>
              <w:jc w:val="center"/>
              <w:rPr>
                <w:rFonts w:ascii="Times New Roman" w:hAnsi="Times New Roman"/>
                <w:b/>
                <w:color w:val="auto"/>
                <w:szCs w:val="21"/>
                <w:highlight w:val="none"/>
              </w:rPr>
            </w:pPr>
            <w:r>
              <w:rPr>
                <w:rFonts w:ascii="Times New Roman" w:hAnsi="Times New Roman"/>
                <w:b/>
                <w:color w:val="auto"/>
                <w:szCs w:val="21"/>
                <w:highlight w:val="none"/>
              </w:rPr>
              <w:t>绿化地面积（hm）</w:t>
            </w:r>
          </w:p>
        </w:tc>
        <w:tc>
          <w:tcPr>
            <w:tcW w:w="1421" w:type="dxa"/>
            <w:vAlign w:val="center"/>
          </w:tcPr>
          <w:p>
            <w:pPr>
              <w:jc w:val="center"/>
              <w:rPr>
                <w:rFonts w:ascii="Times New Roman" w:hAnsi="Times New Roman"/>
                <w:b/>
                <w:color w:val="auto"/>
                <w:szCs w:val="21"/>
                <w:highlight w:val="none"/>
              </w:rPr>
            </w:pPr>
            <w:r>
              <w:rPr>
                <w:rFonts w:ascii="Times New Roman" w:hAnsi="Times New Roman"/>
                <w:b/>
                <w:color w:val="auto"/>
                <w:szCs w:val="21"/>
                <w:highlight w:val="none"/>
              </w:rPr>
              <w:t>绿地率</w:t>
            </w:r>
          </w:p>
          <w:p>
            <w:pPr>
              <w:jc w:val="center"/>
              <w:rPr>
                <w:rFonts w:ascii="Times New Roman" w:hAnsi="Times New Roman"/>
                <w:b/>
                <w:color w:val="auto"/>
                <w:szCs w:val="21"/>
                <w:highlight w:val="none"/>
              </w:rPr>
            </w:pPr>
            <w:r>
              <w:rPr>
                <w:rFonts w:ascii="Times New Roman" w:hAnsi="Times New Roman"/>
                <w:b/>
                <w:color w:val="auto"/>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Times New Roman" w:hAnsi="Times New Roman"/>
                <w:color w:val="auto"/>
                <w:szCs w:val="21"/>
                <w:highlight w:val="none"/>
              </w:rPr>
            </w:pPr>
            <w:r>
              <w:rPr>
                <w:rFonts w:ascii="Times New Roman" w:hAnsi="Times New Roman"/>
                <w:color w:val="auto"/>
                <w:szCs w:val="21"/>
                <w:highlight w:val="none"/>
              </w:rPr>
              <w:t>1</w:t>
            </w:r>
          </w:p>
        </w:tc>
        <w:tc>
          <w:tcPr>
            <w:tcW w:w="1420" w:type="dxa"/>
          </w:tcPr>
          <w:p>
            <w:pPr>
              <w:jc w:val="center"/>
              <w:rPr>
                <w:rFonts w:ascii="Times New Roman" w:hAnsi="Times New Roman"/>
                <w:color w:val="auto"/>
                <w:szCs w:val="21"/>
                <w:highlight w:val="none"/>
              </w:rPr>
            </w:pPr>
            <w:r>
              <w:rPr>
                <w:rFonts w:ascii="Times New Roman" w:hAnsi="Times New Roman"/>
                <w:color w:val="auto"/>
                <w:szCs w:val="21"/>
                <w:highlight w:val="none"/>
              </w:rPr>
              <w:t>现状</w:t>
            </w:r>
          </w:p>
        </w:tc>
        <w:tc>
          <w:tcPr>
            <w:tcW w:w="1420" w:type="dxa"/>
          </w:tcPr>
          <w:p>
            <w:pPr>
              <w:jc w:val="center"/>
              <w:rPr>
                <w:rFonts w:ascii="Times New Roman" w:hAnsi="Times New Roman"/>
                <w:color w:val="auto"/>
                <w:highlight w:val="none"/>
              </w:rPr>
            </w:pPr>
            <w:r>
              <w:rPr>
                <w:rFonts w:ascii="Times New Roman" w:hAnsi="Times New Roman"/>
                <w:color w:val="auto"/>
                <w:szCs w:val="21"/>
                <w:highlight w:val="none"/>
              </w:rPr>
              <w:t>海丰县</w:t>
            </w:r>
          </w:p>
        </w:tc>
        <w:tc>
          <w:tcPr>
            <w:tcW w:w="1420" w:type="dxa"/>
          </w:tcPr>
          <w:p>
            <w:pPr>
              <w:jc w:val="center"/>
              <w:rPr>
                <w:rFonts w:ascii="Times New Roman" w:hAnsi="Times New Roman"/>
                <w:color w:val="auto"/>
                <w:szCs w:val="21"/>
                <w:highlight w:val="none"/>
              </w:rPr>
            </w:pPr>
            <w:r>
              <w:rPr>
                <w:rFonts w:ascii="Times New Roman" w:hAnsi="Times New Roman"/>
                <w:color w:val="auto"/>
                <w:szCs w:val="21"/>
                <w:highlight w:val="none"/>
              </w:rPr>
              <w:t>190</w:t>
            </w:r>
            <w:r>
              <w:rPr>
                <w:rFonts w:hint="eastAsia" w:ascii="Times New Roman" w:hAnsi="Times New Roman"/>
                <w:color w:val="auto"/>
                <w:szCs w:val="21"/>
                <w:highlight w:val="none"/>
              </w:rPr>
              <w:t>0</w:t>
            </w:r>
            <w:r>
              <w:rPr>
                <w:rFonts w:ascii="Times New Roman" w:hAnsi="Times New Roman"/>
                <w:color w:val="auto"/>
                <w:szCs w:val="21"/>
                <w:highlight w:val="none"/>
              </w:rPr>
              <w:t>.00</w:t>
            </w:r>
          </w:p>
        </w:tc>
        <w:tc>
          <w:tcPr>
            <w:tcW w:w="1421" w:type="dxa"/>
          </w:tcPr>
          <w:p>
            <w:pPr>
              <w:jc w:val="center"/>
              <w:rPr>
                <w:rFonts w:ascii="Times New Roman" w:hAnsi="Times New Roman"/>
                <w:color w:val="auto"/>
                <w:szCs w:val="21"/>
                <w:highlight w:val="none"/>
              </w:rPr>
            </w:pPr>
            <w:r>
              <w:rPr>
                <w:rFonts w:ascii="Times New Roman" w:hAnsi="Times New Roman"/>
                <w:color w:val="auto"/>
                <w:szCs w:val="21"/>
                <w:highlight w:val="none"/>
              </w:rPr>
              <w:t xml:space="preserve">393.92 </w:t>
            </w:r>
          </w:p>
        </w:tc>
        <w:tc>
          <w:tcPr>
            <w:tcW w:w="1421" w:type="dxa"/>
          </w:tcPr>
          <w:p>
            <w:pPr>
              <w:jc w:val="center"/>
              <w:rPr>
                <w:rFonts w:ascii="Times New Roman" w:hAnsi="Times New Roman"/>
                <w:color w:val="auto"/>
                <w:szCs w:val="21"/>
                <w:highlight w:val="none"/>
              </w:rPr>
            </w:pPr>
            <w:r>
              <w:rPr>
                <w:rFonts w:ascii="Times New Roman" w:hAnsi="Times New Roman"/>
                <w:color w:val="auto"/>
                <w:szCs w:val="21"/>
                <w:highlight w:val="none"/>
              </w:rPr>
              <w:t>20.63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Times New Roman" w:hAnsi="Times New Roman"/>
                <w:color w:val="auto"/>
                <w:szCs w:val="21"/>
                <w:highlight w:val="none"/>
              </w:rPr>
            </w:pPr>
            <w:r>
              <w:rPr>
                <w:rFonts w:ascii="Times New Roman" w:hAnsi="Times New Roman"/>
                <w:color w:val="auto"/>
                <w:szCs w:val="21"/>
                <w:highlight w:val="none"/>
              </w:rPr>
              <w:t>2</w:t>
            </w:r>
          </w:p>
        </w:tc>
        <w:tc>
          <w:tcPr>
            <w:tcW w:w="1420" w:type="dxa"/>
          </w:tcPr>
          <w:p>
            <w:pPr>
              <w:jc w:val="center"/>
              <w:rPr>
                <w:rFonts w:ascii="Times New Roman" w:hAnsi="Times New Roman"/>
                <w:color w:val="auto"/>
                <w:szCs w:val="21"/>
                <w:highlight w:val="none"/>
              </w:rPr>
            </w:pPr>
            <w:r>
              <w:rPr>
                <w:rFonts w:ascii="Times New Roman" w:hAnsi="Times New Roman"/>
                <w:color w:val="auto"/>
                <w:szCs w:val="21"/>
                <w:highlight w:val="none"/>
              </w:rPr>
              <w:t>规划建设后</w:t>
            </w:r>
          </w:p>
        </w:tc>
        <w:tc>
          <w:tcPr>
            <w:tcW w:w="1420" w:type="dxa"/>
          </w:tcPr>
          <w:p>
            <w:pPr>
              <w:jc w:val="center"/>
              <w:rPr>
                <w:rFonts w:ascii="Times New Roman" w:hAnsi="Times New Roman"/>
                <w:color w:val="auto"/>
                <w:szCs w:val="21"/>
                <w:highlight w:val="none"/>
              </w:rPr>
            </w:pPr>
            <w:r>
              <w:rPr>
                <w:rFonts w:ascii="Times New Roman" w:hAnsi="Times New Roman"/>
                <w:color w:val="auto"/>
                <w:szCs w:val="21"/>
                <w:highlight w:val="none"/>
              </w:rPr>
              <w:t>海丰县</w:t>
            </w:r>
          </w:p>
        </w:tc>
        <w:tc>
          <w:tcPr>
            <w:tcW w:w="1420" w:type="dxa"/>
          </w:tcPr>
          <w:p>
            <w:pPr>
              <w:jc w:val="center"/>
              <w:rPr>
                <w:rFonts w:ascii="Times New Roman" w:hAnsi="Times New Roman"/>
                <w:color w:val="auto"/>
                <w:szCs w:val="21"/>
                <w:highlight w:val="none"/>
              </w:rPr>
            </w:pPr>
            <w:r>
              <w:rPr>
                <w:rFonts w:hint="eastAsia" w:ascii="Times New Roman" w:hAnsi="Times New Roman"/>
                <w:color w:val="auto"/>
                <w:szCs w:val="21"/>
                <w:highlight w:val="none"/>
              </w:rPr>
              <w:t>2700</w:t>
            </w:r>
            <w:r>
              <w:rPr>
                <w:rFonts w:ascii="Times New Roman" w:hAnsi="Times New Roman"/>
                <w:color w:val="auto"/>
                <w:szCs w:val="21"/>
                <w:highlight w:val="none"/>
              </w:rPr>
              <w:t>.00</w:t>
            </w:r>
          </w:p>
        </w:tc>
        <w:tc>
          <w:tcPr>
            <w:tcW w:w="1421" w:type="dxa"/>
          </w:tcPr>
          <w:p>
            <w:pPr>
              <w:jc w:val="center"/>
              <w:rPr>
                <w:rFonts w:ascii="Times New Roman" w:hAnsi="Times New Roman"/>
                <w:color w:val="auto"/>
                <w:szCs w:val="21"/>
                <w:highlight w:val="none"/>
              </w:rPr>
            </w:pPr>
            <w:r>
              <w:rPr>
                <w:rFonts w:ascii="Times New Roman" w:hAnsi="Times New Roman"/>
                <w:color w:val="auto"/>
                <w:szCs w:val="21"/>
                <w:highlight w:val="none"/>
              </w:rPr>
              <w:t xml:space="preserve">938.24  </w:t>
            </w:r>
          </w:p>
        </w:tc>
        <w:tc>
          <w:tcPr>
            <w:tcW w:w="1421" w:type="dxa"/>
          </w:tcPr>
          <w:p>
            <w:pPr>
              <w:jc w:val="center"/>
              <w:rPr>
                <w:rFonts w:ascii="Times New Roman" w:hAnsi="Times New Roman"/>
                <w:color w:val="auto"/>
                <w:szCs w:val="21"/>
                <w:highlight w:val="none"/>
              </w:rPr>
            </w:pPr>
            <w:r>
              <w:rPr>
                <w:rFonts w:ascii="Times New Roman" w:hAnsi="Times New Roman"/>
                <w:color w:val="auto"/>
                <w:szCs w:val="21"/>
                <w:highlight w:val="none"/>
              </w:rPr>
              <w:t>34.75</w:t>
            </w:r>
          </w:p>
        </w:tc>
      </w:tr>
    </w:tbl>
    <w:p>
      <w:pPr>
        <w:spacing w:line="360" w:lineRule="auto"/>
        <w:rPr>
          <w:rFonts w:ascii="Times New Roman" w:hAnsi="Times New Roman"/>
          <w:color w:val="auto"/>
          <w:sz w:val="24"/>
          <w:highlight w:val="none"/>
        </w:rPr>
      </w:pPr>
    </w:p>
    <w:p>
      <w:pPr>
        <w:spacing w:line="360" w:lineRule="auto"/>
        <w:jc w:val="center"/>
        <w:rPr>
          <w:rFonts w:ascii="Times New Roman" w:hAnsi="Times New Roman"/>
          <w:b/>
          <w:color w:val="auto"/>
          <w:sz w:val="24"/>
          <w:highlight w:val="none"/>
        </w:rPr>
      </w:pPr>
      <w:r>
        <w:rPr>
          <w:rFonts w:ascii="Times New Roman" w:hAnsi="Times New Roman"/>
          <w:b/>
          <w:color w:val="auto"/>
          <w:sz w:val="24"/>
          <w:highlight w:val="none"/>
        </w:rPr>
        <w:t>表2-</w:t>
      </w:r>
      <w:r>
        <w:rPr>
          <w:rFonts w:hint="eastAsia" w:ascii="Times New Roman" w:hAnsi="Times New Roman"/>
          <w:b/>
          <w:color w:val="auto"/>
          <w:sz w:val="24"/>
          <w:highlight w:val="none"/>
        </w:rPr>
        <w:t>4</w:t>
      </w:r>
      <w:r>
        <w:rPr>
          <w:rFonts w:ascii="Times New Roman" w:hAnsi="Times New Roman"/>
          <w:b/>
          <w:color w:val="auto"/>
          <w:sz w:val="24"/>
          <w:highlight w:val="none"/>
        </w:rPr>
        <w:t xml:space="preserve"> 海丰县建成区各类绿地绿化覆盖面积明细表</w:t>
      </w:r>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1"/>
        <w:gridCol w:w="1688"/>
        <w:gridCol w:w="1020"/>
        <w:gridCol w:w="1020"/>
        <w:gridCol w:w="1020"/>
        <w:gridCol w:w="1020"/>
        <w:gridCol w:w="1020"/>
        <w:gridCol w:w="10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vAlign w:val="center"/>
          </w:tcPr>
          <w:p>
            <w:pPr>
              <w:jc w:val="center"/>
              <w:rPr>
                <w:rFonts w:ascii="Times New Roman" w:hAnsi="Times New Roman"/>
                <w:b/>
                <w:color w:val="auto"/>
                <w:szCs w:val="21"/>
                <w:highlight w:val="none"/>
              </w:rPr>
            </w:pPr>
            <w:r>
              <w:rPr>
                <w:rFonts w:ascii="Times New Roman" w:hAnsi="Times New Roman"/>
                <w:b/>
                <w:color w:val="auto"/>
                <w:szCs w:val="21"/>
                <w:highlight w:val="none"/>
              </w:rPr>
              <w:t>序号</w:t>
            </w:r>
          </w:p>
        </w:tc>
        <w:tc>
          <w:tcPr>
            <w:tcW w:w="1688" w:type="dxa"/>
            <w:vAlign w:val="center"/>
          </w:tcPr>
          <w:p>
            <w:pPr>
              <w:jc w:val="center"/>
              <w:rPr>
                <w:rFonts w:ascii="Times New Roman" w:hAnsi="Times New Roman"/>
                <w:b/>
                <w:color w:val="auto"/>
                <w:szCs w:val="21"/>
                <w:highlight w:val="none"/>
              </w:rPr>
            </w:pPr>
            <w:r>
              <w:rPr>
                <w:rFonts w:ascii="Times New Roman" w:hAnsi="Times New Roman"/>
                <w:b/>
                <w:color w:val="auto"/>
                <w:szCs w:val="21"/>
                <w:highlight w:val="none"/>
              </w:rPr>
              <w:t>类别</w:t>
            </w:r>
          </w:p>
        </w:tc>
        <w:tc>
          <w:tcPr>
            <w:tcW w:w="1020" w:type="dxa"/>
            <w:vAlign w:val="center"/>
          </w:tcPr>
          <w:p>
            <w:pPr>
              <w:jc w:val="center"/>
              <w:rPr>
                <w:rFonts w:ascii="Times New Roman" w:hAnsi="Times New Roman"/>
                <w:b/>
                <w:color w:val="auto"/>
                <w:szCs w:val="21"/>
                <w:highlight w:val="none"/>
              </w:rPr>
            </w:pPr>
            <w:r>
              <w:rPr>
                <w:rFonts w:ascii="Times New Roman" w:hAnsi="Times New Roman"/>
                <w:b/>
                <w:color w:val="auto"/>
                <w:szCs w:val="21"/>
                <w:highlight w:val="none"/>
              </w:rPr>
              <w:t>公园绿地</w:t>
            </w:r>
          </w:p>
        </w:tc>
        <w:tc>
          <w:tcPr>
            <w:tcW w:w="1020" w:type="dxa"/>
            <w:vAlign w:val="center"/>
          </w:tcPr>
          <w:p>
            <w:pPr>
              <w:jc w:val="center"/>
              <w:rPr>
                <w:rFonts w:ascii="Times New Roman" w:hAnsi="Times New Roman"/>
                <w:b/>
                <w:color w:val="auto"/>
                <w:szCs w:val="21"/>
                <w:highlight w:val="none"/>
              </w:rPr>
            </w:pPr>
            <w:r>
              <w:rPr>
                <w:rFonts w:ascii="Times New Roman" w:hAnsi="Times New Roman"/>
                <w:b/>
                <w:color w:val="auto"/>
                <w:szCs w:val="21"/>
                <w:highlight w:val="none"/>
              </w:rPr>
              <w:t>广场绿地</w:t>
            </w:r>
          </w:p>
        </w:tc>
        <w:tc>
          <w:tcPr>
            <w:tcW w:w="1020" w:type="dxa"/>
            <w:vAlign w:val="center"/>
          </w:tcPr>
          <w:p>
            <w:pPr>
              <w:jc w:val="center"/>
              <w:rPr>
                <w:rFonts w:ascii="Times New Roman" w:hAnsi="Times New Roman"/>
                <w:b/>
                <w:color w:val="auto"/>
                <w:szCs w:val="21"/>
                <w:highlight w:val="none"/>
              </w:rPr>
            </w:pPr>
            <w:r>
              <w:rPr>
                <w:rFonts w:ascii="Times New Roman" w:hAnsi="Times New Roman"/>
                <w:b/>
                <w:color w:val="auto"/>
                <w:szCs w:val="21"/>
                <w:highlight w:val="none"/>
              </w:rPr>
              <w:t>防护绿地</w:t>
            </w:r>
          </w:p>
        </w:tc>
        <w:tc>
          <w:tcPr>
            <w:tcW w:w="1020" w:type="dxa"/>
            <w:vAlign w:val="center"/>
          </w:tcPr>
          <w:p>
            <w:pPr>
              <w:jc w:val="center"/>
              <w:rPr>
                <w:rFonts w:ascii="Times New Roman" w:hAnsi="Times New Roman"/>
                <w:b/>
                <w:color w:val="auto"/>
                <w:szCs w:val="21"/>
                <w:highlight w:val="none"/>
              </w:rPr>
            </w:pPr>
            <w:r>
              <w:rPr>
                <w:rFonts w:ascii="Times New Roman" w:hAnsi="Times New Roman"/>
                <w:b/>
                <w:color w:val="auto"/>
                <w:szCs w:val="21"/>
                <w:highlight w:val="none"/>
              </w:rPr>
              <w:t>附属绿地</w:t>
            </w:r>
          </w:p>
        </w:tc>
        <w:tc>
          <w:tcPr>
            <w:tcW w:w="1020" w:type="dxa"/>
            <w:vAlign w:val="center"/>
          </w:tcPr>
          <w:p>
            <w:pPr>
              <w:jc w:val="center"/>
              <w:rPr>
                <w:rFonts w:ascii="Times New Roman" w:hAnsi="Times New Roman"/>
                <w:b/>
                <w:color w:val="auto"/>
                <w:szCs w:val="21"/>
                <w:highlight w:val="none"/>
              </w:rPr>
            </w:pPr>
            <w:r>
              <w:rPr>
                <w:rFonts w:ascii="Times New Roman" w:hAnsi="Times New Roman"/>
                <w:b/>
                <w:color w:val="auto"/>
                <w:szCs w:val="21"/>
                <w:highlight w:val="none"/>
              </w:rPr>
              <w:t>区域绿地</w:t>
            </w:r>
          </w:p>
        </w:tc>
        <w:tc>
          <w:tcPr>
            <w:tcW w:w="1023" w:type="dxa"/>
            <w:vAlign w:val="center"/>
          </w:tcPr>
          <w:p>
            <w:pPr>
              <w:jc w:val="center"/>
              <w:rPr>
                <w:rFonts w:ascii="Times New Roman" w:hAnsi="Times New Roman"/>
                <w:b/>
                <w:color w:val="auto"/>
                <w:szCs w:val="21"/>
                <w:highlight w:val="none"/>
              </w:rPr>
            </w:pPr>
            <w:r>
              <w:rPr>
                <w:rFonts w:ascii="Times New Roman" w:hAnsi="Times New Roman"/>
                <w:b/>
                <w:color w:val="auto"/>
                <w:szCs w:val="21"/>
                <w:highlight w:val="none"/>
              </w:rPr>
              <w:t>合计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w:t>
            </w:r>
          </w:p>
        </w:tc>
        <w:tc>
          <w:tcPr>
            <w:tcW w:w="1688"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现状绿地面积（hm）</w:t>
            </w:r>
          </w:p>
        </w:tc>
        <w:tc>
          <w:tcPr>
            <w:tcW w:w="1020" w:type="dxa"/>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 xml:space="preserve">37.36 </w:t>
            </w:r>
          </w:p>
        </w:tc>
        <w:tc>
          <w:tcPr>
            <w:tcW w:w="1020" w:type="dxa"/>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 xml:space="preserve">8.67 </w:t>
            </w:r>
          </w:p>
        </w:tc>
        <w:tc>
          <w:tcPr>
            <w:tcW w:w="1020" w:type="dxa"/>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 xml:space="preserve">222.93 </w:t>
            </w:r>
          </w:p>
        </w:tc>
        <w:tc>
          <w:tcPr>
            <w:tcW w:w="1020" w:type="dxa"/>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 xml:space="preserve">91.76 </w:t>
            </w:r>
          </w:p>
        </w:tc>
        <w:tc>
          <w:tcPr>
            <w:tcW w:w="1020" w:type="dxa"/>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 xml:space="preserve">33.20 </w:t>
            </w:r>
          </w:p>
        </w:tc>
        <w:tc>
          <w:tcPr>
            <w:tcW w:w="1023" w:type="dxa"/>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 xml:space="preserve">393.92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1"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w:t>
            </w:r>
          </w:p>
        </w:tc>
        <w:tc>
          <w:tcPr>
            <w:tcW w:w="1688" w:type="dxa"/>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重新规划后绿地面积（hm）</w:t>
            </w:r>
          </w:p>
        </w:tc>
        <w:tc>
          <w:tcPr>
            <w:tcW w:w="1020" w:type="dxa"/>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 xml:space="preserve">267.73  </w:t>
            </w:r>
          </w:p>
        </w:tc>
        <w:tc>
          <w:tcPr>
            <w:tcW w:w="1020" w:type="dxa"/>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0.55</w:t>
            </w:r>
          </w:p>
        </w:tc>
        <w:tc>
          <w:tcPr>
            <w:tcW w:w="1020" w:type="dxa"/>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324.65</w:t>
            </w:r>
          </w:p>
        </w:tc>
        <w:tc>
          <w:tcPr>
            <w:tcW w:w="1020" w:type="dxa"/>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270.27</w:t>
            </w:r>
          </w:p>
        </w:tc>
        <w:tc>
          <w:tcPr>
            <w:tcW w:w="1020" w:type="dxa"/>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 xml:space="preserve">75.04 </w:t>
            </w:r>
          </w:p>
        </w:tc>
        <w:tc>
          <w:tcPr>
            <w:tcW w:w="1023" w:type="dxa"/>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938.24</w:t>
            </w:r>
          </w:p>
        </w:tc>
      </w:tr>
    </w:tbl>
    <w:p>
      <w:pPr>
        <w:spacing w:line="360" w:lineRule="auto"/>
        <w:rPr>
          <w:rFonts w:ascii="Times New Roman" w:hAnsi="Times New Roman"/>
          <w:color w:val="auto"/>
          <w:sz w:val="24"/>
          <w:highlight w:val="none"/>
        </w:rPr>
      </w:pPr>
    </w:p>
    <w:p>
      <w:pPr>
        <w:pStyle w:val="6"/>
        <w:rPr>
          <w:rFonts w:ascii="Times New Roman" w:hAnsi="Times New Roman"/>
          <w:color w:val="auto"/>
          <w:highlight w:val="none"/>
        </w:rPr>
      </w:pPr>
      <w:bookmarkStart w:id="347" w:name="_Toc8611"/>
      <w:bookmarkStart w:id="348" w:name="_Toc60499697"/>
      <w:bookmarkStart w:id="349" w:name="_Toc60776388"/>
      <w:bookmarkStart w:id="350" w:name="_Toc54451061"/>
      <w:r>
        <w:rPr>
          <w:rFonts w:ascii="Times New Roman" w:hAnsi="Times New Roman"/>
          <w:color w:val="auto"/>
          <w:highlight w:val="none"/>
        </w:rPr>
        <w:t>11、人均公园绿地面积</w:t>
      </w:r>
      <w:bookmarkEnd w:id="347"/>
      <w:bookmarkEnd w:id="348"/>
      <w:bookmarkEnd w:id="349"/>
      <w:bookmarkEnd w:id="350"/>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指标要求：≥9.00 m</w:t>
      </w:r>
      <w:r>
        <w:rPr>
          <w:rFonts w:ascii="Times New Roman" w:hAnsi="Times New Roman"/>
          <w:color w:val="auto"/>
          <w:sz w:val="24"/>
          <w:highlight w:val="none"/>
          <w:vertAlign w:val="superscript"/>
        </w:rPr>
        <w:t>2</w:t>
      </w:r>
      <w:r>
        <w:rPr>
          <w:rFonts w:ascii="Times New Roman" w:hAnsi="Times New Roman"/>
          <w:color w:val="auto"/>
          <w:sz w:val="24"/>
          <w:highlight w:val="none"/>
        </w:rPr>
        <w:t>/人。</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计算方法：城市人均公园绿地面积（m</w:t>
      </w:r>
      <w:r>
        <w:rPr>
          <w:rFonts w:ascii="Times New Roman" w:hAnsi="Times New Roman"/>
          <w:color w:val="auto"/>
          <w:sz w:val="24"/>
          <w:highlight w:val="none"/>
          <w:vertAlign w:val="superscript"/>
        </w:rPr>
        <w:t>2</w:t>
      </w:r>
      <w:r>
        <w:rPr>
          <w:rFonts w:ascii="Times New Roman" w:hAnsi="Times New Roman"/>
          <w:color w:val="auto"/>
          <w:sz w:val="24"/>
          <w:highlight w:val="none"/>
        </w:rPr>
        <w:t>/人）=公园绿地面积（m</w:t>
      </w:r>
      <w:r>
        <w:rPr>
          <w:rFonts w:ascii="Times New Roman" w:hAnsi="Times New Roman"/>
          <w:color w:val="auto"/>
          <w:sz w:val="24"/>
          <w:highlight w:val="none"/>
          <w:vertAlign w:val="superscript"/>
        </w:rPr>
        <w:t>2</w:t>
      </w:r>
      <w:r>
        <w:rPr>
          <w:rFonts w:ascii="Times New Roman" w:hAnsi="Times New Roman"/>
          <w:color w:val="auto"/>
          <w:sz w:val="24"/>
          <w:highlight w:val="none"/>
        </w:rPr>
        <w:t>）/建成区内的城区人口数量（人）。</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调查结果：海丰县建成区3镇人口数量</w:t>
      </w:r>
      <w:r>
        <w:rPr>
          <w:rFonts w:hint="eastAsia" w:ascii="Times New Roman" w:hAnsi="Times New Roman"/>
          <w:color w:val="auto"/>
          <w:sz w:val="24"/>
          <w:highlight w:val="none"/>
        </w:rPr>
        <w:t>28.73</w:t>
      </w:r>
      <w:r>
        <w:rPr>
          <w:rFonts w:ascii="Times New Roman" w:hAnsi="Times New Roman"/>
          <w:color w:val="auto"/>
          <w:sz w:val="24"/>
          <w:highlight w:val="none"/>
        </w:rPr>
        <w:t>万，建成区现状公园绿地面积为36.74公顷，人均公园面积为1.2</w:t>
      </w:r>
      <w:r>
        <w:rPr>
          <w:rFonts w:hint="eastAsia" w:ascii="Times New Roman" w:hAnsi="Times New Roman"/>
          <w:color w:val="auto"/>
          <w:sz w:val="24"/>
          <w:highlight w:val="none"/>
        </w:rPr>
        <w:t>8</w:t>
      </w:r>
      <w:r>
        <w:rPr>
          <w:rFonts w:ascii="Times New Roman" w:hAnsi="Times New Roman"/>
          <w:color w:val="auto"/>
          <w:sz w:val="24"/>
          <w:highlight w:val="none"/>
        </w:rPr>
        <w:t xml:space="preserve"> m</w:t>
      </w:r>
      <w:r>
        <w:rPr>
          <w:rFonts w:ascii="Times New Roman" w:hAnsi="Times New Roman"/>
          <w:color w:val="auto"/>
          <w:sz w:val="24"/>
          <w:highlight w:val="none"/>
          <w:vertAlign w:val="superscript"/>
        </w:rPr>
        <w:t>2</w:t>
      </w:r>
      <w:r>
        <w:rPr>
          <w:rFonts w:ascii="Times New Roman" w:hAnsi="Times New Roman"/>
          <w:color w:val="auto"/>
          <w:sz w:val="24"/>
          <w:highlight w:val="none"/>
        </w:rPr>
        <w:t>/人，</w:t>
      </w:r>
      <w:r>
        <w:rPr>
          <w:rFonts w:ascii="Times New Roman" w:hAnsi="Times New Roman"/>
          <w:b/>
          <w:bCs/>
          <w:color w:val="auto"/>
          <w:sz w:val="24"/>
          <w:highlight w:val="none"/>
        </w:rPr>
        <w:t>暂不达标</w:t>
      </w:r>
      <w:r>
        <w:rPr>
          <w:rFonts w:ascii="Times New Roman" w:hAnsi="Times New Roman"/>
          <w:color w:val="auto"/>
          <w:sz w:val="24"/>
          <w:highlight w:val="none"/>
        </w:rPr>
        <w:t>。经重新规划建设后，公园绿地面积达267.73公顷，人均公园绿地面积9.31平方米，达到创省园标准。</w:t>
      </w:r>
    </w:p>
    <w:p>
      <w:pPr>
        <w:tabs>
          <w:tab w:val="left" w:pos="2380"/>
        </w:tabs>
        <w:spacing w:line="360" w:lineRule="auto"/>
        <w:ind w:left="1392" w:right="-20"/>
        <w:rPr>
          <w:rFonts w:ascii="Times New Roman" w:hAnsi="Times New Roman"/>
          <w:b/>
          <w:color w:val="auto"/>
          <w:sz w:val="24"/>
          <w:highlight w:val="none"/>
        </w:rPr>
      </w:pPr>
      <w:r>
        <w:rPr>
          <w:rFonts w:ascii="Times New Roman" w:hAnsi="Times New Roman"/>
          <w:b/>
          <w:color w:val="auto"/>
          <w:position w:val="-4"/>
          <w:sz w:val="24"/>
          <w:highlight w:val="none"/>
        </w:rPr>
        <w:t>表</w:t>
      </w:r>
      <w:r>
        <w:rPr>
          <w:rFonts w:ascii="Times New Roman" w:hAnsi="Times New Roman"/>
          <w:b/>
          <w:color w:val="auto"/>
          <w:spacing w:val="-3"/>
          <w:position w:val="-4"/>
          <w:sz w:val="24"/>
          <w:highlight w:val="none"/>
        </w:rPr>
        <w:t xml:space="preserve"> </w:t>
      </w:r>
      <w:r>
        <w:rPr>
          <w:rFonts w:ascii="Times New Roman" w:hAnsi="Times New Roman"/>
          <w:b/>
          <w:color w:val="auto"/>
          <w:spacing w:val="1"/>
          <w:position w:val="-4"/>
          <w:sz w:val="24"/>
          <w:highlight w:val="none"/>
        </w:rPr>
        <w:t>2</w:t>
      </w:r>
      <w:r>
        <w:rPr>
          <w:rFonts w:ascii="Times New Roman" w:hAnsi="Times New Roman"/>
          <w:b/>
          <w:color w:val="auto"/>
          <w:position w:val="-4"/>
          <w:sz w:val="24"/>
          <w:highlight w:val="none"/>
        </w:rPr>
        <w:t>-</w:t>
      </w:r>
      <w:r>
        <w:rPr>
          <w:rFonts w:hint="eastAsia" w:ascii="Times New Roman" w:hAnsi="Times New Roman"/>
          <w:b/>
          <w:color w:val="auto"/>
          <w:position w:val="-4"/>
          <w:sz w:val="24"/>
          <w:highlight w:val="none"/>
        </w:rPr>
        <w:t>5</w:t>
      </w:r>
      <w:r>
        <w:rPr>
          <w:rFonts w:ascii="Times New Roman" w:hAnsi="Times New Roman"/>
          <w:b/>
          <w:color w:val="auto"/>
          <w:position w:val="-4"/>
          <w:sz w:val="24"/>
          <w:highlight w:val="none"/>
        </w:rPr>
        <w:tab/>
      </w:r>
      <w:r>
        <w:rPr>
          <w:rFonts w:ascii="Times New Roman" w:hAnsi="Times New Roman"/>
          <w:b/>
          <w:color w:val="auto"/>
          <w:position w:val="-4"/>
          <w:sz w:val="24"/>
          <w:highlight w:val="none"/>
        </w:rPr>
        <w:t>海丰县建</w:t>
      </w:r>
      <w:r>
        <w:rPr>
          <w:rFonts w:ascii="Times New Roman" w:hAnsi="Times New Roman"/>
          <w:b/>
          <w:color w:val="auto"/>
          <w:spacing w:val="-3"/>
          <w:position w:val="-4"/>
          <w:sz w:val="24"/>
          <w:highlight w:val="none"/>
        </w:rPr>
        <w:t>成</w:t>
      </w:r>
      <w:r>
        <w:rPr>
          <w:rFonts w:ascii="Times New Roman" w:hAnsi="Times New Roman"/>
          <w:b/>
          <w:color w:val="auto"/>
          <w:position w:val="-4"/>
          <w:sz w:val="24"/>
          <w:highlight w:val="none"/>
        </w:rPr>
        <w:t>区人</w:t>
      </w:r>
      <w:r>
        <w:rPr>
          <w:rFonts w:ascii="Times New Roman" w:hAnsi="Times New Roman"/>
          <w:b/>
          <w:color w:val="auto"/>
          <w:spacing w:val="-3"/>
          <w:position w:val="-4"/>
          <w:sz w:val="24"/>
          <w:highlight w:val="none"/>
        </w:rPr>
        <w:t>均</w:t>
      </w:r>
      <w:r>
        <w:rPr>
          <w:rFonts w:ascii="Times New Roman" w:hAnsi="Times New Roman"/>
          <w:b/>
          <w:color w:val="auto"/>
          <w:position w:val="-4"/>
          <w:sz w:val="24"/>
          <w:highlight w:val="none"/>
        </w:rPr>
        <w:t>公园</w:t>
      </w:r>
      <w:r>
        <w:rPr>
          <w:rFonts w:ascii="Times New Roman" w:hAnsi="Times New Roman"/>
          <w:b/>
          <w:color w:val="auto"/>
          <w:spacing w:val="-3"/>
          <w:position w:val="-4"/>
          <w:sz w:val="24"/>
          <w:highlight w:val="none"/>
        </w:rPr>
        <w:t>绿</w:t>
      </w:r>
      <w:r>
        <w:rPr>
          <w:rFonts w:ascii="Times New Roman" w:hAnsi="Times New Roman"/>
          <w:b/>
          <w:color w:val="auto"/>
          <w:position w:val="-4"/>
          <w:sz w:val="24"/>
          <w:highlight w:val="none"/>
        </w:rPr>
        <w:t>地面</w:t>
      </w:r>
      <w:r>
        <w:rPr>
          <w:rFonts w:ascii="Times New Roman" w:hAnsi="Times New Roman"/>
          <w:b/>
          <w:color w:val="auto"/>
          <w:spacing w:val="-3"/>
          <w:position w:val="-4"/>
          <w:sz w:val="24"/>
          <w:highlight w:val="none"/>
        </w:rPr>
        <w:t>积</w:t>
      </w:r>
      <w:r>
        <w:rPr>
          <w:rFonts w:ascii="Times New Roman" w:hAnsi="Times New Roman"/>
          <w:b/>
          <w:color w:val="auto"/>
          <w:position w:val="-4"/>
          <w:sz w:val="24"/>
          <w:highlight w:val="none"/>
        </w:rPr>
        <w:t>统计表</w:t>
      </w:r>
    </w:p>
    <w:tbl>
      <w:tblPr>
        <w:tblStyle w:val="20"/>
        <w:tblW w:w="851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8"/>
        <w:gridCol w:w="1380"/>
        <w:gridCol w:w="937"/>
        <w:gridCol w:w="1440"/>
        <w:gridCol w:w="1440"/>
        <w:gridCol w:w="1440"/>
        <w:gridCol w:w="14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38" w:type="dxa"/>
            <w:noWrap/>
            <w:vAlign w:val="center"/>
          </w:tcPr>
          <w:p>
            <w:pPr>
              <w:spacing w:line="360" w:lineRule="auto"/>
              <w:jc w:val="center"/>
              <w:rPr>
                <w:rFonts w:ascii="Times New Roman" w:hAnsi="Times New Roman"/>
                <w:b/>
                <w:color w:val="auto"/>
                <w:szCs w:val="21"/>
                <w:highlight w:val="none"/>
              </w:rPr>
            </w:pPr>
            <w:r>
              <w:rPr>
                <w:rFonts w:ascii="Times New Roman" w:hAnsi="Times New Roman"/>
                <w:b/>
                <w:color w:val="auto"/>
                <w:szCs w:val="21"/>
                <w:highlight w:val="none"/>
              </w:rPr>
              <w:t>序号</w:t>
            </w:r>
          </w:p>
        </w:tc>
        <w:tc>
          <w:tcPr>
            <w:tcW w:w="1380" w:type="dxa"/>
            <w:noWrap/>
            <w:vAlign w:val="center"/>
          </w:tcPr>
          <w:p>
            <w:pPr>
              <w:spacing w:line="360" w:lineRule="auto"/>
              <w:jc w:val="center"/>
              <w:rPr>
                <w:rFonts w:ascii="Times New Roman" w:hAnsi="Times New Roman"/>
                <w:b/>
                <w:color w:val="auto"/>
                <w:szCs w:val="21"/>
                <w:highlight w:val="none"/>
              </w:rPr>
            </w:pPr>
            <w:r>
              <w:rPr>
                <w:rFonts w:ascii="Times New Roman" w:hAnsi="Times New Roman"/>
                <w:b/>
                <w:color w:val="auto"/>
                <w:szCs w:val="21"/>
                <w:highlight w:val="none"/>
              </w:rPr>
              <w:t>状态</w:t>
            </w:r>
          </w:p>
        </w:tc>
        <w:tc>
          <w:tcPr>
            <w:tcW w:w="937" w:type="dxa"/>
            <w:noWrap/>
            <w:vAlign w:val="center"/>
          </w:tcPr>
          <w:p>
            <w:pPr>
              <w:spacing w:line="360" w:lineRule="auto"/>
              <w:jc w:val="center"/>
              <w:rPr>
                <w:rFonts w:ascii="Times New Roman" w:hAnsi="Times New Roman"/>
                <w:b/>
                <w:color w:val="auto"/>
                <w:szCs w:val="21"/>
                <w:highlight w:val="none"/>
              </w:rPr>
            </w:pPr>
            <w:r>
              <w:rPr>
                <w:rFonts w:ascii="Times New Roman" w:hAnsi="Times New Roman"/>
                <w:b/>
                <w:color w:val="auto"/>
                <w:szCs w:val="21"/>
                <w:highlight w:val="none"/>
              </w:rPr>
              <w:t>行政区</w:t>
            </w:r>
          </w:p>
        </w:tc>
        <w:tc>
          <w:tcPr>
            <w:tcW w:w="1440" w:type="dxa"/>
            <w:noWrap/>
            <w:vAlign w:val="center"/>
          </w:tcPr>
          <w:p>
            <w:pPr>
              <w:spacing w:line="360" w:lineRule="auto"/>
              <w:jc w:val="center"/>
              <w:rPr>
                <w:rFonts w:ascii="Times New Roman" w:hAnsi="Times New Roman"/>
                <w:b/>
                <w:color w:val="auto"/>
                <w:szCs w:val="21"/>
                <w:highlight w:val="none"/>
              </w:rPr>
            </w:pPr>
            <w:r>
              <w:rPr>
                <w:rFonts w:ascii="Times New Roman" w:hAnsi="Times New Roman"/>
                <w:b/>
                <w:color w:val="auto"/>
                <w:szCs w:val="21"/>
                <w:highlight w:val="none"/>
              </w:rPr>
              <w:t>建成区面积（hm）</w:t>
            </w:r>
          </w:p>
        </w:tc>
        <w:tc>
          <w:tcPr>
            <w:tcW w:w="1440" w:type="dxa"/>
            <w:noWrap/>
            <w:vAlign w:val="center"/>
          </w:tcPr>
          <w:p>
            <w:pPr>
              <w:spacing w:line="360" w:lineRule="auto"/>
              <w:jc w:val="center"/>
              <w:rPr>
                <w:rFonts w:ascii="Times New Roman" w:hAnsi="Times New Roman"/>
                <w:b/>
                <w:color w:val="auto"/>
                <w:szCs w:val="21"/>
                <w:highlight w:val="none"/>
              </w:rPr>
            </w:pPr>
            <w:r>
              <w:rPr>
                <w:rFonts w:ascii="Times New Roman" w:hAnsi="Times New Roman"/>
                <w:b/>
                <w:color w:val="auto"/>
                <w:szCs w:val="21"/>
                <w:highlight w:val="none"/>
              </w:rPr>
              <w:t>建成区公园绿地面积（hm）</w:t>
            </w:r>
          </w:p>
        </w:tc>
        <w:tc>
          <w:tcPr>
            <w:tcW w:w="1440" w:type="dxa"/>
            <w:noWrap/>
            <w:vAlign w:val="center"/>
          </w:tcPr>
          <w:p>
            <w:pPr>
              <w:spacing w:line="360" w:lineRule="auto"/>
              <w:jc w:val="center"/>
              <w:rPr>
                <w:rFonts w:ascii="Times New Roman" w:hAnsi="Times New Roman"/>
                <w:b/>
                <w:color w:val="auto"/>
                <w:szCs w:val="21"/>
                <w:highlight w:val="none"/>
              </w:rPr>
            </w:pPr>
            <w:r>
              <w:rPr>
                <w:rFonts w:ascii="Times New Roman" w:hAnsi="Times New Roman"/>
                <w:b/>
                <w:color w:val="auto"/>
                <w:szCs w:val="21"/>
                <w:highlight w:val="none"/>
              </w:rPr>
              <w:t>建成区常住人口（万人）</w:t>
            </w:r>
          </w:p>
        </w:tc>
        <w:tc>
          <w:tcPr>
            <w:tcW w:w="1443" w:type="dxa"/>
            <w:noWrap/>
            <w:vAlign w:val="center"/>
          </w:tcPr>
          <w:p>
            <w:pPr>
              <w:spacing w:line="360" w:lineRule="auto"/>
              <w:jc w:val="center"/>
              <w:rPr>
                <w:rFonts w:ascii="Times New Roman" w:hAnsi="Times New Roman"/>
                <w:b/>
                <w:color w:val="auto"/>
                <w:szCs w:val="21"/>
                <w:highlight w:val="none"/>
              </w:rPr>
            </w:pPr>
            <w:r>
              <w:rPr>
                <w:rFonts w:ascii="Times New Roman" w:hAnsi="Times New Roman"/>
                <w:b/>
                <w:color w:val="auto"/>
                <w:szCs w:val="21"/>
                <w:highlight w:val="none"/>
              </w:rPr>
              <w:t>城区人均公园绿地面积（</w:t>
            </w:r>
            <w:r>
              <w:rPr>
                <w:rFonts w:ascii="Times New Roman" w:hAnsi="Times New Roman"/>
                <w:b/>
                <w:color w:val="auto"/>
                <w:sz w:val="24"/>
                <w:highlight w:val="none"/>
              </w:rPr>
              <w:t>m</w:t>
            </w:r>
            <w:r>
              <w:rPr>
                <w:rFonts w:ascii="Times New Roman" w:hAnsi="Times New Roman"/>
                <w:b/>
                <w:color w:val="auto"/>
                <w:sz w:val="24"/>
                <w:highlight w:val="none"/>
                <w:vertAlign w:val="superscript"/>
              </w:rPr>
              <w:t>2</w:t>
            </w:r>
            <w:r>
              <w:rPr>
                <w:rFonts w:ascii="Times New Roman" w:hAnsi="Times New Roman"/>
                <w:b/>
                <w:color w:val="auto"/>
                <w:sz w:val="24"/>
                <w:highlight w:val="none"/>
              </w:rPr>
              <w:t>/人</w:t>
            </w:r>
            <w:r>
              <w:rPr>
                <w:rFonts w:ascii="Times New Roman" w:hAnsi="Times New Roman"/>
                <w:b/>
                <w:color w:val="auto"/>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38"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w:t>
            </w:r>
          </w:p>
        </w:tc>
        <w:tc>
          <w:tcPr>
            <w:tcW w:w="1380"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现状</w:t>
            </w:r>
          </w:p>
        </w:tc>
        <w:tc>
          <w:tcPr>
            <w:tcW w:w="937"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海丰县</w:t>
            </w:r>
          </w:p>
        </w:tc>
        <w:tc>
          <w:tcPr>
            <w:tcW w:w="1440"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190</w:t>
            </w:r>
            <w:r>
              <w:rPr>
                <w:rFonts w:hint="eastAsia" w:ascii="Times New Roman" w:hAnsi="Times New Roman"/>
                <w:color w:val="auto"/>
                <w:szCs w:val="21"/>
                <w:highlight w:val="none"/>
              </w:rPr>
              <w:t>0</w:t>
            </w:r>
            <w:r>
              <w:rPr>
                <w:rFonts w:ascii="Times New Roman" w:hAnsi="Times New Roman"/>
                <w:color w:val="auto"/>
                <w:szCs w:val="21"/>
                <w:highlight w:val="none"/>
              </w:rPr>
              <w:t>.00</w:t>
            </w:r>
          </w:p>
        </w:tc>
        <w:tc>
          <w:tcPr>
            <w:tcW w:w="1440"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36.74</w:t>
            </w:r>
          </w:p>
        </w:tc>
        <w:tc>
          <w:tcPr>
            <w:tcW w:w="1440"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29.73</w:t>
            </w:r>
          </w:p>
        </w:tc>
        <w:tc>
          <w:tcPr>
            <w:tcW w:w="1443"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38"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2</w:t>
            </w:r>
          </w:p>
        </w:tc>
        <w:tc>
          <w:tcPr>
            <w:tcW w:w="1380"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规划建设后</w:t>
            </w:r>
          </w:p>
        </w:tc>
        <w:tc>
          <w:tcPr>
            <w:tcW w:w="937"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海丰县</w:t>
            </w:r>
          </w:p>
        </w:tc>
        <w:tc>
          <w:tcPr>
            <w:tcW w:w="1440" w:type="dxa"/>
            <w:noWrap/>
            <w:vAlign w:val="center"/>
          </w:tcPr>
          <w:p>
            <w:pPr>
              <w:spacing w:line="360" w:lineRule="auto"/>
              <w:jc w:val="center"/>
              <w:rPr>
                <w:rFonts w:ascii="Times New Roman" w:hAnsi="Times New Roman"/>
                <w:color w:val="auto"/>
                <w:szCs w:val="21"/>
                <w:highlight w:val="none"/>
              </w:rPr>
            </w:pPr>
            <w:r>
              <w:rPr>
                <w:rFonts w:hint="eastAsia" w:ascii="Times New Roman" w:hAnsi="Times New Roman"/>
                <w:color w:val="auto"/>
                <w:szCs w:val="21"/>
                <w:highlight w:val="none"/>
              </w:rPr>
              <w:t>2700</w:t>
            </w:r>
            <w:r>
              <w:rPr>
                <w:rFonts w:ascii="Times New Roman" w:hAnsi="Times New Roman"/>
                <w:color w:val="auto"/>
                <w:szCs w:val="21"/>
                <w:highlight w:val="none"/>
              </w:rPr>
              <w:t>.00</w:t>
            </w:r>
          </w:p>
        </w:tc>
        <w:tc>
          <w:tcPr>
            <w:tcW w:w="1440"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267.73</w:t>
            </w:r>
          </w:p>
        </w:tc>
        <w:tc>
          <w:tcPr>
            <w:tcW w:w="1440" w:type="dxa"/>
            <w:noWrap/>
            <w:vAlign w:val="center"/>
          </w:tcPr>
          <w:p>
            <w:pPr>
              <w:spacing w:line="360" w:lineRule="auto"/>
              <w:jc w:val="center"/>
              <w:rPr>
                <w:rFonts w:ascii="Times New Roman" w:hAnsi="Times New Roman"/>
                <w:color w:val="auto"/>
                <w:szCs w:val="21"/>
                <w:highlight w:val="none"/>
              </w:rPr>
            </w:pPr>
            <w:r>
              <w:rPr>
                <w:rFonts w:hint="eastAsia" w:ascii="Times New Roman" w:hAnsi="Times New Roman"/>
                <w:color w:val="auto"/>
                <w:szCs w:val="21"/>
                <w:highlight w:val="none"/>
              </w:rPr>
              <w:t>26</w:t>
            </w:r>
          </w:p>
        </w:tc>
        <w:tc>
          <w:tcPr>
            <w:tcW w:w="1443" w:type="dxa"/>
            <w:noWrap/>
            <w:vAlign w:val="center"/>
          </w:tcPr>
          <w:p>
            <w:pPr>
              <w:spacing w:line="360" w:lineRule="auto"/>
              <w:jc w:val="center"/>
              <w:rPr>
                <w:rFonts w:ascii="Times New Roman" w:hAnsi="Times New Roman"/>
                <w:color w:val="auto"/>
                <w:szCs w:val="21"/>
                <w:highlight w:val="none"/>
              </w:rPr>
            </w:pPr>
            <w:r>
              <w:rPr>
                <w:rFonts w:hint="eastAsia" w:ascii="Times New Roman" w:hAnsi="Times New Roman"/>
                <w:color w:val="auto"/>
                <w:szCs w:val="21"/>
                <w:highlight w:val="none"/>
              </w:rPr>
              <w:t>9.31</w:t>
            </w:r>
          </w:p>
        </w:tc>
      </w:tr>
    </w:tbl>
    <w:p>
      <w:pPr>
        <w:pStyle w:val="2"/>
        <w:ind w:left="0" w:leftChars="0" w:firstLine="0" w:firstLineChars="0"/>
        <w:rPr>
          <w:rFonts w:ascii="Times New Roman" w:hAnsi="Times New Roman" w:eastAsia="宋体"/>
          <w:color w:val="auto"/>
          <w:sz w:val="21"/>
          <w:highlight w:val="none"/>
        </w:rPr>
      </w:pPr>
      <w:bookmarkStart w:id="351" w:name="_Toc54451062"/>
      <w:bookmarkStart w:id="352" w:name="_Toc60499698"/>
    </w:p>
    <w:p>
      <w:pPr>
        <w:pStyle w:val="6"/>
        <w:rPr>
          <w:rFonts w:ascii="Times New Roman" w:hAnsi="Times New Roman"/>
          <w:color w:val="auto"/>
          <w:highlight w:val="none"/>
        </w:rPr>
      </w:pPr>
      <w:bookmarkStart w:id="353" w:name="_Toc60776389"/>
      <w:bookmarkStart w:id="354" w:name="_Toc27539"/>
      <w:r>
        <w:rPr>
          <w:rFonts w:ascii="Times New Roman" w:hAnsi="Times New Roman"/>
          <w:color w:val="auto"/>
          <w:highlight w:val="none"/>
        </w:rPr>
        <w:t>12、公园绿地服务半径覆盖率</w:t>
      </w:r>
      <w:bookmarkEnd w:id="351"/>
      <w:bookmarkEnd w:id="352"/>
      <w:bookmarkEnd w:id="353"/>
      <w:bookmarkEnd w:id="354"/>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指标要求：≥80%。</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计算方法：公园绿地服务半径覆盖率（%）=公园绿地服务半径覆盖的居住用地面积（hm</w:t>
      </w:r>
      <w:r>
        <w:rPr>
          <w:rFonts w:ascii="Times New Roman" w:hAnsi="Times New Roman"/>
          <w:color w:val="auto"/>
          <w:sz w:val="24"/>
          <w:highlight w:val="none"/>
          <w:vertAlign w:val="superscript"/>
        </w:rPr>
        <w:t>2</w:t>
      </w:r>
      <w:r>
        <w:rPr>
          <w:rFonts w:ascii="Times New Roman" w:hAnsi="Times New Roman"/>
          <w:color w:val="auto"/>
          <w:sz w:val="24"/>
          <w:highlight w:val="none"/>
        </w:rPr>
        <w:t>）/居住用地总面积（hm</w:t>
      </w:r>
      <w:r>
        <w:rPr>
          <w:rFonts w:ascii="Times New Roman" w:hAnsi="Times New Roman"/>
          <w:color w:val="auto"/>
          <w:sz w:val="24"/>
          <w:highlight w:val="none"/>
          <w:vertAlign w:val="superscript"/>
        </w:rPr>
        <w:t>2</w:t>
      </w:r>
      <w:r>
        <w:rPr>
          <w:rFonts w:ascii="Times New Roman" w:hAnsi="Times New Roman"/>
          <w:color w:val="auto"/>
          <w:sz w:val="24"/>
          <w:highlight w:val="none"/>
        </w:rPr>
        <w:t>）×100%。</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调查结果：海丰县建成区现状居住用地总面积为851.91公顷，公园绿地服务半径覆盖的居住用地面积429.29公顷，公园绿地服务半径覆盖率50.40%，</w:t>
      </w:r>
      <w:r>
        <w:rPr>
          <w:rFonts w:ascii="Times New Roman" w:hAnsi="Times New Roman"/>
          <w:b/>
          <w:bCs/>
          <w:color w:val="auto"/>
          <w:sz w:val="24"/>
          <w:highlight w:val="none"/>
        </w:rPr>
        <w:t>暂不达标</w:t>
      </w:r>
      <w:r>
        <w:rPr>
          <w:rFonts w:ascii="Times New Roman" w:hAnsi="Times New Roman"/>
          <w:color w:val="auto"/>
          <w:sz w:val="24"/>
          <w:highlight w:val="none"/>
        </w:rPr>
        <w:t>。经重新规划建设后，海丰县公园居住用地总面积948.64公顷，公园绿地服务半径覆盖的居住用地面积788.91公顷，公园绿地服务半径覆盖率83.16%，达到创省园标准。</w:t>
      </w:r>
    </w:p>
    <w:p>
      <w:pPr>
        <w:spacing w:line="360" w:lineRule="auto"/>
        <w:jc w:val="center"/>
        <w:rPr>
          <w:rFonts w:ascii="Times New Roman" w:hAnsi="Times New Roman"/>
          <w:b/>
          <w:color w:val="auto"/>
          <w:sz w:val="24"/>
          <w:highlight w:val="none"/>
        </w:rPr>
      </w:pPr>
      <w:r>
        <w:rPr>
          <w:rFonts w:ascii="Times New Roman" w:hAnsi="Times New Roman"/>
          <w:b/>
          <w:color w:val="auto"/>
          <w:position w:val="-4"/>
          <w:sz w:val="24"/>
          <w:highlight w:val="none"/>
        </w:rPr>
        <w:t>表</w:t>
      </w:r>
      <w:r>
        <w:rPr>
          <w:rFonts w:ascii="Times New Roman" w:hAnsi="Times New Roman"/>
          <w:b/>
          <w:color w:val="auto"/>
          <w:spacing w:val="-3"/>
          <w:position w:val="-4"/>
          <w:sz w:val="24"/>
          <w:highlight w:val="none"/>
        </w:rPr>
        <w:t xml:space="preserve"> </w:t>
      </w:r>
      <w:r>
        <w:rPr>
          <w:rFonts w:ascii="Times New Roman" w:hAnsi="Times New Roman"/>
          <w:b/>
          <w:color w:val="auto"/>
          <w:spacing w:val="1"/>
          <w:position w:val="-4"/>
          <w:sz w:val="24"/>
          <w:highlight w:val="none"/>
        </w:rPr>
        <w:t>2</w:t>
      </w:r>
      <w:r>
        <w:rPr>
          <w:rFonts w:ascii="Times New Roman" w:hAnsi="Times New Roman"/>
          <w:b/>
          <w:color w:val="auto"/>
          <w:position w:val="-4"/>
          <w:sz w:val="24"/>
          <w:highlight w:val="none"/>
        </w:rPr>
        <w:t>-</w:t>
      </w:r>
      <w:r>
        <w:rPr>
          <w:rFonts w:hint="eastAsia" w:ascii="Times New Roman" w:hAnsi="Times New Roman"/>
          <w:b/>
          <w:color w:val="auto"/>
          <w:position w:val="-4"/>
          <w:sz w:val="24"/>
          <w:highlight w:val="none"/>
        </w:rPr>
        <w:t>6</w:t>
      </w:r>
      <w:r>
        <w:rPr>
          <w:rFonts w:ascii="Times New Roman" w:hAnsi="Times New Roman"/>
          <w:b/>
          <w:color w:val="auto"/>
          <w:position w:val="-4"/>
          <w:sz w:val="24"/>
          <w:highlight w:val="none"/>
        </w:rPr>
        <w:tab/>
      </w:r>
      <w:r>
        <w:rPr>
          <w:rFonts w:ascii="Times New Roman" w:hAnsi="Times New Roman"/>
          <w:b/>
          <w:color w:val="auto"/>
          <w:position w:val="-4"/>
          <w:sz w:val="24"/>
          <w:highlight w:val="none"/>
        </w:rPr>
        <w:t xml:space="preserve"> 海丰县公园绿地服务半径覆盖率统计表</w:t>
      </w:r>
    </w:p>
    <w:tbl>
      <w:tblPr>
        <w:tblStyle w:val="20"/>
        <w:tblW w:w="8418" w:type="dxa"/>
        <w:tblInd w:w="-2" w:type="dxa"/>
        <w:tblLayout w:type="fixed"/>
        <w:tblCellMar>
          <w:top w:w="0" w:type="dxa"/>
          <w:left w:w="0" w:type="dxa"/>
          <w:bottom w:w="0" w:type="dxa"/>
          <w:right w:w="0" w:type="dxa"/>
        </w:tblCellMar>
      </w:tblPr>
      <w:tblGrid>
        <w:gridCol w:w="1192"/>
        <w:gridCol w:w="1233"/>
        <w:gridCol w:w="1233"/>
        <w:gridCol w:w="1234"/>
        <w:gridCol w:w="1841"/>
        <w:gridCol w:w="1685"/>
      </w:tblGrid>
      <w:tr>
        <w:tblPrEx>
          <w:tblCellMar>
            <w:top w:w="0" w:type="dxa"/>
            <w:left w:w="0" w:type="dxa"/>
            <w:bottom w:w="0" w:type="dxa"/>
            <w:right w:w="0" w:type="dxa"/>
          </w:tblCellMar>
        </w:tblPrEx>
        <w:trPr>
          <w:trHeight w:val="1000" w:hRule="exact"/>
        </w:trPr>
        <w:tc>
          <w:tcPr>
            <w:tcW w:w="1192"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bCs/>
                <w:color w:val="auto"/>
                <w:highlight w:val="none"/>
                <w:lang w:eastAsia="en-US"/>
              </w:rPr>
            </w:pPr>
            <w:r>
              <w:rPr>
                <w:rFonts w:ascii="Times New Roman" w:hAnsi="Times New Roman"/>
                <w:b/>
                <w:bCs/>
                <w:color w:val="auto"/>
                <w:highlight w:val="none"/>
                <w:lang w:eastAsia="en-US"/>
              </w:rPr>
              <w:t>序号</w:t>
            </w:r>
          </w:p>
        </w:tc>
        <w:tc>
          <w:tcPr>
            <w:tcW w:w="1233" w:type="dxa"/>
            <w:tcBorders>
              <w:top w:val="single" w:color="000000" w:sz="2" w:space="0"/>
              <w:left w:val="single" w:color="000000" w:sz="2" w:space="0"/>
              <w:bottom w:val="single" w:color="000000" w:sz="2" w:space="0"/>
              <w:right w:val="single" w:color="000000" w:sz="2" w:space="0"/>
            </w:tcBorders>
            <w:vAlign w:val="center"/>
          </w:tcPr>
          <w:p>
            <w:pPr>
              <w:spacing w:line="360" w:lineRule="auto"/>
              <w:jc w:val="center"/>
              <w:rPr>
                <w:rFonts w:ascii="Times New Roman" w:hAnsi="Times New Roman"/>
                <w:b/>
                <w:bCs/>
                <w:color w:val="auto"/>
                <w:highlight w:val="none"/>
                <w:lang w:eastAsia="en-US"/>
              </w:rPr>
            </w:pPr>
            <w:r>
              <w:rPr>
                <w:rFonts w:ascii="Times New Roman" w:hAnsi="Times New Roman"/>
                <w:b/>
                <w:color w:val="auto"/>
                <w:szCs w:val="21"/>
                <w:highlight w:val="none"/>
              </w:rPr>
              <w:t>状态</w:t>
            </w:r>
          </w:p>
        </w:tc>
        <w:tc>
          <w:tcPr>
            <w:tcW w:w="1233"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bCs/>
                <w:color w:val="auto"/>
                <w:highlight w:val="none"/>
                <w:lang w:eastAsia="en-US"/>
              </w:rPr>
            </w:pPr>
            <w:r>
              <w:rPr>
                <w:rFonts w:ascii="Times New Roman" w:hAnsi="Times New Roman"/>
                <w:b/>
                <w:bCs/>
                <w:color w:val="auto"/>
                <w:highlight w:val="none"/>
                <w:lang w:eastAsia="en-US"/>
              </w:rPr>
              <w:t>统计单位</w:t>
            </w:r>
          </w:p>
        </w:tc>
        <w:tc>
          <w:tcPr>
            <w:tcW w:w="1234"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bCs/>
                <w:color w:val="auto"/>
                <w:highlight w:val="none"/>
                <w:lang w:eastAsia="en-US"/>
              </w:rPr>
            </w:pPr>
            <w:r>
              <w:rPr>
                <w:rFonts w:ascii="Times New Roman" w:hAnsi="Times New Roman"/>
                <w:b/>
                <w:bCs/>
                <w:color w:val="auto"/>
                <w:highlight w:val="none"/>
              </w:rPr>
              <w:t>居住区</w:t>
            </w:r>
            <w:r>
              <w:rPr>
                <w:rFonts w:ascii="Times New Roman" w:hAnsi="Times New Roman"/>
                <w:b/>
                <w:bCs/>
                <w:color w:val="auto"/>
                <w:highlight w:val="none"/>
                <w:lang w:eastAsia="en-US"/>
              </w:rPr>
              <w:t>面积</w:t>
            </w:r>
          </w:p>
          <w:p>
            <w:pPr>
              <w:jc w:val="center"/>
              <w:rPr>
                <w:rFonts w:ascii="Times New Roman" w:hAnsi="Times New Roman"/>
                <w:b/>
                <w:bCs/>
                <w:color w:val="auto"/>
                <w:highlight w:val="none"/>
                <w:lang w:eastAsia="en-US"/>
              </w:rPr>
            </w:pPr>
            <w:r>
              <w:rPr>
                <w:rFonts w:ascii="Times New Roman" w:hAnsi="Times New Roman"/>
                <w:b/>
                <w:bCs/>
                <w:color w:val="auto"/>
                <w:highlight w:val="none"/>
                <w:lang w:eastAsia="en-US"/>
              </w:rPr>
              <w:t>（</w:t>
            </w:r>
            <w:r>
              <w:rPr>
                <w:rFonts w:ascii="Times New Roman" w:hAnsi="Times New Roman"/>
                <w:b/>
                <w:bCs/>
                <w:color w:val="auto"/>
                <w:highlight w:val="none"/>
              </w:rPr>
              <w:t>hm</w:t>
            </w:r>
            <w:r>
              <w:rPr>
                <w:rFonts w:ascii="Times New Roman" w:hAnsi="Times New Roman"/>
                <w:b/>
                <w:bCs/>
                <w:color w:val="auto"/>
                <w:highlight w:val="none"/>
                <w:lang w:eastAsia="en-US"/>
              </w:rPr>
              <w:t>）</w:t>
            </w:r>
          </w:p>
        </w:tc>
        <w:tc>
          <w:tcPr>
            <w:tcW w:w="1841"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bCs/>
                <w:color w:val="auto"/>
                <w:highlight w:val="none"/>
              </w:rPr>
            </w:pPr>
            <w:r>
              <w:rPr>
                <w:rFonts w:ascii="Times New Roman" w:hAnsi="Times New Roman"/>
                <w:b/>
                <w:bCs/>
                <w:color w:val="auto"/>
                <w:highlight w:val="none"/>
              </w:rPr>
              <w:t>公园绿地服务半径覆盖面积（hm）</w:t>
            </w:r>
          </w:p>
        </w:tc>
        <w:tc>
          <w:tcPr>
            <w:tcW w:w="1685"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bCs/>
                <w:color w:val="auto"/>
                <w:highlight w:val="none"/>
              </w:rPr>
            </w:pPr>
            <w:r>
              <w:rPr>
                <w:rFonts w:ascii="Times New Roman" w:hAnsi="Times New Roman"/>
                <w:b/>
                <w:bCs/>
                <w:color w:val="auto"/>
                <w:highlight w:val="none"/>
              </w:rPr>
              <w:t>城区公园绿地 服务覆盖率（%）</w:t>
            </w:r>
          </w:p>
        </w:tc>
      </w:tr>
      <w:tr>
        <w:tblPrEx>
          <w:tblCellMar>
            <w:top w:w="0" w:type="dxa"/>
            <w:left w:w="0" w:type="dxa"/>
            <w:bottom w:w="0" w:type="dxa"/>
            <w:right w:w="0" w:type="dxa"/>
          </w:tblCellMar>
        </w:tblPrEx>
        <w:trPr>
          <w:trHeight w:val="398" w:hRule="exact"/>
        </w:trPr>
        <w:tc>
          <w:tcPr>
            <w:tcW w:w="1192"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lang w:eastAsia="en-US"/>
              </w:rPr>
            </w:pPr>
            <w:r>
              <w:rPr>
                <w:rFonts w:ascii="Times New Roman" w:hAnsi="Times New Roman"/>
                <w:color w:val="auto"/>
                <w:highlight w:val="none"/>
                <w:lang w:eastAsia="en-US"/>
              </w:rPr>
              <w:t>1</w:t>
            </w:r>
          </w:p>
        </w:tc>
        <w:tc>
          <w:tcPr>
            <w:tcW w:w="1233" w:type="dxa"/>
            <w:tcBorders>
              <w:top w:val="single" w:color="000000" w:sz="2" w:space="0"/>
              <w:left w:val="single" w:color="000000" w:sz="2" w:space="0"/>
              <w:bottom w:val="single" w:color="000000" w:sz="2" w:space="0"/>
              <w:right w:val="single" w:color="000000" w:sz="2" w:space="0"/>
            </w:tcBorders>
            <w:vAlign w:val="center"/>
          </w:tcPr>
          <w:p>
            <w:pPr>
              <w:spacing w:line="360" w:lineRule="auto"/>
              <w:jc w:val="center"/>
              <w:rPr>
                <w:rFonts w:ascii="Times New Roman" w:hAnsi="Times New Roman"/>
                <w:color w:val="auto"/>
                <w:highlight w:val="none"/>
                <w:lang w:eastAsia="en-US"/>
              </w:rPr>
            </w:pPr>
            <w:r>
              <w:rPr>
                <w:rFonts w:ascii="Times New Roman" w:hAnsi="Times New Roman"/>
                <w:color w:val="auto"/>
                <w:szCs w:val="21"/>
                <w:highlight w:val="none"/>
              </w:rPr>
              <w:t>现状</w:t>
            </w:r>
          </w:p>
        </w:tc>
        <w:tc>
          <w:tcPr>
            <w:tcW w:w="1233"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lang w:eastAsia="en-US"/>
              </w:rPr>
            </w:pPr>
            <w:r>
              <w:rPr>
                <w:rFonts w:ascii="Times New Roman" w:hAnsi="Times New Roman"/>
                <w:color w:val="auto"/>
                <w:highlight w:val="none"/>
                <w:lang w:eastAsia="en-US"/>
              </w:rPr>
              <w:t>海丰县</w:t>
            </w:r>
          </w:p>
        </w:tc>
        <w:tc>
          <w:tcPr>
            <w:tcW w:w="1234"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851.91</w:t>
            </w:r>
          </w:p>
        </w:tc>
        <w:tc>
          <w:tcPr>
            <w:tcW w:w="1841"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429.29</w:t>
            </w:r>
          </w:p>
        </w:tc>
        <w:tc>
          <w:tcPr>
            <w:tcW w:w="1685"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50.40</w:t>
            </w:r>
          </w:p>
        </w:tc>
      </w:tr>
      <w:tr>
        <w:tblPrEx>
          <w:tblCellMar>
            <w:top w:w="0" w:type="dxa"/>
            <w:left w:w="0" w:type="dxa"/>
            <w:bottom w:w="0" w:type="dxa"/>
            <w:right w:w="0" w:type="dxa"/>
          </w:tblCellMar>
        </w:tblPrEx>
        <w:trPr>
          <w:trHeight w:val="398" w:hRule="exact"/>
        </w:trPr>
        <w:tc>
          <w:tcPr>
            <w:tcW w:w="1192"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2</w:t>
            </w:r>
          </w:p>
        </w:tc>
        <w:tc>
          <w:tcPr>
            <w:tcW w:w="1233" w:type="dxa"/>
            <w:tcBorders>
              <w:top w:val="single" w:color="000000" w:sz="2" w:space="0"/>
              <w:left w:val="single" w:color="000000" w:sz="2" w:space="0"/>
              <w:bottom w:val="single" w:color="000000" w:sz="2" w:space="0"/>
              <w:right w:val="single" w:color="000000" w:sz="2" w:space="0"/>
            </w:tcBorders>
            <w:vAlign w:val="center"/>
          </w:tcPr>
          <w:p>
            <w:pPr>
              <w:spacing w:line="360" w:lineRule="auto"/>
              <w:jc w:val="center"/>
              <w:rPr>
                <w:rFonts w:ascii="Times New Roman" w:hAnsi="Times New Roman"/>
                <w:color w:val="auto"/>
                <w:highlight w:val="none"/>
                <w:lang w:eastAsia="en-US"/>
              </w:rPr>
            </w:pPr>
            <w:r>
              <w:rPr>
                <w:rFonts w:ascii="Times New Roman" w:hAnsi="Times New Roman"/>
                <w:color w:val="auto"/>
                <w:szCs w:val="21"/>
                <w:highlight w:val="none"/>
              </w:rPr>
              <w:t>规划建设后</w:t>
            </w:r>
          </w:p>
        </w:tc>
        <w:tc>
          <w:tcPr>
            <w:tcW w:w="1233"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lang w:eastAsia="en-US"/>
              </w:rPr>
            </w:pPr>
            <w:r>
              <w:rPr>
                <w:rFonts w:ascii="Times New Roman" w:hAnsi="Times New Roman"/>
                <w:color w:val="auto"/>
                <w:highlight w:val="none"/>
                <w:lang w:eastAsia="en-US"/>
              </w:rPr>
              <w:t>海丰县</w:t>
            </w:r>
          </w:p>
        </w:tc>
        <w:tc>
          <w:tcPr>
            <w:tcW w:w="1234"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lang w:eastAsia="en-US"/>
              </w:rPr>
            </w:pPr>
            <w:r>
              <w:rPr>
                <w:rFonts w:hint="eastAsia" w:ascii="Times New Roman" w:hAnsi="Times New Roman"/>
                <w:color w:val="auto"/>
                <w:highlight w:val="none"/>
                <w:lang w:eastAsia="en-US"/>
              </w:rPr>
              <w:t>948.64</w:t>
            </w:r>
          </w:p>
        </w:tc>
        <w:tc>
          <w:tcPr>
            <w:tcW w:w="1841" w:type="dxa"/>
            <w:tcBorders>
              <w:top w:val="single" w:color="000000" w:sz="2" w:space="0"/>
              <w:left w:val="single" w:color="000000" w:sz="2" w:space="0"/>
              <w:bottom w:val="single" w:color="000000" w:sz="2" w:space="0"/>
              <w:right w:val="single" w:color="000000" w:sz="2" w:space="0"/>
            </w:tcBorders>
            <w:vAlign w:val="center"/>
          </w:tcPr>
          <w:p>
            <w:pPr>
              <w:jc w:val="center"/>
              <w:rPr>
                <w:rFonts w:hint="default" w:ascii="Times New Roman" w:hAnsi="Times New Roman" w:eastAsia="宋体"/>
                <w:color w:val="auto"/>
                <w:highlight w:val="none"/>
                <w:lang w:val="en-US" w:eastAsia="zh-CN"/>
              </w:rPr>
            </w:pPr>
            <w:r>
              <w:rPr>
                <w:rFonts w:hint="eastAsia" w:ascii="Times New Roman" w:hAnsi="Times New Roman"/>
                <w:color w:val="auto"/>
                <w:highlight w:val="none"/>
                <w:lang w:val="en-US" w:eastAsia="zh-CN"/>
              </w:rPr>
              <w:t>770.70</w:t>
            </w:r>
          </w:p>
        </w:tc>
        <w:tc>
          <w:tcPr>
            <w:tcW w:w="1685" w:type="dxa"/>
            <w:tcBorders>
              <w:top w:val="single" w:color="000000" w:sz="2" w:space="0"/>
              <w:left w:val="single" w:color="000000" w:sz="2" w:space="0"/>
              <w:bottom w:val="single" w:color="000000" w:sz="2" w:space="0"/>
              <w:right w:val="single" w:color="000000" w:sz="2" w:space="0"/>
            </w:tcBorders>
            <w:vAlign w:val="center"/>
          </w:tcPr>
          <w:p>
            <w:pPr>
              <w:jc w:val="center"/>
              <w:rPr>
                <w:rFonts w:hint="default" w:ascii="Times New Roman" w:hAnsi="Times New Roman" w:eastAsia="宋体"/>
                <w:color w:val="auto"/>
                <w:highlight w:val="none"/>
                <w:lang w:val="en-US" w:eastAsia="zh-CN"/>
              </w:rPr>
            </w:pPr>
            <w:r>
              <w:rPr>
                <w:rFonts w:hint="eastAsia" w:ascii="Times New Roman" w:hAnsi="Times New Roman"/>
                <w:color w:val="auto"/>
                <w:highlight w:val="none"/>
                <w:lang w:val="en-US" w:eastAsia="zh-CN"/>
              </w:rPr>
              <w:t>81.43</w:t>
            </w:r>
          </w:p>
        </w:tc>
      </w:tr>
    </w:tbl>
    <w:p>
      <w:pPr>
        <w:rPr>
          <w:rFonts w:ascii="Times New Roman" w:hAnsi="Times New Roman"/>
          <w:color w:val="auto"/>
          <w:highlight w:val="none"/>
        </w:rPr>
      </w:pPr>
      <w:bookmarkStart w:id="355" w:name="_Toc60499699"/>
      <w:bookmarkStart w:id="356" w:name="_Toc54451063"/>
    </w:p>
    <w:p>
      <w:pPr>
        <w:pStyle w:val="6"/>
        <w:rPr>
          <w:rFonts w:ascii="Times New Roman" w:hAnsi="Times New Roman"/>
          <w:color w:val="auto"/>
          <w:highlight w:val="none"/>
        </w:rPr>
      </w:pPr>
      <w:bookmarkStart w:id="357" w:name="_Toc1783"/>
      <w:bookmarkStart w:id="358" w:name="_Toc60776390"/>
      <w:r>
        <w:rPr>
          <w:rFonts w:ascii="Times New Roman" w:hAnsi="Times New Roman"/>
          <w:color w:val="auto"/>
          <w:highlight w:val="none"/>
        </w:rPr>
        <w:t>13、符合《公园设计规范》要求的综合公园</w:t>
      </w:r>
      <w:bookmarkEnd w:id="355"/>
      <w:bookmarkEnd w:id="356"/>
      <w:bookmarkEnd w:id="357"/>
      <w:bookmarkEnd w:id="358"/>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指标要求：≥1个。</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调查结果：海丰县共有综合公园1个，为青年公园（11.90公顷），</w:t>
      </w:r>
      <w:r>
        <w:rPr>
          <w:rFonts w:ascii="Times New Roman" w:hAnsi="Times New Roman"/>
          <w:b/>
          <w:color w:val="auto"/>
          <w:sz w:val="24"/>
          <w:highlight w:val="none"/>
        </w:rPr>
        <w:t>已达标</w:t>
      </w:r>
      <w:r>
        <w:rPr>
          <w:rFonts w:ascii="Times New Roman" w:hAnsi="Times New Roman"/>
          <w:color w:val="auto"/>
          <w:sz w:val="24"/>
          <w:highlight w:val="none"/>
        </w:rPr>
        <w:t>。经规划建设后，增加云岭公园（8.71公顷）和虎岗山公园（7.74公顷），综合公园总数达到3个。</w:t>
      </w:r>
    </w:p>
    <w:p>
      <w:pPr>
        <w:pStyle w:val="6"/>
        <w:rPr>
          <w:rFonts w:ascii="Times New Roman" w:hAnsi="Times New Roman"/>
          <w:color w:val="auto"/>
          <w:highlight w:val="none"/>
        </w:rPr>
      </w:pPr>
      <w:bookmarkStart w:id="359" w:name="_Toc60499700"/>
      <w:bookmarkStart w:id="360" w:name="_Toc17122"/>
      <w:bookmarkStart w:id="361" w:name="_Toc54451064"/>
      <w:bookmarkStart w:id="362" w:name="_Toc60776391"/>
      <w:r>
        <w:rPr>
          <w:rFonts w:ascii="Times New Roman" w:hAnsi="Times New Roman"/>
          <w:color w:val="auto"/>
          <w:highlight w:val="none"/>
        </w:rPr>
        <w:t>14、新建、改建居住区绿地达标率</w:t>
      </w:r>
      <w:bookmarkEnd w:id="359"/>
      <w:bookmarkEnd w:id="360"/>
      <w:bookmarkEnd w:id="361"/>
      <w:bookmarkEnd w:id="362"/>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指标要求：95%。</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计算方法：城市新建、改建居住区绿地达标率（%）=绿地达标的城市新建、改建居住区面积（公顷）/城市新建、改建居住区总面积（公顷）×100%。</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w:t>
      </w:r>
      <w:r>
        <w:rPr>
          <w:rFonts w:hint="eastAsia" w:ascii="Times New Roman" w:hAnsi="Times New Roman"/>
          <w:color w:val="auto"/>
          <w:sz w:val="24"/>
          <w:highlight w:val="none"/>
        </w:rPr>
        <w:t>海丰县2002年（含）以后新建、改建居住区38个，其中绿地达标的城市新建、改建居住区面积</w:t>
      </w:r>
      <w:r>
        <w:rPr>
          <w:rFonts w:hint="eastAsia" w:ascii="Times New Roman" w:hAnsi="Times New Roman"/>
          <w:color w:val="auto"/>
          <w:sz w:val="24"/>
          <w:highlight w:val="none"/>
          <w:lang w:val="en-US" w:eastAsia="zh-CN"/>
        </w:rPr>
        <w:t>99.91</w:t>
      </w:r>
      <w:r>
        <w:rPr>
          <w:rFonts w:hint="eastAsia" w:ascii="Times New Roman" w:hAnsi="Times New Roman"/>
          <w:color w:val="auto"/>
          <w:sz w:val="24"/>
          <w:highlight w:val="none"/>
        </w:rPr>
        <w:t>公顷，城市新建、改建居住区总面积134.24公顷，新建、改建居住区绿地达标率</w:t>
      </w:r>
      <w:r>
        <w:rPr>
          <w:rFonts w:hint="eastAsia" w:ascii="Times New Roman" w:hAnsi="Times New Roman"/>
          <w:color w:val="auto"/>
          <w:sz w:val="24"/>
          <w:highlight w:val="none"/>
          <w:lang w:val="en-US" w:eastAsia="zh-CN"/>
        </w:rPr>
        <w:t>74.43</w:t>
      </w:r>
      <w:r>
        <w:rPr>
          <w:rFonts w:hint="eastAsia" w:ascii="Times New Roman" w:hAnsi="Times New Roman"/>
          <w:color w:val="auto"/>
          <w:sz w:val="24"/>
          <w:highlight w:val="none"/>
        </w:rPr>
        <w:t>%</w:t>
      </w:r>
      <w:r>
        <w:rPr>
          <w:rFonts w:ascii="Times New Roman" w:hAnsi="Times New Roman"/>
          <w:color w:val="auto"/>
          <w:sz w:val="24"/>
          <w:highlight w:val="none"/>
        </w:rPr>
        <w:t>，</w:t>
      </w:r>
      <w:r>
        <w:rPr>
          <w:rFonts w:ascii="Times New Roman" w:hAnsi="Times New Roman"/>
          <w:b/>
          <w:bCs/>
          <w:color w:val="auto"/>
          <w:sz w:val="24"/>
          <w:highlight w:val="none"/>
        </w:rPr>
        <w:t>暂不达标</w:t>
      </w:r>
      <w:r>
        <w:rPr>
          <w:rFonts w:ascii="Times New Roman" w:hAnsi="Times New Roman"/>
          <w:color w:val="auto"/>
          <w:sz w:val="24"/>
          <w:highlight w:val="none"/>
        </w:rPr>
        <w:t>。</w:t>
      </w:r>
    </w:p>
    <w:p>
      <w:pPr>
        <w:spacing w:line="360" w:lineRule="auto"/>
        <w:jc w:val="center"/>
        <w:rPr>
          <w:rFonts w:ascii="Times New Roman" w:hAnsi="Times New Roman"/>
          <w:b/>
          <w:color w:val="auto"/>
          <w:sz w:val="24"/>
          <w:highlight w:val="none"/>
        </w:rPr>
      </w:pPr>
      <w:r>
        <w:rPr>
          <w:rFonts w:ascii="Times New Roman" w:hAnsi="Times New Roman"/>
          <w:b/>
          <w:color w:val="auto"/>
          <w:sz w:val="24"/>
          <w:highlight w:val="none"/>
        </w:rPr>
        <w:t>表2-</w:t>
      </w:r>
      <w:r>
        <w:rPr>
          <w:rFonts w:hint="eastAsia" w:ascii="Times New Roman" w:hAnsi="Times New Roman"/>
          <w:b/>
          <w:color w:val="auto"/>
          <w:sz w:val="24"/>
          <w:highlight w:val="none"/>
        </w:rPr>
        <w:t>7</w:t>
      </w:r>
      <w:r>
        <w:rPr>
          <w:rFonts w:ascii="Times New Roman" w:hAnsi="Times New Roman"/>
          <w:b/>
          <w:color w:val="auto"/>
          <w:sz w:val="24"/>
          <w:highlight w:val="none"/>
        </w:rPr>
        <w:t xml:space="preserve">  2002年以来海丰县新建、改建居住区绿地达标率统计表</w:t>
      </w:r>
    </w:p>
    <w:tbl>
      <w:tblPr>
        <w:tblStyle w:val="20"/>
        <w:tblW w:w="8322" w:type="dxa"/>
        <w:tblInd w:w="98" w:type="dxa"/>
        <w:tblLayout w:type="fixed"/>
        <w:tblCellMar>
          <w:top w:w="0" w:type="dxa"/>
          <w:left w:w="0" w:type="dxa"/>
          <w:bottom w:w="0" w:type="dxa"/>
          <w:right w:w="0" w:type="dxa"/>
        </w:tblCellMar>
      </w:tblPr>
      <w:tblGrid>
        <w:gridCol w:w="625"/>
        <w:gridCol w:w="960"/>
        <w:gridCol w:w="1684"/>
        <w:gridCol w:w="1684"/>
        <w:gridCol w:w="1684"/>
        <w:gridCol w:w="1685"/>
      </w:tblGrid>
      <w:tr>
        <w:tblPrEx>
          <w:tblCellMar>
            <w:top w:w="0" w:type="dxa"/>
            <w:left w:w="0" w:type="dxa"/>
            <w:bottom w:w="0" w:type="dxa"/>
            <w:right w:w="0" w:type="dxa"/>
          </w:tblCellMar>
        </w:tblPrEx>
        <w:trPr>
          <w:trHeight w:val="1100" w:hRule="exact"/>
        </w:trPr>
        <w:tc>
          <w:tcPr>
            <w:tcW w:w="625"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bCs/>
                <w:color w:val="auto"/>
                <w:highlight w:val="none"/>
                <w:lang w:eastAsia="en-US"/>
              </w:rPr>
            </w:pPr>
            <w:r>
              <w:rPr>
                <w:rFonts w:ascii="Times New Roman" w:hAnsi="Times New Roman"/>
                <w:b/>
                <w:bCs/>
                <w:color w:val="auto"/>
                <w:highlight w:val="none"/>
                <w:lang w:eastAsia="en-US"/>
              </w:rPr>
              <w:t>序号</w:t>
            </w:r>
          </w:p>
        </w:tc>
        <w:tc>
          <w:tcPr>
            <w:tcW w:w="960"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bCs/>
                <w:color w:val="auto"/>
                <w:highlight w:val="none"/>
                <w:lang w:eastAsia="en-US"/>
              </w:rPr>
            </w:pPr>
            <w:r>
              <w:rPr>
                <w:rFonts w:ascii="Times New Roman" w:hAnsi="Times New Roman"/>
                <w:b/>
                <w:bCs/>
                <w:color w:val="auto"/>
                <w:highlight w:val="none"/>
                <w:lang w:eastAsia="en-US"/>
              </w:rPr>
              <w:t>统计单位</w:t>
            </w:r>
          </w:p>
        </w:tc>
        <w:tc>
          <w:tcPr>
            <w:tcW w:w="1684"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bCs/>
                <w:color w:val="auto"/>
                <w:highlight w:val="none"/>
              </w:rPr>
            </w:pPr>
            <w:r>
              <w:rPr>
                <w:rFonts w:ascii="Times New Roman" w:hAnsi="Times New Roman"/>
                <w:b/>
                <w:bCs/>
                <w:color w:val="auto"/>
                <w:highlight w:val="none"/>
              </w:rPr>
              <w:t>绿地达标的城市新建、改建居住区个数（个）</w:t>
            </w:r>
          </w:p>
        </w:tc>
        <w:tc>
          <w:tcPr>
            <w:tcW w:w="1684"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bCs/>
                <w:color w:val="auto"/>
                <w:highlight w:val="none"/>
              </w:rPr>
            </w:pPr>
            <w:r>
              <w:rPr>
                <w:rFonts w:ascii="Times New Roman" w:hAnsi="Times New Roman"/>
                <w:b/>
                <w:bCs/>
                <w:color w:val="auto"/>
                <w:highlight w:val="none"/>
              </w:rPr>
              <w:t>绿地达标的城市新建、改建居住区面积（hm）</w:t>
            </w:r>
          </w:p>
        </w:tc>
        <w:tc>
          <w:tcPr>
            <w:tcW w:w="1684"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bCs/>
                <w:color w:val="auto"/>
                <w:highlight w:val="none"/>
              </w:rPr>
            </w:pPr>
            <w:r>
              <w:rPr>
                <w:rFonts w:ascii="Times New Roman" w:hAnsi="Times New Roman"/>
                <w:b/>
                <w:bCs/>
                <w:color w:val="auto"/>
                <w:highlight w:val="none"/>
              </w:rPr>
              <w:t>新建、改建居住区总面积（hm）</w:t>
            </w:r>
          </w:p>
        </w:tc>
        <w:tc>
          <w:tcPr>
            <w:tcW w:w="1685"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bCs/>
                <w:color w:val="auto"/>
                <w:highlight w:val="none"/>
              </w:rPr>
            </w:pPr>
            <w:r>
              <w:rPr>
                <w:rFonts w:ascii="Times New Roman" w:hAnsi="Times New Roman"/>
                <w:b/>
                <w:bCs/>
                <w:color w:val="auto"/>
                <w:highlight w:val="none"/>
              </w:rPr>
              <w:t>城市新建、改建居住区绿地达标率</w:t>
            </w:r>
          </w:p>
          <w:p>
            <w:pPr>
              <w:jc w:val="center"/>
              <w:rPr>
                <w:rFonts w:ascii="Times New Roman" w:hAnsi="Times New Roman"/>
                <w:b/>
                <w:bCs/>
                <w:color w:val="auto"/>
                <w:highlight w:val="none"/>
                <w:lang w:eastAsia="en-US"/>
              </w:rPr>
            </w:pPr>
            <w:r>
              <w:rPr>
                <w:rFonts w:ascii="Times New Roman" w:hAnsi="Times New Roman"/>
                <w:b/>
                <w:bCs/>
                <w:color w:val="auto"/>
                <w:highlight w:val="none"/>
                <w:lang w:eastAsia="en-US"/>
              </w:rPr>
              <w:t>（%）</w:t>
            </w:r>
          </w:p>
        </w:tc>
      </w:tr>
      <w:tr>
        <w:tblPrEx>
          <w:tblCellMar>
            <w:top w:w="0" w:type="dxa"/>
            <w:left w:w="0" w:type="dxa"/>
            <w:bottom w:w="0" w:type="dxa"/>
            <w:right w:w="0" w:type="dxa"/>
          </w:tblCellMar>
        </w:tblPrEx>
        <w:trPr>
          <w:trHeight w:val="398" w:hRule="exact"/>
        </w:trPr>
        <w:tc>
          <w:tcPr>
            <w:tcW w:w="625"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szCs w:val="21"/>
                <w:highlight w:val="none"/>
                <w:lang w:eastAsia="en-US"/>
              </w:rPr>
            </w:pPr>
            <w:r>
              <w:rPr>
                <w:rFonts w:ascii="Times New Roman" w:hAnsi="Times New Roman"/>
                <w:color w:val="auto"/>
                <w:szCs w:val="21"/>
                <w:highlight w:val="none"/>
                <w:lang w:eastAsia="en-US"/>
              </w:rPr>
              <w:t>1</w:t>
            </w:r>
          </w:p>
        </w:tc>
        <w:tc>
          <w:tcPr>
            <w:tcW w:w="960"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szCs w:val="21"/>
                <w:highlight w:val="none"/>
                <w:lang w:eastAsia="en-US"/>
              </w:rPr>
            </w:pPr>
            <w:r>
              <w:rPr>
                <w:rFonts w:ascii="Times New Roman" w:hAnsi="Times New Roman"/>
                <w:color w:val="auto"/>
                <w:szCs w:val="21"/>
                <w:highlight w:val="none"/>
                <w:lang w:eastAsia="en-US"/>
              </w:rPr>
              <w:t>海丰县</w:t>
            </w:r>
          </w:p>
        </w:tc>
        <w:tc>
          <w:tcPr>
            <w:tcW w:w="1684" w:type="dxa"/>
            <w:tcBorders>
              <w:top w:val="single" w:color="000000" w:sz="2" w:space="0"/>
              <w:left w:val="single" w:color="000000" w:sz="2" w:space="0"/>
              <w:bottom w:val="single" w:color="000000" w:sz="2" w:space="0"/>
              <w:right w:val="single" w:color="000000" w:sz="2" w:space="0"/>
            </w:tcBorders>
            <w:vAlign w:val="center"/>
          </w:tcPr>
          <w:p>
            <w:pPr>
              <w:jc w:val="center"/>
              <w:rPr>
                <w:rFonts w:hint="default" w:ascii="Times New Roman" w:hAnsi="Times New Roman" w:eastAsia="宋体"/>
                <w:color w:val="auto"/>
                <w:szCs w:val="21"/>
                <w:highlight w:val="none"/>
                <w:lang w:val="en-US" w:eastAsia="zh-CN"/>
              </w:rPr>
            </w:pPr>
            <w:r>
              <w:rPr>
                <w:rFonts w:hint="eastAsia" w:ascii="Times New Roman" w:hAnsi="Times New Roman"/>
                <w:color w:val="auto"/>
                <w:szCs w:val="21"/>
                <w:highlight w:val="none"/>
                <w:lang w:val="en-US" w:eastAsia="zh-CN"/>
              </w:rPr>
              <w:t>22</w:t>
            </w:r>
          </w:p>
        </w:tc>
        <w:tc>
          <w:tcPr>
            <w:tcW w:w="1684" w:type="dxa"/>
            <w:tcBorders>
              <w:top w:val="single" w:color="000000" w:sz="2" w:space="0"/>
              <w:left w:val="single" w:color="000000" w:sz="2" w:space="0"/>
              <w:bottom w:val="single" w:color="000000" w:sz="2" w:space="0"/>
              <w:right w:val="single" w:color="000000" w:sz="2" w:space="0"/>
            </w:tcBorders>
            <w:vAlign w:val="center"/>
          </w:tcPr>
          <w:p>
            <w:pPr>
              <w:widowControl/>
              <w:jc w:val="center"/>
              <w:textAlignment w:val="center"/>
              <w:rPr>
                <w:rFonts w:hint="default" w:ascii="Times New Roman" w:hAnsi="Times New Roman" w:eastAsia="宋体"/>
                <w:color w:val="auto"/>
                <w:szCs w:val="21"/>
                <w:highlight w:val="none"/>
                <w:lang w:val="en-US" w:eastAsia="zh-CN"/>
              </w:rPr>
            </w:pPr>
            <w:r>
              <w:rPr>
                <w:rFonts w:hint="eastAsia" w:ascii="Times New Roman" w:hAnsi="Times New Roman"/>
                <w:color w:val="auto"/>
                <w:kern w:val="0"/>
                <w:szCs w:val="21"/>
                <w:highlight w:val="none"/>
                <w:lang w:val="en-US" w:eastAsia="zh-CN" w:bidi="ar"/>
              </w:rPr>
              <w:t>99.91</w:t>
            </w:r>
          </w:p>
        </w:tc>
        <w:tc>
          <w:tcPr>
            <w:tcW w:w="1684" w:type="dxa"/>
            <w:tcBorders>
              <w:top w:val="single" w:color="000000" w:sz="2" w:space="0"/>
              <w:left w:val="single" w:color="000000" w:sz="2" w:space="0"/>
              <w:bottom w:val="single" w:color="000000" w:sz="2" w:space="0"/>
              <w:right w:val="single" w:color="000000" w:sz="2" w:space="0"/>
            </w:tcBorders>
            <w:vAlign w:val="center"/>
          </w:tcPr>
          <w:p>
            <w:pPr>
              <w:widowControl/>
              <w:jc w:val="center"/>
              <w:textAlignment w:val="center"/>
              <w:rPr>
                <w:rFonts w:ascii="Times New Roman" w:hAnsi="Times New Roman"/>
                <w:color w:val="auto"/>
                <w:szCs w:val="21"/>
                <w:highlight w:val="none"/>
              </w:rPr>
            </w:pPr>
            <w:r>
              <w:rPr>
                <w:rFonts w:hint="eastAsia" w:ascii="Times New Roman" w:hAnsi="Times New Roman"/>
                <w:color w:val="auto"/>
                <w:kern w:val="0"/>
                <w:szCs w:val="21"/>
                <w:highlight w:val="none"/>
                <w:lang w:bidi="ar"/>
              </w:rPr>
              <w:t>134.24</w:t>
            </w:r>
          </w:p>
        </w:tc>
        <w:tc>
          <w:tcPr>
            <w:tcW w:w="1685"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lang w:val="en-US" w:eastAsia="zh-CN"/>
              </w:rPr>
              <w:t>74.43</w:t>
            </w:r>
            <w:r>
              <w:rPr>
                <w:rFonts w:ascii="Times New Roman" w:hAnsi="Times New Roman"/>
                <w:color w:val="auto"/>
                <w:szCs w:val="21"/>
                <w:highlight w:val="none"/>
              </w:rPr>
              <w:t>%</w:t>
            </w:r>
          </w:p>
        </w:tc>
      </w:tr>
    </w:tbl>
    <w:p>
      <w:pPr>
        <w:spacing w:line="360" w:lineRule="auto"/>
        <w:rPr>
          <w:rFonts w:ascii="Times New Roman" w:hAnsi="Times New Roman"/>
          <w:b/>
          <w:color w:val="auto"/>
          <w:sz w:val="24"/>
          <w:highlight w:val="none"/>
        </w:rPr>
      </w:pPr>
    </w:p>
    <w:p>
      <w:pPr>
        <w:spacing w:line="360" w:lineRule="auto"/>
        <w:jc w:val="center"/>
        <w:rPr>
          <w:rFonts w:ascii="Times New Roman" w:hAnsi="Times New Roman"/>
          <w:b/>
          <w:color w:val="auto"/>
          <w:sz w:val="24"/>
          <w:highlight w:val="none"/>
        </w:rPr>
      </w:pPr>
      <w:r>
        <w:rPr>
          <w:rFonts w:ascii="Times New Roman" w:hAnsi="Times New Roman"/>
          <w:b/>
          <w:color w:val="auto"/>
          <w:sz w:val="24"/>
          <w:highlight w:val="none"/>
        </w:rPr>
        <w:t>表2-</w:t>
      </w:r>
      <w:r>
        <w:rPr>
          <w:rFonts w:hint="eastAsia" w:ascii="Times New Roman" w:hAnsi="Times New Roman"/>
          <w:b/>
          <w:color w:val="auto"/>
          <w:sz w:val="24"/>
          <w:highlight w:val="none"/>
        </w:rPr>
        <w:t>8</w:t>
      </w:r>
      <w:r>
        <w:rPr>
          <w:rFonts w:ascii="Times New Roman" w:hAnsi="Times New Roman"/>
          <w:b/>
          <w:color w:val="auto"/>
          <w:sz w:val="24"/>
          <w:highlight w:val="none"/>
        </w:rPr>
        <w:t xml:space="preserve">  2002年以来海丰县新建、改建居住区绿地达标率明细表</w:t>
      </w:r>
    </w:p>
    <w:tbl>
      <w:tblPr>
        <w:tblStyle w:val="20"/>
        <w:tblW w:w="90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33"/>
        <w:gridCol w:w="1347"/>
        <w:gridCol w:w="1720"/>
        <w:gridCol w:w="610"/>
        <w:gridCol w:w="640"/>
        <w:gridCol w:w="990"/>
        <w:gridCol w:w="869"/>
        <w:gridCol w:w="880"/>
        <w:gridCol w:w="780"/>
        <w:gridCol w:w="5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0" w:hRule="atLeast"/>
          <w:tblHeader/>
          <w:jc w:val="center"/>
        </w:trPr>
        <w:tc>
          <w:tcPr>
            <w:tcW w:w="633" w:type="dxa"/>
            <w:shd w:val="clear" w:color="auto" w:fill="auto"/>
            <w:tcMar>
              <w:top w:w="10" w:type="dxa"/>
              <w:left w:w="10" w:type="dxa"/>
              <w:right w:w="10" w:type="dxa"/>
            </w:tcMar>
            <w:vAlign w:val="center"/>
          </w:tcPr>
          <w:p>
            <w:pPr>
              <w:widowControl/>
              <w:jc w:val="center"/>
              <w:textAlignment w:val="center"/>
              <w:rPr>
                <w:rFonts w:ascii="Times New Roman" w:hAnsi="Times New Roman"/>
                <w:b/>
                <w:color w:val="auto"/>
                <w:sz w:val="20"/>
                <w:szCs w:val="20"/>
                <w:highlight w:val="none"/>
              </w:rPr>
            </w:pPr>
            <w:r>
              <w:rPr>
                <w:rFonts w:ascii="Times New Roman" w:hAnsi="Times New Roman"/>
                <w:b/>
                <w:color w:val="auto"/>
                <w:kern w:val="0"/>
                <w:sz w:val="20"/>
                <w:szCs w:val="20"/>
                <w:highlight w:val="none"/>
                <w:lang w:bidi="ar"/>
              </w:rPr>
              <w:t>序号</w:t>
            </w:r>
          </w:p>
        </w:tc>
        <w:tc>
          <w:tcPr>
            <w:tcW w:w="1347" w:type="dxa"/>
            <w:shd w:val="clear" w:color="auto" w:fill="auto"/>
            <w:tcMar>
              <w:top w:w="10" w:type="dxa"/>
              <w:left w:w="10" w:type="dxa"/>
              <w:right w:w="10" w:type="dxa"/>
            </w:tcMar>
            <w:vAlign w:val="center"/>
          </w:tcPr>
          <w:p>
            <w:pPr>
              <w:widowControl/>
              <w:jc w:val="center"/>
              <w:textAlignment w:val="center"/>
              <w:rPr>
                <w:rFonts w:ascii="Times New Roman" w:hAnsi="Times New Roman"/>
                <w:b/>
                <w:color w:val="auto"/>
                <w:sz w:val="20"/>
                <w:szCs w:val="20"/>
                <w:highlight w:val="none"/>
              </w:rPr>
            </w:pPr>
            <w:r>
              <w:rPr>
                <w:rFonts w:ascii="Times New Roman" w:hAnsi="Times New Roman"/>
                <w:b/>
                <w:color w:val="auto"/>
                <w:kern w:val="0"/>
                <w:sz w:val="20"/>
                <w:szCs w:val="20"/>
                <w:highlight w:val="none"/>
                <w:lang w:bidi="ar"/>
              </w:rPr>
              <w:t>居住区名称</w:t>
            </w:r>
          </w:p>
        </w:tc>
        <w:tc>
          <w:tcPr>
            <w:tcW w:w="1720" w:type="dxa"/>
            <w:shd w:val="clear" w:color="auto" w:fill="auto"/>
            <w:tcMar>
              <w:top w:w="10" w:type="dxa"/>
              <w:left w:w="10" w:type="dxa"/>
              <w:right w:w="10" w:type="dxa"/>
            </w:tcMar>
            <w:vAlign w:val="center"/>
          </w:tcPr>
          <w:p>
            <w:pPr>
              <w:widowControl/>
              <w:jc w:val="center"/>
              <w:textAlignment w:val="center"/>
              <w:rPr>
                <w:rFonts w:ascii="Times New Roman" w:hAnsi="Times New Roman"/>
                <w:b/>
                <w:color w:val="auto"/>
                <w:sz w:val="20"/>
                <w:szCs w:val="20"/>
                <w:highlight w:val="none"/>
              </w:rPr>
            </w:pPr>
            <w:r>
              <w:rPr>
                <w:rFonts w:ascii="Times New Roman" w:hAnsi="Times New Roman"/>
                <w:b/>
                <w:color w:val="auto"/>
                <w:kern w:val="0"/>
                <w:sz w:val="20"/>
                <w:szCs w:val="20"/>
                <w:highlight w:val="none"/>
                <w:lang w:bidi="ar"/>
              </w:rPr>
              <w:t>位置</w:t>
            </w:r>
          </w:p>
        </w:tc>
        <w:tc>
          <w:tcPr>
            <w:tcW w:w="610" w:type="dxa"/>
            <w:shd w:val="clear" w:color="auto" w:fill="auto"/>
            <w:tcMar>
              <w:top w:w="10" w:type="dxa"/>
              <w:left w:w="10" w:type="dxa"/>
              <w:right w:w="10" w:type="dxa"/>
            </w:tcMar>
            <w:vAlign w:val="center"/>
          </w:tcPr>
          <w:p>
            <w:pPr>
              <w:widowControl/>
              <w:jc w:val="center"/>
              <w:textAlignment w:val="center"/>
              <w:rPr>
                <w:rFonts w:ascii="Times New Roman" w:hAnsi="Times New Roman"/>
                <w:b/>
                <w:color w:val="auto"/>
                <w:sz w:val="20"/>
                <w:szCs w:val="20"/>
                <w:highlight w:val="none"/>
              </w:rPr>
            </w:pPr>
            <w:r>
              <w:rPr>
                <w:rFonts w:ascii="Times New Roman" w:hAnsi="Times New Roman"/>
                <w:b/>
                <w:color w:val="auto"/>
                <w:kern w:val="0"/>
                <w:sz w:val="20"/>
                <w:szCs w:val="20"/>
                <w:highlight w:val="none"/>
                <w:lang w:bidi="ar"/>
              </w:rPr>
              <w:t>性质</w:t>
            </w:r>
          </w:p>
        </w:tc>
        <w:tc>
          <w:tcPr>
            <w:tcW w:w="640" w:type="dxa"/>
            <w:shd w:val="clear" w:color="auto" w:fill="auto"/>
            <w:tcMar>
              <w:top w:w="10" w:type="dxa"/>
              <w:left w:w="10" w:type="dxa"/>
              <w:right w:w="10" w:type="dxa"/>
            </w:tcMar>
            <w:vAlign w:val="center"/>
          </w:tcPr>
          <w:p>
            <w:pPr>
              <w:widowControl/>
              <w:jc w:val="center"/>
              <w:textAlignment w:val="center"/>
              <w:rPr>
                <w:rFonts w:ascii="Times New Roman" w:hAnsi="Times New Roman"/>
                <w:b/>
                <w:color w:val="auto"/>
                <w:sz w:val="20"/>
                <w:szCs w:val="20"/>
                <w:highlight w:val="none"/>
              </w:rPr>
            </w:pPr>
            <w:r>
              <w:rPr>
                <w:rFonts w:ascii="Times New Roman" w:hAnsi="Times New Roman"/>
                <w:b/>
                <w:color w:val="auto"/>
                <w:kern w:val="0"/>
                <w:sz w:val="20"/>
                <w:szCs w:val="20"/>
                <w:highlight w:val="none"/>
                <w:lang w:bidi="ar"/>
              </w:rPr>
              <w:t>层数</w:t>
            </w:r>
          </w:p>
        </w:tc>
        <w:tc>
          <w:tcPr>
            <w:tcW w:w="990" w:type="dxa"/>
            <w:shd w:val="clear" w:color="auto" w:fill="auto"/>
            <w:tcMar>
              <w:top w:w="10" w:type="dxa"/>
              <w:left w:w="10" w:type="dxa"/>
              <w:right w:w="10" w:type="dxa"/>
            </w:tcMar>
            <w:vAlign w:val="center"/>
          </w:tcPr>
          <w:p>
            <w:pPr>
              <w:widowControl/>
              <w:jc w:val="center"/>
              <w:textAlignment w:val="center"/>
              <w:rPr>
                <w:rFonts w:ascii="Times New Roman" w:hAnsi="Times New Roman"/>
                <w:b/>
                <w:color w:val="auto"/>
                <w:sz w:val="20"/>
                <w:szCs w:val="20"/>
                <w:highlight w:val="none"/>
              </w:rPr>
            </w:pPr>
            <w:r>
              <w:rPr>
                <w:rFonts w:ascii="Times New Roman" w:hAnsi="Times New Roman"/>
                <w:b/>
                <w:color w:val="auto"/>
                <w:kern w:val="0"/>
                <w:sz w:val="20"/>
                <w:szCs w:val="20"/>
                <w:highlight w:val="none"/>
                <w:lang w:bidi="ar"/>
              </w:rPr>
              <w:t>建成或改造年份</w:t>
            </w:r>
          </w:p>
        </w:tc>
        <w:tc>
          <w:tcPr>
            <w:tcW w:w="869" w:type="dxa"/>
            <w:shd w:val="clear" w:color="auto" w:fill="auto"/>
            <w:tcMar>
              <w:top w:w="10" w:type="dxa"/>
              <w:left w:w="10" w:type="dxa"/>
              <w:right w:w="10" w:type="dxa"/>
            </w:tcMar>
            <w:vAlign w:val="center"/>
          </w:tcPr>
          <w:p>
            <w:pPr>
              <w:widowControl/>
              <w:jc w:val="center"/>
              <w:textAlignment w:val="center"/>
              <w:rPr>
                <w:rFonts w:ascii="Times New Roman" w:hAnsi="Times New Roman"/>
                <w:b/>
                <w:color w:val="auto"/>
                <w:sz w:val="20"/>
                <w:szCs w:val="20"/>
                <w:highlight w:val="none"/>
              </w:rPr>
            </w:pPr>
            <w:r>
              <w:rPr>
                <w:rFonts w:ascii="Times New Roman" w:hAnsi="Times New Roman"/>
                <w:b/>
                <w:color w:val="auto"/>
                <w:kern w:val="0"/>
                <w:sz w:val="20"/>
                <w:szCs w:val="20"/>
                <w:highlight w:val="none"/>
                <w:lang w:bidi="ar"/>
              </w:rPr>
              <w:t>占地面积（hm）</w:t>
            </w:r>
          </w:p>
        </w:tc>
        <w:tc>
          <w:tcPr>
            <w:tcW w:w="880" w:type="dxa"/>
            <w:shd w:val="clear" w:color="auto" w:fill="auto"/>
            <w:tcMar>
              <w:top w:w="10" w:type="dxa"/>
              <w:left w:w="10" w:type="dxa"/>
              <w:right w:w="10" w:type="dxa"/>
            </w:tcMar>
            <w:vAlign w:val="center"/>
          </w:tcPr>
          <w:p>
            <w:pPr>
              <w:widowControl/>
              <w:jc w:val="center"/>
              <w:textAlignment w:val="center"/>
              <w:rPr>
                <w:rFonts w:ascii="Times New Roman" w:hAnsi="Times New Roman"/>
                <w:b/>
                <w:color w:val="auto"/>
                <w:sz w:val="20"/>
                <w:szCs w:val="20"/>
                <w:highlight w:val="none"/>
              </w:rPr>
            </w:pPr>
            <w:r>
              <w:rPr>
                <w:rFonts w:ascii="Times New Roman" w:hAnsi="Times New Roman"/>
                <w:b/>
                <w:color w:val="auto"/>
                <w:kern w:val="0"/>
                <w:sz w:val="20"/>
                <w:szCs w:val="20"/>
                <w:highlight w:val="none"/>
                <w:lang w:bidi="ar"/>
              </w:rPr>
              <w:t>绿地面积（hm）</w:t>
            </w:r>
          </w:p>
        </w:tc>
        <w:tc>
          <w:tcPr>
            <w:tcW w:w="780" w:type="dxa"/>
            <w:shd w:val="clear" w:color="auto" w:fill="auto"/>
            <w:tcMar>
              <w:top w:w="10" w:type="dxa"/>
              <w:left w:w="10" w:type="dxa"/>
              <w:right w:w="10" w:type="dxa"/>
            </w:tcMar>
            <w:vAlign w:val="center"/>
          </w:tcPr>
          <w:p>
            <w:pPr>
              <w:widowControl/>
              <w:jc w:val="center"/>
              <w:textAlignment w:val="center"/>
              <w:rPr>
                <w:rFonts w:ascii="Times New Roman" w:hAnsi="Times New Roman"/>
                <w:b/>
                <w:color w:val="auto"/>
                <w:sz w:val="20"/>
                <w:szCs w:val="20"/>
                <w:highlight w:val="none"/>
              </w:rPr>
            </w:pPr>
            <w:r>
              <w:rPr>
                <w:rFonts w:ascii="Times New Roman" w:hAnsi="Times New Roman"/>
                <w:b/>
                <w:color w:val="auto"/>
                <w:kern w:val="0"/>
                <w:sz w:val="20"/>
                <w:szCs w:val="20"/>
                <w:highlight w:val="none"/>
                <w:lang w:bidi="ar"/>
              </w:rPr>
              <w:t>绿地率（%）</w:t>
            </w:r>
          </w:p>
        </w:tc>
        <w:tc>
          <w:tcPr>
            <w:tcW w:w="570" w:type="dxa"/>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sz w:val="22"/>
                <w:highlight w:val="none"/>
              </w:rPr>
            </w:pPr>
            <w:r>
              <w:rPr>
                <w:rFonts w:ascii="Times New Roman" w:hAnsi="Times New Roman"/>
                <w:b/>
                <w:color w:val="auto"/>
                <w:kern w:val="0"/>
                <w:sz w:val="22"/>
                <w:highlight w:val="none"/>
                <w:lang w:bidi="ar"/>
              </w:rPr>
              <w:t>是否达标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0" w:hRule="atLeast"/>
          <w:jc w:val="center"/>
        </w:trPr>
        <w:tc>
          <w:tcPr>
            <w:tcW w:w="6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w:t>
            </w:r>
          </w:p>
        </w:tc>
        <w:tc>
          <w:tcPr>
            <w:tcW w:w="1347"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云岭山庄</w:t>
            </w:r>
          </w:p>
        </w:tc>
        <w:tc>
          <w:tcPr>
            <w:tcW w:w="172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附城镇云岭社区青云径5号</w:t>
            </w:r>
          </w:p>
        </w:tc>
        <w:tc>
          <w:tcPr>
            <w:tcW w:w="61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25</w:t>
            </w:r>
          </w:p>
        </w:tc>
        <w:tc>
          <w:tcPr>
            <w:tcW w:w="99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2017</w:t>
            </w:r>
          </w:p>
        </w:tc>
        <w:tc>
          <w:tcPr>
            <w:tcW w:w="86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42.48</w:t>
            </w:r>
          </w:p>
        </w:tc>
        <w:tc>
          <w:tcPr>
            <w:tcW w:w="88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17.50</w:t>
            </w:r>
          </w:p>
        </w:tc>
        <w:tc>
          <w:tcPr>
            <w:tcW w:w="78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41.2</w:t>
            </w:r>
          </w:p>
        </w:tc>
        <w:tc>
          <w:tcPr>
            <w:tcW w:w="5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0" w:hRule="atLeast"/>
          <w:jc w:val="center"/>
        </w:trPr>
        <w:tc>
          <w:tcPr>
            <w:tcW w:w="6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w:t>
            </w:r>
          </w:p>
        </w:tc>
        <w:tc>
          <w:tcPr>
            <w:tcW w:w="1347"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鑫湖花园</w:t>
            </w:r>
          </w:p>
        </w:tc>
        <w:tc>
          <w:tcPr>
            <w:tcW w:w="172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附城镇云岭社区红城大道</w:t>
            </w:r>
          </w:p>
        </w:tc>
        <w:tc>
          <w:tcPr>
            <w:tcW w:w="61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12</w:t>
            </w:r>
          </w:p>
        </w:tc>
        <w:tc>
          <w:tcPr>
            <w:tcW w:w="99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2011</w:t>
            </w:r>
          </w:p>
        </w:tc>
        <w:tc>
          <w:tcPr>
            <w:tcW w:w="86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0.5496</w:t>
            </w:r>
          </w:p>
        </w:tc>
        <w:tc>
          <w:tcPr>
            <w:tcW w:w="88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0.15</w:t>
            </w:r>
          </w:p>
        </w:tc>
        <w:tc>
          <w:tcPr>
            <w:tcW w:w="78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27.3</w:t>
            </w:r>
          </w:p>
        </w:tc>
        <w:tc>
          <w:tcPr>
            <w:tcW w:w="5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10" w:hRule="atLeast"/>
          <w:jc w:val="center"/>
        </w:trPr>
        <w:tc>
          <w:tcPr>
            <w:tcW w:w="6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w:t>
            </w:r>
          </w:p>
        </w:tc>
        <w:tc>
          <w:tcPr>
            <w:tcW w:w="1347"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富盈花园</w:t>
            </w:r>
          </w:p>
        </w:tc>
        <w:tc>
          <w:tcPr>
            <w:tcW w:w="172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附城镇云岭社区鲤鱼山工业区红城大道</w:t>
            </w:r>
          </w:p>
        </w:tc>
        <w:tc>
          <w:tcPr>
            <w:tcW w:w="61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18</w:t>
            </w:r>
          </w:p>
        </w:tc>
        <w:tc>
          <w:tcPr>
            <w:tcW w:w="99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2015</w:t>
            </w:r>
          </w:p>
        </w:tc>
        <w:tc>
          <w:tcPr>
            <w:tcW w:w="86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1.0463</w:t>
            </w:r>
          </w:p>
        </w:tc>
        <w:tc>
          <w:tcPr>
            <w:tcW w:w="88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0.34</w:t>
            </w:r>
          </w:p>
        </w:tc>
        <w:tc>
          <w:tcPr>
            <w:tcW w:w="78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32.7</w:t>
            </w:r>
          </w:p>
        </w:tc>
        <w:tc>
          <w:tcPr>
            <w:tcW w:w="570" w:type="dxa"/>
            <w:shd w:val="clear" w:color="auto" w:fill="auto"/>
            <w:noWrap/>
            <w:tcMar>
              <w:top w:w="10" w:type="dxa"/>
              <w:left w:w="10" w:type="dxa"/>
              <w:right w:w="10" w:type="dxa"/>
            </w:tcMar>
            <w:vAlign w:val="center"/>
          </w:tcPr>
          <w:p>
            <w:pPr>
              <w:widowControl/>
              <w:jc w:val="center"/>
              <w:textAlignment w:val="center"/>
              <w:rPr>
                <w:rFonts w:hint="eastAsia" w:ascii="Times New Roman" w:hAnsi="Times New Roman" w:eastAsia="宋体"/>
                <w:color w:val="auto"/>
                <w:sz w:val="22"/>
                <w:highlight w:val="none"/>
                <w:lang w:eastAsia="zh-CN"/>
              </w:rPr>
            </w:pPr>
            <w:r>
              <w:rPr>
                <w:rFonts w:hint="eastAsia" w:ascii="Times New Roman" w:hAnsi="Times New Roman"/>
                <w:color w:val="auto"/>
                <w:kern w:val="0"/>
                <w:sz w:val="22"/>
                <w:highlight w:val="none"/>
                <w:lang w:val="en-US" w:eastAsia="zh-CN"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40" w:hRule="atLeast"/>
          <w:jc w:val="center"/>
        </w:trPr>
        <w:tc>
          <w:tcPr>
            <w:tcW w:w="6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w:t>
            </w:r>
          </w:p>
        </w:tc>
        <w:tc>
          <w:tcPr>
            <w:tcW w:w="1347"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富汇华庭</w:t>
            </w:r>
          </w:p>
        </w:tc>
        <w:tc>
          <w:tcPr>
            <w:tcW w:w="172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附城镇云岭社区鳗鱼山工业区德成中学旁</w:t>
            </w:r>
          </w:p>
        </w:tc>
        <w:tc>
          <w:tcPr>
            <w:tcW w:w="61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17</w:t>
            </w:r>
          </w:p>
        </w:tc>
        <w:tc>
          <w:tcPr>
            <w:tcW w:w="99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2013</w:t>
            </w:r>
          </w:p>
        </w:tc>
        <w:tc>
          <w:tcPr>
            <w:tcW w:w="86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1.6147</w:t>
            </w:r>
          </w:p>
        </w:tc>
        <w:tc>
          <w:tcPr>
            <w:tcW w:w="88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0.56</w:t>
            </w:r>
          </w:p>
        </w:tc>
        <w:tc>
          <w:tcPr>
            <w:tcW w:w="78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34.6</w:t>
            </w:r>
          </w:p>
        </w:tc>
        <w:tc>
          <w:tcPr>
            <w:tcW w:w="570" w:type="dxa"/>
            <w:shd w:val="clear" w:color="auto" w:fill="auto"/>
            <w:noWrap/>
            <w:tcMar>
              <w:top w:w="10" w:type="dxa"/>
              <w:left w:w="10" w:type="dxa"/>
              <w:right w:w="10" w:type="dxa"/>
            </w:tcMar>
            <w:vAlign w:val="center"/>
          </w:tcPr>
          <w:p>
            <w:pPr>
              <w:widowControl/>
              <w:jc w:val="center"/>
              <w:textAlignment w:val="center"/>
              <w:rPr>
                <w:rFonts w:hint="eastAsia" w:ascii="Times New Roman" w:hAnsi="Times New Roman" w:eastAsia="宋体"/>
                <w:color w:val="auto"/>
                <w:sz w:val="22"/>
                <w:highlight w:val="none"/>
                <w:lang w:eastAsia="zh-CN"/>
              </w:rPr>
            </w:pPr>
            <w:r>
              <w:rPr>
                <w:rFonts w:hint="eastAsia" w:ascii="Times New Roman" w:hAnsi="Times New Roman"/>
                <w:color w:val="auto"/>
                <w:kern w:val="0"/>
                <w:sz w:val="22"/>
                <w:highlight w:val="none"/>
                <w:lang w:val="en-US" w:eastAsia="zh-CN"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0" w:hRule="atLeast"/>
          <w:jc w:val="center"/>
        </w:trPr>
        <w:tc>
          <w:tcPr>
            <w:tcW w:w="6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5</w:t>
            </w:r>
          </w:p>
        </w:tc>
        <w:tc>
          <w:tcPr>
            <w:tcW w:w="1347"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联河花园小区</w:t>
            </w:r>
          </w:p>
        </w:tc>
        <w:tc>
          <w:tcPr>
            <w:tcW w:w="172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附城镇广富路</w:t>
            </w:r>
          </w:p>
        </w:tc>
        <w:tc>
          <w:tcPr>
            <w:tcW w:w="61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6</w:t>
            </w:r>
          </w:p>
        </w:tc>
        <w:tc>
          <w:tcPr>
            <w:tcW w:w="99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2005</w:t>
            </w:r>
          </w:p>
        </w:tc>
        <w:tc>
          <w:tcPr>
            <w:tcW w:w="86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8.9115</w:t>
            </w:r>
          </w:p>
        </w:tc>
        <w:tc>
          <w:tcPr>
            <w:tcW w:w="88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3.23</w:t>
            </w:r>
          </w:p>
        </w:tc>
        <w:tc>
          <w:tcPr>
            <w:tcW w:w="78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36.3</w:t>
            </w:r>
          </w:p>
        </w:tc>
        <w:tc>
          <w:tcPr>
            <w:tcW w:w="5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40" w:hRule="atLeast"/>
          <w:jc w:val="center"/>
        </w:trPr>
        <w:tc>
          <w:tcPr>
            <w:tcW w:w="6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6</w:t>
            </w:r>
          </w:p>
        </w:tc>
        <w:tc>
          <w:tcPr>
            <w:tcW w:w="1347"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富城花园</w:t>
            </w:r>
          </w:p>
        </w:tc>
        <w:tc>
          <w:tcPr>
            <w:tcW w:w="172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海丰县附城富城花园(广富路南)</w:t>
            </w:r>
          </w:p>
        </w:tc>
        <w:tc>
          <w:tcPr>
            <w:tcW w:w="61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6</w:t>
            </w:r>
          </w:p>
        </w:tc>
        <w:tc>
          <w:tcPr>
            <w:tcW w:w="99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2006</w:t>
            </w:r>
          </w:p>
        </w:tc>
        <w:tc>
          <w:tcPr>
            <w:tcW w:w="86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2.1411</w:t>
            </w:r>
          </w:p>
        </w:tc>
        <w:tc>
          <w:tcPr>
            <w:tcW w:w="88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0.34</w:t>
            </w:r>
          </w:p>
        </w:tc>
        <w:tc>
          <w:tcPr>
            <w:tcW w:w="78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15.9</w:t>
            </w:r>
          </w:p>
        </w:tc>
        <w:tc>
          <w:tcPr>
            <w:tcW w:w="5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0" w:hRule="atLeast"/>
          <w:jc w:val="center"/>
        </w:trPr>
        <w:tc>
          <w:tcPr>
            <w:tcW w:w="6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7</w:t>
            </w:r>
          </w:p>
        </w:tc>
        <w:tc>
          <w:tcPr>
            <w:tcW w:w="1347"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骏豪花园</w:t>
            </w:r>
          </w:p>
        </w:tc>
        <w:tc>
          <w:tcPr>
            <w:tcW w:w="172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海丰县广富路666号</w:t>
            </w:r>
          </w:p>
        </w:tc>
        <w:tc>
          <w:tcPr>
            <w:tcW w:w="61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6</w:t>
            </w:r>
          </w:p>
        </w:tc>
        <w:tc>
          <w:tcPr>
            <w:tcW w:w="99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2014</w:t>
            </w:r>
          </w:p>
        </w:tc>
        <w:tc>
          <w:tcPr>
            <w:tcW w:w="86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1.3238</w:t>
            </w:r>
          </w:p>
        </w:tc>
        <w:tc>
          <w:tcPr>
            <w:tcW w:w="88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0.44</w:t>
            </w:r>
          </w:p>
        </w:tc>
        <w:tc>
          <w:tcPr>
            <w:tcW w:w="78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32.9</w:t>
            </w:r>
          </w:p>
        </w:tc>
        <w:tc>
          <w:tcPr>
            <w:tcW w:w="5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40" w:hRule="atLeast"/>
          <w:jc w:val="center"/>
        </w:trPr>
        <w:tc>
          <w:tcPr>
            <w:tcW w:w="6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8</w:t>
            </w:r>
          </w:p>
        </w:tc>
        <w:tc>
          <w:tcPr>
            <w:tcW w:w="1347"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联富小区</w:t>
            </w:r>
          </w:p>
        </w:tc>
        <w:tc>
          <w:tcPr>
            <w:tcW w:w="172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海丰县附城联富小区(粉围路东)</w:t>
            </w:r>
          </w:p>
        </w:tc>
        <w:tc>
          <w:tcPr>
            <w:tcW w:w="61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16</w:t>
            </w:r>
          </w:p>
        </w:tc>
        <w:tc>
          <w:tcPr>
            <w:tcW w:w="99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2008</w:t>
            </w:r>
          </w:p>
        </w:tc>
        <w:tc>
          <w:tcPr>
            <w:tcW w:w="86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1.3089</w:t>
            </w:r>
          </w:p>
        </w:tc>
        <w:tc>
          <w:tcPr>
            <w:tcW w:w="88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0.24</w:t>
            </w:r>
          </w:p>
        </w:tc>
        <w:tc>
          <w:tcPr>
            <w:tcW w:w="78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18.3</w:t>
            </w:r>
          </w:p>
        </w:tc>
        <w:tc>
          <w:tcPr>
            <w:tcW w:w="5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0" w:hRule="atLeast"/>
          <w:jc w:val="center"/>
        </w:trPr>
        <w:tc>
          <w:tcPr>
            <w:tcW w:w="6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9</w:t>
            </w:r>
          </w:p>
        </w:tc>
        <w:tc>
          <w:tcPr>
            <w:tcW w:w="1347"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富丽华庭</w:t>
            </w:r>
          </w:p>
        </w:tc>
        <w:tc>
          <w:tcPr>
            <w:tcW w:w="172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海丰县福昆线</w:t>
            </w:r>
          </w:p>
        </w:tc>
        <w:tc>
          <w:tcPr>
            <w:tcW w:w="61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7</w:t>
            </w:r>
          </w:p>
        </w:tc>
        <w:tc>
          <w:tcPr>
            <w:tcW w:w="99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2008</w:t>
            </w:r>
          </w:p>
        </w:tc>
        <w:tc>
          <w:tcPr>
            <w:tcW w:w="86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6.4531</w:t>
            </w:r>
          </w:p>
        </w:tc>
        <w:tc>
          <w:tcPr>
            <w:tcW w:w="88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2.00</w:t>
            </w:r>
          </w:p>
        </w:tc>
        <w:tc>
          <w:tcPr>
            <w:tcW w:w="78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30.9</w:t>
            </w:r>
          </w:p>
        </w:tc>
        <w:tc>
          <w:tcPr>
            <w:tcW w:w="5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0" w:hRule="atLeast"/>
          <w:jc w:val="center"/>
        </w:trPr>
        <w:tc>
          <w:tcPr>
            <w:tcW w:w="6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10</w:t>
            </w:r>
          </w:p>
        </w:tc>
        <w:tc>
          <w:tcPr>
            <w:tcW w:w="1347"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富嘉名城</w:t>
            </w:r>
          </w:p>
        </w:tc>
        <w:tc>
          <w:tcPr>
            <w:tcW w:w="172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海丰县福昆线民政局旁</w:t>
            </w:r>
          </w:p>
        </w:tc>
        <w:tc>
          <w:tcPr>
            <w:tcW w:w="61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25</w:t>
            </w:r>
          </w:p>
        </w:tc>
        <w:tc>
          <w:tcPr>
            <w:tcW w:w="99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2015</w:t>
            </w:r>
          </w:p>
        </w:tc>
        <w:tc>
          <w:tcPr>
            <w:tcW w:w="86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5.807</w:t>
            </w:r>
          </w:p>
        </w:tc>
        <w:tc>
          <w:tcPr>
            <w:tcW w:w="88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1.92</w:t>
            </w:r>
          </w:p>
        </w:tc>
        <w:tc>
          <w:tcPr>
            <w:tcW w:w="78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33.1</w:t>
            </w:r>
          </w:p>
        </w:tc>
        <w:tc>
          <w:tcPr>
            <w:tcW w:w="570" w:type="dxa"/>
            <w:shd w:val="clear" w:color="auto" w:fill="auto"/>
            <w:noWrap/>
            <w:tcMar>
              <w:top w:w="10" w:type="dxa"/>
              <w:left w:w="10" w:type="dxa"/>
              <w:right w:w="10" w:type="dxa"/>
            </w:tcMar>
            <w:vAlign w:val="center"/>
          </w:tcPr>
          <w:p>
            <w:pPr>
              <w:widowControl/>
              <w:jc w:val="center"/>
              <w:textAlignment w:val="center"/>
              <w:rPr>
                <w:rFonts w:hint="eastAsia" w:ascii="Times New Roman" w:hAnsi="Times New Roman" w:eastAsia="宋体"/>
                <w:color w:val="auto"/>
                <w:sz w:val="22"/>
                <w:highlight w:val="none"/>
                <w:lang w:eastAsia="zh-CN"/>
              </w:rPr>
            </w:pPr>
            <w:r>
              <w:rPr>
                <w:rFonts w:hint="eastAsia" w:ascii="Times New Roman" w:hAnsi="Times New Roman"/>
                <w:color w:val="auto"/>
                <w:kern w:val="0"/>
                <w:sz w:val="22"/>
                <w:highlight w:val="none"/>
                <w:lang w:val="en-US" w:eastAsia="zh-CN"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6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11</w:t>
            </w:r>
          </w:p>
        </w:tc>
        <w:tc>
          <w:tcPr>
            <w:tcW w:w="1347"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凤凰新城</w:t>
            </w:r>
          </w:p>
        </w:tc>
        <w:tc>
          <w:tcPr>
            <w:tcW w:w="1720" w:type="dxa"/>
            <w:shd w:val="clear" w:color="auto" w:fill="auto"/>
            <w:tcMar>
              <w:top w:w="10" w:type="dxa"/>
              <w:left w:w="10" w:type="dxa"/>
              <w:right w:w="10" w:type="dxa"/>
            </w:tcMar>
            <w:vAlign w:val="center"/>
          </w:tcPr>
          <w:p>
            <w:pPr>
              <w:jc w:val="center"/>
              <w:rPr>
                <w:rFonts w:ascii="Times New Roman" w:hAnsi="Times New Roman"/>
                <w:color w:val="auto"/>
                <w:sz w:val="20"/>
                <w:szCs w:val="20"/>
                <w:highlight w:val="none"/>
              </w:rPr>
            </w:pPr>
            <w:r>
              <w:rPr>
                <w:rFonts w:ascii="Times New Roman" w:hAnsi="Times New Roman"/>
                <w:color w:val="auto"/>
                <w:sz w:val="20"/>
                <w:szCs w:val="20"/>
                <w:highlight w:val="none"/>
              </w:rPr>
              <w:t>海丰县228国道与海联路交界处</w:t>
            </w:r>
          </w:p>
        </w:tc>
        <w:tc>
          <w:tcPr>
            <w:tcW w:w="61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23</w:t>
            </w:r>
          </w:p>
        </w:tc>
        <w:tc>
          <w:tcPr>
            <w:tcW w:w="99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2019</w:t>
            </w:r>
          </w:p>
        </w:tc>
        <w:tc>
          <w:tcPr>
            <w:tcW w:w="86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1.321906</w:t>
            </w:r>
          </w:p>
        </w:tc>
        <w:tc>
          <w:tcPr>
            <w:tcW w:w="88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0.42</w:t>
            </w:r>
          </w:p>
        </w:tc>
        <w:tc>
          <w:tcPr>
            <w:tcW w:w="78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31.8</w:t>
            </w:r>
          </w:p>
        </w:tc>
        <w:tc>
          <w:tcPr>
            <w:tcW w:w="5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0" w:hRule="atLeast"/>
          <w:jc w:val="center"/>
        </w:trPr>
        <w:tc>
          <w:tcPr>
            <w:tcW w:w="6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12</w:t>
            </w:r>
          </w:p>
        </w:tc>
        <w:tc>
          <w:tcPr>
            <w:tcW w:w="1347"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华夏花园</w:t>
            </w:r>
          </w:p>
        </w:tc>
        <w:tc>
          <w:tcPr>
            <w:tcW w:w="172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海城镇云岭社区二环西路</w:t>
            </w:r>
          </w:p>
        </w:tc>
        <w:tc>
          <w:tcPr>
            <w:tcW w:w="61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7</w:t>
            </w:r>
          </w:p>
        </w:tc>
        <w:tc>
          <w:tcPr>
            <w:tcW w:w="99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2008</w:t>
            </w:r>
          </w:p>
        </w:tc>
        <w:tc>
          <w:tcPr>
            <w:tcW w:w="86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4.6297</w:t>
            </w:r>
          </w:p>
        </w:tc>
        <w:tc>
          <w:tcPr>
            <w:tcW w:w="88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1.41</w:t>
            </w:r>
          </w:p>
        </w:tc>
        <w:tc>
          <w:tcPr>
            <w:tcW w:w="78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30.5</w:t>
            </w:r>
          </w:p>
        </w:tc>
        <w:tc>
          <w:tcPr>
            <w:tcW w:w="5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0" w:hRule="atLeast"/>
          <w:jc w:val="center"/>
        </w:trPr>
        <w:tc>
          <w:tcPr>
            <w:tcW w:w="6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13</w:t>
            </w:r>
          </w:p>
        </w:tc>
        <w:tc>
          <w:tcPr>
            <w:tcW w:w="1347"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彭湃中学教师宿舍区</w:t>
            </w:r>
          </w:p>
        </w:tc>
        <w:tc>
          <w:tcPr>
            <w:tcW w:w="172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海丰县公园路</w:t>
            </w:r>
          </w:p>
        </w:tc>
        <w:tc>
          <w:tcPr>
            <w:tcW w:w="61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6</w:t>
            </w:r>
          </w:p>
        </w:tc>
        <w:tc>
          <w:tcPr>
            <w:tcW w:w="990" w:type="dxa"/>
            <w:shd w:val="clear" w:color="auto" w:fill="auto"/>
            <w:tcMar>
              <w:top w:w="10" w:type="dxa"/>
              <w:left w:w="10" w:type="dxa"/>
              <w:right w:w="10" w:type="dxa"/>
            </w:tcMar>
            <w:vAlign w:val="center"/>
          </w:tcPr>
          <w:p>
            <w:pPr>
              <w:jc w:val="center"/>
              <w:rPr>
                <w:rFonts w:ascii="Times New Roman" w:hAnsi="Times New Roman"/>
                <w:color w:val="auto"/>
                <w:sz w:val="20"/>
                <w:szCs w:val="20"/>
                <w:highlight w:val="none"/>
              </w:rPr>
            </w:pPr>
          </w:p>
        </w:tc>
        <w:tc>
          <w:tcPr>
            <w:tcW w:w="86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1.6864</w:t>
            </w:r>
          </w:p>
        </w:tc>
        <w:tc>
          <w:tcPr>
            <w:tcW w:w="88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0.54</w:t>
            </w:r>
          </w:p>
        </w:tc>
        <w:tc>
          <w:tcPr>
            <w:tcW w:w="78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31.9</w:t>
            </w:r>
          </w:p>
        </w:tc>
        <w:tc>
          <w:tcPr>
            <w:tcW w:w="5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40" w:hRule="atLeast"/>
          <w:jc w:val="center"/>
        </w:trPr>
        <w:tc>
          <w:tcPr>
            <w:tcW w:w="6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14</w:t>
            </w:r>
          </w:p>
        </w:tc>
        <w:tc>
          <w:tcPr>
            <w:tcW w:w="1347"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海丽花园小区</w:t>
            </w:r>
          </w:p>
        </w:tc>
        <w:tc>
          <w:tcPr>
            <w:tcW w:w="172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海丽大道与南湖三路交叉路口东南侧</w:t>
            </w:r>
          </w:p>
        </w:tc>
        <w:tc>
          <w:tcPr>
            <w:tcW w:w="61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6</w:t>
            </w:r>
          </w:p>
        </w:tc>
        <w:tc>
          <w:tcPr>
            <w:tcW w:w="99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2013</w:t>
            </w:r>
          </w:p>
        </w:tc>
        <w:tc>
          <w:tcPr>
            <w:tcW w:w="86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1.0188</w:t>
            </w:r>
          </w:p>
        </w:tc>
        <w:tc>
          <w:tcPr>
            <w:tcW w:w="88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0.06</w:t>
            </w:r>
          </w:p>
        </w:tc>
        <w:tc>
          <w:tcPr>
            <w:tcW w:w="78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5.5</w:t>
            </w:r>
          </w:p>
        </w:tc>
        <w:tc>
          <w:tcPr>
            <w:tcW w:w="5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0" w:hRule="atLeast"/>
          <w:jc w:val="center"/>
        </w:trPr>
        <w:tc>
          <w:tcPr>
            <w:tcW w:w="6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15</w:t>
            </w:r>
          </w:p>
        </w:tc>
        <w:tc>
          <w:tcPr>
            <w:tcW w:w="1347"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地王广场</w:t>
            </w:r>
          </w:p>
        </w:tc>
        <w:tc>
          <w:tcPr>
            <w:tcW w:w="172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海城镇北门社区红城大道西</w:t>
            </w:r>
          </w:p>
        </w:tc>
        <w:tc>
          <w:tcPr>
            <w:tcW w:w="61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24</w:t>
            </w:r>
          </w:p>
        </w:tc>
        <w:tc>
          <w:tcPr>
            <w:tcW w:w="99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2014</w:t>
            </w:r>
          </w:p>
        </w:tc>
        <w:tc>
          <w:tcPr>
            <w:tcW w:w="86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0.9211</w:t>
            </w:r>
          </w:p>
        </w:tc>
        <w:tc>
          <w:tcPr>
            <w:tcW w:w="88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0.33</w:t>
            </w:r>
          </w:p>
        </w:tc>
        <w:tc>
          <w:tcPr>
            <w:tcW w:w="78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35.8</w:t>
            </w:r>
          </w:p>
        </w:tc>
        <w:tc>
          <w:tcPr>
            <w:tcW w:w="5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0" w:hRule="atLeast"/>
          <w:jc w:val="center"/>
        </w:trPr>
        <w:tc>
          <w:tcPr>
            <w:tcW w:w="6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16</w:t>
            </w:r>
          </w:p>
        </w:tc>
        <w:tc>
          <w:tcPr>
            <w:tcW w:w="1347"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华夏广场</w:t>
            </w:r>
          </w:p>
        </w:tc>
        <w:tc>
          <w:tcPr>
            <w:tcW w:w="172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文天祥公园西北270米</w:t>
            </w:r>
          </w:p>
        </w:tc>
        <w:tc>
          <w:tcPr>
            <w:tcW w:w="61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32</w:t>
            </w:r>
          </w:p>
        </w:tc>
        <w:tc>
          <w:tcPr>
            <w:tcW w:w="99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2016</w:t>
            </w:r>
          </w:p>
        </w:tc>
        <w:tc>
          <w:tcPr>
            <w:tcW w:w="86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1.2084</w:t>
            </w:r>
          </w:p>
        </w:tc>
        <w:tc>
          <w:tcPr>
            <w:tcW w:w="88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0.17</w:t>
            </w:r>
          </w:p>
        </w:tc>
        <w:tc>
          <w:tcPr>
            <w:tcW w:w="78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14.1</w:t>
            </w:r>
          </w:p>
        </w:tc>
        <w:tc>
          <w:tcPr>
            <w:tcW w:w="5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0" w:hRule="atLeast"/>
          <w:jc w:val="center"/>
        </w:trPr>
        <w:tc>
          <w:tcPr>
            <w:tcW w:w="6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17</w:t>
            </w:r>
          </w:p>
        </w:tc>
        <w:tc>
          <w:tcPr>
            <w:tcW w:w="1347"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金山名城</w:t>
            </w:r>
          </w:p>
        </w:tc>
        <w:tc>
          <w:tcPr>
            <w:tcW w:w="172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海丰县二环北路</w:t>
            </w:r>
          </w:p>
        </w:tc>
        <w:tc>
          <w:tcPr>
            <w:tcW w:w="61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26</w:t>
            </w:r>
          </w:p>
        </w:tc>
        <w:tc>
          <w:tcPr>
            <w:tcW w:w="99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2018</w:t>
            </w:r>
          </w:p>
        </w:tc>
        <w:tc>
          <w:tcPr>
            <w:tcW w:w="86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13.8447</w:t>
            </w:r>
          </w:p>
        </w:tc>
        <w:tc>
          <w:tcPr>
            <w:tcW w:w="88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1.89</w:t>
            </w:r>
          </w:p>
        </w:tc>
        <w:tc>
          <w:tcPr>
            <w:tcW w:w="78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13.7</w:t>
            </w:r>
          </w:p>
        </w:tc>
        <w:tc>
          <w:tcPr>
            <w:tcW w:w="5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0" w:hRule="atLeast"/>
          <w:jc w:val="center"/>
        </w:trPr>
        <w:tc>
          <w:tcPr>
            <w:tcW w:w="6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18</w:t>
            </w:r>
          </w:p>
        </w:tc>
        <w:tc>
          <w:tcPr>
            <w:tcW w:w="1347"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东骏花园</w:t>
            </w:r>
          </w:p>
        </w:tc>
        <w:tc>
          <w:tcPr>
            <w:tcW w:w="172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海丰县龙山村324国道</w:t>
            </w:r>
          </w:p>
        </w:tc>
        <w:tc>
          <w:tcPr>
            <w:tcW w:w="61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7</w:t>
            </w:r>
          </w:p>
        </w:tc>
        <w:tc>
          <w:tcPr>
            <w:tcW w:w="99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2016</w:t>
            </w:r>
          </w:p>
        </w:tc>
        <w:tc>
          <w:tcPr>
            <w:tcW w:w="86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5.01</w:t>
            </w:r>
          </w:p>
        </w:tc>
        <w:tc>
          <w:tcPr>
            <w:tcW w:w="88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1.54</w:t>
            </w:r>
          </w:p>
        </w:tc>
        <w:tc>
          <w:tcPr>
            <w:tcW w:w="78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30.74</w:t>
            </w:r>
          </w:p>
        </w:tc>
        <w:tc>
          <w:tcPr>
            <w:tcW w:w="5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0" w:hRule="atLeast"/>
          <w:jc w:val="center"/>
        </w:trPr>
        <w:tc>
          <w:tcPr>
            <w:tcW w:w="6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19</w:t>
            </w:r>
          </w:p>
        </w:tc>
        <w:tc>
          <w:tcPr>
            <w:tcW w:w="1347"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海悦名城</w:t>
            </w:r>
          </w:p>
        </w:tc>
        <w:tc>
          <w:tcPr>
            <w:tcW w:w="172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(南湖二路北)</w:t>
            </w:r>
          </w:p>
        </w:tc>
        <w:tc>
          <w:tcPr>
            <w:tcW w:w="61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26</w:t>
            </w:r>
          </w:p>
        </w:tc>
        <w:tc>
          <w:tcPr>
            <w:tcW w:w="99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2015</w:t>
            </w:r>
          </w:p>
        </w:tc>
        <w:tc>
          <w:tcPr>
            <w:tcW w:w="86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4.6595</w:t>
            </w:r>
          </w:p>
        </w:tc>
        <w:tc>
          <w:tcPr>
            <w:tcW w:w="88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1.15</w:t>
            </w:r>
          </w:p>
        </w:tc>
        <w:tc>
          <w:tcPr>
            <w:tcW w:w="78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24.7</w:t>
            </w:r>
          </w:p>
        </w:tc>
        <w:tc>
          <w:tcPr>
            <w:tcW w:w="5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00" w:hRule="atLeast"/>
          <w:jc w:val="center"/>
        </w:trPr>
        <w:tc>
          <w:tcPr>
            <w:tcW w:w="6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20</w:t>
            </w:r>
          </w:p>
        </w:tc>
        <w:tc>
          <w:tcPr>
            <w:tcW w:w="1347"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星河名居</w:t>
            </w:r>
          </w:p>
        </w:tc>
        <w:tc>
          <w:tcPr>
            <w:tcW w:w="172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新华二巷与粉围路交叉路口向南约200米</w:t>
            </w:r>
          </w:p>
        </w:tc>
        <w:tc>
          <w:tcPr>
            <w:tcW w:w="61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25</w:t>
            </w:r>
          </w:p>
        </w:tc>
        <w:tc>
          <w:tcPr>
            <w:tcW w:w="99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2015</w:t>
            </w:r>
          </w:p>
        </w:tc>
        <w:tc>
          <w:tcPr>
            <w:tcW w:w="86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0.4138</w:t>
            </w:r>
          </w:p>
        </w:tc>
        <w:tc>
          <w:tcPr>
            <w:tcW w:w="88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0.06</w:t>
            </w:r>
          </w:p>
        </w:tc>
        <w:tc>
          <w:tcPr>
            <w:tcW w:w="78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14.5</w:t>
            </w:r>
          </w:p>
        </w:tc>
        <w:tc>
          <w:tcPr>
            <w:tcW w:w="5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0" w:hRule="atLeast"/>
          <w:jc w:val="center"/>
        </w:trPr>
        <w:tc>
          <w:tcPr>
            <w:tcW w:w="6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21</w:t>
            </w:r>
          </w:p>
        </w:tc>
        <w:tc>
          <w:tcPr>
            <w:tcW w:w="1347"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君临新城</w:t>
            </w:r>
          </w:p>
        </w:tc>
        <w:tc>
          <w:tcPr>
            <w:tcW w:w="172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海丰县富丽华庭北门</w:t>
            </w:r>
          </w:p>
        </w:tc>
        <w:tc>
          <w:tcPr>
            <w:tcW w:w="61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26</w:t>
            </w:r>
          </w:p>
        </w:tc>
        <w:tc>
          <w:tcPr>
            <w:tcW w:w="99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2015</w:t>
            </w:r>
          </w:p>
        </w:tc>
        <w:tc>
          <w:tcPr>
            <w:tcW w:w="86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1.0406</w:t>
            </w:r>
          </w:p>
        </w:tc>
        <w:tc>
          <w:tcPr>
            <w:tcW w:w="88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0.16</w:t>
            </w:r>
          </w:p>
        </w:tc>
        <w:tc>
          <w:tcPr>
            <w:tcW w:w="78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15.4</w:t>
            </w:r>
          </w:p>
        </w:tc>
        <w:tc>
          <w:tcPr>
            <w:tcW w:w="5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0" w:hRule="atLeast"/>
          <w:jc w:val="center"/>
        </w:trPr>
        <w:tc>
          <w:tcPr>
            <w:tcW w:w="6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22</w:t>
            </w:r>
          </w:p>
        </w:tc>
        <w:tc>
          <w:tcPr>
            <w:tcW w:w="1347"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金嘉名园</w:t>
            </w:r>
          </w:p>
        </w:tc>
        <w:tc>
          <w:tcPr>
            <w:tcW w:w="172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红城大道西724号附近</w:t>
            </w:r>
          </w:p>
        </w:tc>
        <w:tc>
          <w:tcPr>
            <w:tcW w:w="61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26</w:t>
            </w:r>
          </w:p>
        </w:tc>
        <w:tc>
          <w:tcPr>
            <w:tcW w:w="99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2019</w:t>
            </w:r>
          </w:p>
        </w:tc>
        <w:tc>
          <w:tcPr>
            <w:tcW w:w="86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1.1313</w:t>
            </w:r>
          </w:p>
        </w:tc>
        <w:tc>
          <w:tcPr>
            <w:tcW w:w="88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0.34</w:t>
            </w:r>
          </w:p>
        </w:tc>
        <w:tc>
          <w:tcPr>
            <w:tcW w:w="78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30.3</w:t>
            </w:r>
          </w:p>
        </w:tc>
        <w:tc>
          <w:tcPr>
            <w:tcW w:w="5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0" w:hRule="atLeast"/>
          <w:jc w:val="center"/>
        </w:trPr>
        <w:tc>
          <w:tcPr>
            <w:tcW w:w="6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23</w:t>
            </w:r>
          </w:p>
        </w:tc>
        <w:tc>
          <w:tcPr>
            <w:tcW w:w="1347"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帝景山庄</w:t>
            </w:r>
          </w:p>
        </w:tc>
        <w:tc>
          <w:tcPr>
            <w:tcW w:w="172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324国道附近</w:t>
            </w:r>
          </w:p>
        </w:tc>
        <w:tc>
          <w:tcPr>
            <w:tcW w:w="61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31</w:t>
            </w:r>
          </w:p>
        </w:tc>
        <w:tc>
          <w:tcPr>
            <w:tcW w:w="99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2018</w:t>
            </w:r>
          </w:p>
        </w:tc>
        <w:tc>
          <w:tcPr>
            <w:tcW w:w="86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3.8172</w:t>
            </w:r>
          </w:p>
        </w:tc>
        <w:tc>
          <w:tcPr>
            <w:tcW w:w="88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1.66</w:t>
            </w:r>
          </w:p>
        </w:tc>
        <w:tc>
          <w:tcPr>
            <w:tcW w:w="78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43.5</w:t>
            </w:r>
          </w:p>
        </w:tc>
        <w:tc>
          <w:tcPr>
            <w:tcW w:w="5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00" w:hRule="atLeast"/>
          <w:jc w:val="center"/>
        </w:trPr>
        <w:tc>
          <w:tcPr>
            <w:tcW w:w="6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24</w:t>
            </w:r>
          </w:p>
        </w:tc>
        <w:tc>
          <w:tcPr>
            <w:tcW w:w="1347"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海富豪庭</w:t>
            </w:r>
          </w:p>
        </w:tc>
        <w:tc>
          <w:tcPr>
            <w:tcW w:w="172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福昆线与龙山路交叉路口往东北约100米</w:t>
            </w:r>
          </w:p>
        </w:tc>
        <w:tc>
          <w:tcPr>
            <w:tcW w:w="61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24</w:t>
            </w:r>
          </w:p>
        </w:tc>
        <w:tc>
          <w:tcPr>
            <w:tcW w:w="99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2016</w:t>
            </w:r>
          </w:p>
        </w:tc>
        <w:tc>
          <w:tcPr>
            <w:tcW w:w="86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2.4517</w:t>
            </w:r>
          </w:p>
        </w:tc>
        <w:tc>
          <w:tcPr>
            <w:tcW w:w="88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0.95</w:t>
            </w:r>
          </w:p>
        </w:tc>
        <w:tc>
          <w:tcPr>
            <w:tcW w:w="78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38.8</w:t>
            </w:r>
          </w:p>
        </w:tc>
        <w:tc>
          <w:tcPr>
            <w:tcW w:w="5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40" w:hRule="atLeast"/>
          <w:jc w:val="center"/>
        </w:trPr>
        <w:tc>
          <w:tcPr>
            <w:tcW w:w="6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25</w:t>
            </w:r>
          </w:p>
        </w:tc>
        <w:tc>
          <w:tcPr>
            <w:tcW w:w="1347"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龙津水岸小区</w:t>
            </w:r>
          </w:p>
        </w:tc>
        <w:tc>
          <w:tcPr>
            <w:tcW w:w="172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二环东路与二环南路交叉路口东侧</w:t>
            </w:r>
          </w:p>
        </w:tc>
        <w:tc>
          <w:tcPr>
            <w:tcW w:w="61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7</w:t>
            </w:r>
          </w:p>
        </w:tc>
        <w:tc>
          <w:tcPr>
            <w:tcW w:w="99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2010</w:t>
            </w:r>
          </w:p>
        </w:tc>
        <w:tc>
          <w:tcPr>
            <w:tcW w:w="86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1.3505</w:t>
            </w:r>
          </w:p>
        </w:tc>
        <w:tc>
          <w:tcPr>
            <w:tcW w:w="88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0.36</w:t>
            </w:r>
          </w:p>
        </w:tc>
        <w:tc>
          <w:tcPr>
            <w:tcW w:w="78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26.8</w:t>
            </w:r>
          </w:p>
        </w:tc>
        <w:tc>
          <w:tcPr>
            <w:tcW w:w="5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6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26</w:t>
            </w:r>
          </w:p>
        </w:tc>
        <w:tc>
          <w:tcPr>
            <w:tcW w:w="1347"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龙津花园</w:t>
            </w:r>
          </w:p>
        </w:tc>
        <w:tc>
          <w:tcPr>
            <w:tcW w:w="172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解放北路</w:t>
            </w:r>
          </w:p>
        </w:tc>
        <w:tc>
          <w:tcPr>
            <w:tcW w:w="61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7</w:t>
            </w:r>
          </w:p>
        </w:tc>
        <w:tc>
          <w:tcPr>
            <w:tcW w:w="99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2010</w:t>
            </w:r>
          </w:p>
        </w:tc>
        <w:tc>
          <w:tcPr>
            <w:tcW w:w="86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1.5233</w:t>
            </w:r>
          </w:p>
        </w:tc>
        <w:tc>
          <w:tcPr>
            <w:tcW w:w="88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0.55</w:t>
            </w:r>
          </w:p>
        </w:tc>
        <w:tc>
          <w:tcPr>
            <w:tcW w:w="78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35.8</w:t>
            </w:r>
          </w:p>
        </w:tc>
        <w:tc>
          <w:tcPr>
            <w:tcW w:w="5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0" w:hRule="atLeast"/>
          <w:jc w:val="center"/>
        </w:trPr>
        <w:tc>
          <w:tcPr>
            <w:tcW w:w="6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27</w:t>
            </w:r>
          </w:p>
        </w:tc>
        <w:tc>
          <w:tcPr>
            <w:tcW w:w="1347"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环宇花园</w:t>
            </w:r>
          </w:p>
        </w:tc>
        <w:tc>
          <w:tcPr>
            <w:tcW w:w="172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二环路黄牛山旁</w:t>
            </w:r>
          </w:p>
        </w:tc>
        <w:tc>
          <w:tcPr>
            <w:tcW w:w="61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w:t>
            </w:r>
          </w:p>
        </w:tc>
        <w:tc>
          <w:tcPr>
            <w:tcW w:w="99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2016</w:t>
            </w:r>
          </w:p>
        </w:tc>
        <w:tc>
          <w:tcPr>
            <w:tcW w:w="86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0.5223</w:t>
            </w:r>
          </w:p>
        </w:tc>
        <w:tc>
          <w:tcPr>
            <w:tcW w:w="88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0.18</w:t>
            </w:r>
          </w:p>
        </w:tc>
        <w:tc>
          <w:tcPr>
            <w:tcW w:w="78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35.0</w:t>
            </w:r>
          </w:p>
        </w:tc>
        <w:tc>
          <w:tcPr>
            <w:tcW w:w="5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40" w:hRule="atLeast"/>
          <w:jc w:val="center"/>
        </w:trPr>
        <w:tc>
          <w:tcPr>
            <w:tcW w:w="6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28</w:t>
            </w:r>
          </w:p>
        </w:tc>
        <w:tc>
          <w:tcPr>
            <w:tcW w:w="1347"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鑫湖豪庭</w:t>
            </w:r>
          </w:p>
        </w:tc>
        <w:tc>
          <w:tcPr>
            <w:tcW w:w="172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育英路与海银路交叉路口东北侧</w:t>
            </w:r>
          </w:p>
        </w:tc>
        <w:tc>
          <w:tcPr>
            <w:tcW w:w="61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28</w:t>
            </w:r>
          </w:p>
        </w:tc>
        <w:tc>
          <w:tcPr>
            <w:tcW w:w="99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2020</w:t>
            </w:r>
          </w:p>
        </w:tc>
        <w:tc>
          <w:tcPr>
            <w:tcW w:w="86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1.025</w:t>
            </w:r>
          </w:p>
        </w:tc>
        <w:tc>
          <w:tcPr>
            <w:tcW w:w="88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0.31</w:t>
            </w:r>
          </w:p>
        </w:tc>
        <w:tc>
          <w:tcPr>
            <w:tcW w:w="78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30.4</w:t>
            </w:r>
          </w:p>
        </w:tc>
        <w:tc>
          <w:tcPr>
            <w:tcW w:w="5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6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29</w:t>
            </w:r>
          </w:p>
        </w:tc>
        <w:tc>
          <w:tcPr>
            <w:tcW w:w="1347"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龙兴苑</w:t>
            </w:r>
          </w:p>
        </w:tc>
        <w:tc>
          <w:tcPr>
            <w:tcW w:w="172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育才一路</w:t>
            </w:r>
          </w:p>
        </w:tc>
        <w:tc>
          <w:tcPr>
            <w:tcW w:w="61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6</w:t>
            </w:r>
          </w:p>
        </w:tc>
        <w:tc>
          <w:tcPr>
            <w:tcW w:w="990" w:type="dxa"/>
            <w:shd w:val="clear" w:color="auto" w:fill="auto"/>
            <w:tcMar>
              <w:top w:w="10" w:type="dxa"/>
              <w:left w:w="10" w:type="dxa"/>
              <w:right w:w="10" w:type="dxa"/>
            </w:tcMar>
            <w:vAlign w:val="center"/>
          </w:tcPr>
          <w:p>
            <w:pPr>
              <w:jc w:val="center"/>
              <w:rPr>
                <w:rFonts w:ascii="Times New Roman" w:hAnsi="Times New Roman"/>
                <w:color w:val="auto"/>
                <w:sz w:val="20"/>
                <w:szCs w:val="20"/>
                <w:highlight w:val="none"/>
              </w:rPr>
            </w:pPr>
          </w:p>
        </w:tc>
        <w:tc>
          <w:tcPr>
            <w:tcW w:w="86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0.7427</w:t>
            </w:r>
          </w:p>
        </w:tc>
        <w:tc>
          <w:tcPr>
            <w:tcW w:w="88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0.29</w:t>
            </w:r>
          </w:p>
        </w:tc>
        <w:tc>
          <w:tcPr>
            <w:tcW w:w="78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39.6</w:t>
            </w:r>
          </w:p>
        </w:tc>
        <w:tc>
          <w:tcPr>
            <w:tcW w:w="5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0" w:hRule="atLeast"/>
          <w:jc w:val="center"/>
        </w:trPr>
        <w:tc>
          <w:tcPr>
            <w:tcW w:w="6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30</w:t>
            </w:r>
          </w:p>
        </w:tc>
        <w:tc>
          <w:tcPr>
            <w:tcW w:w="1347"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名家花园</w:t>
            </w:r>
          </w:p>
        </w:tc>
        <w:tc>
          <w:tcPr>
            <w:tcW w:w="172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三环西路南120米</w:t>
            </w:r>
          </w:p>
        </w:tc>
        <w:tc>
          <w:tcPr>
            <w:tcW w:w="61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3</w:t>
            </w:r>
          </w:p>
        </w:tc>
        <w:tc>
          <w:tcPr>
            <w:tcW w:w="990" w:type="dxa"/>
            <w:shd w:val="clear" w:color="auto" w:fill="auto"/>
            <w:tcMar>
              <w:top w:w="10" w:type="dxa"/>
              <w:left w:w="10" w:type="dxa"/>
              <w:right w:w="10" w:type="dxa"/>
            </w:tcMar>
            <w:vAlign w:val="center"/>
          </w:tcPr>
          <w:p>
            <w:pPr>
              <w:jc w:val="center"/>
              <w:rPr>
                <w:rFonts w:ascii="Times New Roman" w:hAnsi="Times New Roman"/>
                <w:color w:val="auto"/>
                <w:sz w:val="20"/>
                <w:szCs w:val="20"/>
                <w:highlight w:val="none"/>
              </w:rPr>
            </w:pPr>
          </w:p>
        </w:tc>
        <w:tc>
          <w:tcPr>
            <w:tcW w:w="86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1.7963</w:t>
            </w:r>
          </w:p>
        </w:tc>
        <w:tc>
          <w:tcPr>
            <w:tcW w:w="88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0.61</w:t>
            </w:r>
          </w:p>
        </w:tc>
        <w:tc>
          <w:tcPr>
            <w:tcW w:w="78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34.1</w:t>
            </w:r>
          </w:p>
        </w:tc>
        <w:tc>
          <w:tcPr>
            <w:tcW w:w="5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60" w:hRule="atLeast"/>
          <w:jc w:val="center"/>
        </w:trPr>
        <w:tc>
          <w:tcPr>
            <w:tcW w:w="6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31</w:t>
            </w:r>
          </w:p>
        </w:tc>
        <w:tc>
          <w:tcPr>
            <w:tcW w:w="1347"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景泰花园</w:t>
            </w:r>
          </w:p>
        </w:tc>
        <w:tc>
          <w:tcPr>
            <w:tcW w:w="172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海丰县育英路与育才一路交叉路口往西北约50米</w:t>
            </w:r>
          </w:p>
        </w:tc>
        <w:tc>
          <w:tcPr>
            <w:tcW w:w="61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23</w:t>
            </w:r>
          </w:p>
        </w:tc>
        <w:tc>
          <w:tcPr>
            <w:tcW w:w="99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2018</w:t>
            </w:r>
          </w:p>
        </w:tc>
        <w:tc>
          <w:tcPr>
            <w:tcW w:w="86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0.6971</w:t>
            </w:r>
          </w:p>
        </w:tc>
        <w:tc>
          <w:tcPr>
            <w:tcW w:w="88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0.21</w:t>
            </w:r>
          </w:p>
        </w:tc>
        <w:tc>
          <w:tcPr>
            <w:tcW w:w="78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30.6</w:t>
            </w:r>
          </w:p>
        </w:tc>
        <w:tc>
          <w:tcPr>
            <w:tcW w:w="5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2"/>
                <w:highlight w:val="none"/>
              </w:rPr>
            </w:pPr>
            <w:r>
              <w:rPr>
                <w:rFonts w:hint="eastAsia" w:ascii="Times New Roman" w:hAnsi="Times New Roman"/>
                <w:color w:val="auto"/>
                <w:kern w:val="0"/>
                <w:sz w:val="22"/>
                <w:highlight w:val="none"/>
                <w:lang w:val="en-US" w:eastAsia="zh-CN"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0" w:hRule="atLeast"/>
          <w:jc w:val="center"/>
        </w:trPr>
        <w:tc>
          <w:tcPr>
            <w:tcW w:w="6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32</w:t>
            </w:r>
          </w:p>
        </w:tc>
        <w:tc>
          <w:tcPr>
            <w:tcW w:w="1347"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怡景苑</w:t>
            </w:r>
          </w:p>
        </w:tc>
        <w:tc>
          <w:tcPr>
            <w:tcW w:w="172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二环西路西</w:t>
            </w:r>
          </w:p>
        </w:tc>
        <w:tc>
          <w:tcPr>
            <w:tcW w:w="61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3</w:t>
            </w:r>
          </w:p>
        </w:tc>
        <w:tc>
          <w:tcPr>
            <w:tcW w:w="990" w:type="dxa"/>
            <w:shd w:val="clear" w:color="auto" w:fill="auto"/>
            <w:tcMar>
              <w:top w:w="10" w:type="dxa"/>
              <w:left w:w="10" w:type="dxa"/>
              <w:right w:w="10" w:type="dxa"/>
            </w:tcMar>
            <w:vAlign w:val="center"/>
          </w:tcPr>
          <w:p>
            <w:pPr>
              <w:jc w:val="center"/>
              <w:rPr>
                <w:rFonts w:ascii="Times New Roman" w:hAnsi="Times New Roman"/>
                <w:color w:val="auto"/>
                <w:sz w:val="20"/>
                <w:szCs w:val="20"/>
                <w:highlight w:val="none"/>
              </w:rPr>
            </w:pPr>
          </w:p>
        </w:tc>
        <w:tc>
          <w:tcPr>
            <w:tcW w:w="86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1.6495</w:t>
            </w:r>
          </w:p>
        </w:tc>
        <w:tc>
          <w:tcPr>
            <w:tcW w:w="88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0.47</w:t>
            </w:r>
          </w:p>
        </w:tc>
        <w:tc>
          <w:tcPr>
            <w:tcW w:w="78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28.2</w:t>
            </w:r>
          </w:p>
        </w:tc>
        <w:tc>
          <w:tcPr>
            <w:tcW w:w="5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6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33</w:t>
            </w:r>
          </w:p>
        </w:tc>
        <w:tc>
          <w:tcPr>
            <w:tcW w:w="1347"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宏丰雅居</w:t>
            </w:r>
          </w:p>
        </w:tc>
        <w:tc>
          <w:tcPr>
            <w:tcW w:w="172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二环西路</w:t>
            </w:r>
          </w:p>
        </w:tc>
        <w:tc>
          <w:tcPr>
            <w:tcW w:w="61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7</w:t>
            </w:r>
          </w:p>
        </w:tc>
        <w:tc>
          <w:tcPr>
            <w:tcW w:w="99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2010</w:t>
            </w:r>
          </w:p>
        </w:tc>
        <w:tc>
          <w:tcPr>
            <w:tcW w:w="86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0.7119</w:t>
            </w:r>
          </w:p>
        </w:tc>
        <w:tc>
          <w:tcPr>
            <w:tcW w:w="88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0.22</w:t>
            </w:r>
          </w:p>
        </w:tc>
        <w:tc>
          <w:tcPr>
            <w:tcW w:w="78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30.3</w:t>
            </w:r>
          </w:p>
        </w:tc>
        <w:tc>
          <w:tcPr>
            <w:tcW w:w="5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00" w:hRule="atLeast"/>
          <w:jc w:val="center"/>
        </w:trPr>
        <w:tc>
          <w:tcPr>
            <w:tcW w:w="6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34</w:t>
            </w:r>
          </w:p>
        </w:tc>
        <w:tc>
          <w:tcPr>
            <w:tcW w:w="1347"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金华苑</w:t>
            </w:r>
          </w:p>
        </w:tc>
        <w:tc>
          <w:tcPr>
            <w:tcW w:w="172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育英路与武德路交叉路口往西南约100米</w:t>
            </w:r>
          </w:p>
        </w:tc>
        <w:tc>
          <w:tcPr>
            <w:tcW w:w="61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3</w:t>
            </w:r>
          </w:p>
        </w:tc>
        <w:tc>
          <w:tcPr>
            <w:tcW w:w="990" w:type="dxa"/>
            <w:shd w:val="clear" w:color="auto" w:fill="auto"/>
            <w:tcMar>
              <w:top w:w="10" w:type="dxa"/>
              <w:left w:w="10" w:type="dxa"/>
              <w:right w:w="10" w:type="dxa"/>
            </w:tcMar>
            <w:vAlign w:val="center"/>
          </w:tcPr>
          <w:p>
            <w:pPr>
              <w:jc w:val="center"/>
              <w:rPr>
                <w:rFonts w:ascii="Times New Roman" w:hAnsi="Times New Roman"/>
                <w:color w:val="auto"/>
                <w:sz w:val="20"/>
                <w:szCs w:val="20"/>
                <w:highlight w:val="none"/>
              </w:rPr>
            </w:pPr>
          </w:p>
        </w:tc>
        <w:tc>
          <w:tcPr>
            <w:tcW w:w="86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0.5179</w:t>
            </w:r>
          </w:p>
        </w:tc>
        <w:tc>
          <w:tcPr>
            <w:tcW w:w="88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ascii="Times New Roman" w:hAnsi="Times New Roman"/>
                <w:color w:val="auto"/>
                <w:kern w:val="0"/>
                <w:sz w:val="20"/>
                <w:szCs w:val="20"/>
                <w:highlight w:val="none"/>
                <w:lang w:bidi="ar"/>
              </w:rPr>
              <w:t>0.16</w:t>
            </w:r>
          </w:p>
        </w:tc>
        <w:tc>
          <w:tcPr>
            <w:tcW w:w="78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4"/>
                <w:highlight w:val="none"/>
              </w:rPr>
            </w:pPr>
            <w:r>
              <w:rPr>
                <w:rFonts w:ascii="Times New Roman" w:hAnsi="Times New Roman"/>
                <w:color w:val="auto"/>
                <w:kern w:val="0"/>
                <w:sz w:val="24"/>
                <w:highlight w:val="none"/>
                <w:lang w:bidi="ar"/>
              </w:rPr>
              <w:t>30.7</w:t>
            </w:r>
          </w:p>
        </w:tc>
        <w:tc>
          <w:tcPr>
            <w:tcW w:w="5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 w:val="22"/>
                <w:highlight w:val="none"/>
              </w:rPr>
            </w:pPr>
            <w:r>
              <w:rPr>
                <w:rFonts w:ascii="Times New Roman" w:hAnsi="Times New Roman"/>
                <w:color w:val="auto"/>
                <w:kern w:val="0"/>
                <w:sz w:val="22"/>
                <w:highlight w:val="none"/>
                <w:lang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00" w:hRule="atLeast"/>
          <w:jc w:val="center"/>
        </w:trPr>
        <w:tc>
          <w:tcPr>
            <w:tcW w:w="6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kern w:val="0"/>
                <w:sz w:val="24"/>
                <w:highlight w:val="none"/>
                <w:lang w:bidi="ar"/>
              </w:rPr>
            </w:pPr>
            <w:r>
              <w:rPr>
                <w:rFonts w:hint="eastAsia" w:ascii="Times New Roman" w:hAnsi="Times New Roman"/>
                <w:color w:val="auto"/>
                <w:kern w:val="0"/>
                <w:sz w:val="24"/>
                <w:highlight w:val="none"/>
                <w:lang w:bidi="ar"/>
              </w:rPr>
              <w:t>35</w:t>
            </w:r>
          </w:p>
        </w:tc>
        <w:tc>
          <w:tcPr>
            <w:tcW w:w="1347"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kern w:val="0"/>
                <w:sz w:val="20"/>
                <w:szCs w:val="20"/>
                <w:highlight w:val="none"/>
                <w:lang w:bidi="ar"/>
              </w:rPr>
            </w:pPr>
            <w:r>
              <w:rPr>
                <w:rFonts w:hint="default" w:ascii="Times New Roman" w:hAnsi="Times New Roman" w:cs="Times New Roman"/>
                <w:color w:val="auto"/>
                <w:kern w:val="0"/>
                <w:sz w:val="20"/>
                <w:szCs w:val="20"/>
                <w:highlight w:val="none"/>
                <w:lang w:bidi="ar"/>
              </w:rPr>
              <w:t>金尊豪庭</w:t>
            </w:r>
          </w:p>
        </w:tc>
        <w:tc>
          <w:tcPr>
            <w:tcW w:w="172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kern w:val="0"/>
                <w:sz w:val="20"/>
                <w:szCs w:val="20"/>
                <w:highlight w:val="none"/>
                <w:lang w:bidi="ar"/>
              </w:rPr>
            </w:pPr>
            <w:r>
              <w:rPr>
                <w:rFonts w:hint="default" w:ascii="Times New Roman" w:hAnsi="Times New Roman" w:cs="Times New Roman"/>
                <w:color w:val="auto"/>
                <w:kern w:val="0"/>
                <w:sz w:val="20"/>
                <w:szCs w:val="20"/>
                <w:highlight w:val="none"/>
                <w:lang w:bidi="ar"/>
              </w:rPr>
              <w:t>附城镇云岭工业园红城大道西侧</w:t>
            </w:r>
          </w:p>
        </w:tc>
        <w:tc>
          <w:tcPr>
            <w:tcW w:w="61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kern w:val="0"/>
                <w:sz w:val="20"/>
                <w:szCs w:val="20"/>
                <w:highlight w:val="none"/>
                <w:lang w:bidi="ar"/>
              </w:rPr>
            </w:pPr>
            <w:r>
              <w:rPr>
                <w:rFonts w:hint="default" w:ascii="Times New Roman" w:hAnsi="Times New Roman" w:cs="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kern w:val="0"/>
                <w:sz w:val="20"/>
                <w:szCs w:val="20"/>
                <w:highlight w:val="none"/>
                <w:lang w:bidi="ar"/>
              </w:rPr>
            </w:pPr>
            <w:r>
              <w:rPr>
                <w:rFonts w:hint="default" w:ascii="Times New Roman" w:hAnsi="Times New Roman" w:cs="Times New Roman"/>
                <w:color w:val="auto"/>
                <w:kern w:val="0"/>
                <w:sz w:val="20"/>
                <w:szCs w:val="20"/>
                <w:highlight w:val="none"/>
                <w:lang w:bidi="ar"/>
              </w:rPr>
              <w:t>20</w:t>
            </w:r>
          </w:p>
        </w:tc>
        <w:tc>
          <w:tcPr>
            <w:tcW w:w="99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hint="default" w:ascii="Times New Roman" w:hAnsi="Times New Roman" w:cs="Times New Roman"/>
                <w:color w:val="auto"/>
                <w:kern w:val="0"/>
                <w:sz w:val="20"/>
                <w:szCs w:val="20"/>
                <w:highlight w:val="none"/>
                <w:lang w:bidi="ar"/>
              </w:rPr>
              <w:t>2018</w:t>
            </w:r>
          </w:p>
        </w:tc>
        <w:tc>
          <w:tcPr>
            <w:tcW w:w="86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kern w:val="0"/>
                <w:sz w:val="22"/>
                <w:highlight w:val="none"/>
                <w:lang w:bidi="ar"/>
              </w:rPr>
            </w:pPr>
            <w:r>
              <w:rPr>
                <w:rFonts w:hint="default" w:ascii="Times New Roman" w:hAnsi="Times New Roman" w:cs="Times New Roman"/>
                <w:color w:val="auto"/>
                <w:kern w:val="0"/>
                <w:sz w:val="24"/>
                <w:highlight w:val="none"/>
                <w:lang w:bidi="ar"/>
              </w:rPr>
              <w:t>0.8129</w:t>
            </w:r>
          </w:p>
        </w:tc>
        <w:tc>
          <w:tcPr>
            <w:tcW w:w="88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kern w:val="0"/>
                <w:sz w:val="20"/>
                <w:szCs w:val="20"/>
                <w:highlight w:val="none"/>
                <w:lang w:bidi="ar"/>
              </w:rPr>
            </w:pPr>
            <w:r>
              <w:rPr>
                <w:rFonts w:ascii="Times New Roman" w:hAnsi="Times New Roman"/>
                <w:color w:val="auto"/>
                <w:kern w:val="0"/>
                <w:sz w:val="20"/>
                <w:szCs w:val="20"/>
                <w:highlight w:val="none"/>
                <w:lang w:bidi="ar"/>
              </w:rPr>
              <w:t xml:space="preserve">0.01 </w:t>
            </w:r>
          </w:p>
        </w:tc>
        <w:tc>
          <w:tcPr>
            <w:tcW w:w="780" w:type="dxa"/>
            <w:shd w:val="clear" w:color="auto" w:fill="auto"/>
            <w:noWrap/>
            <w:tcMar>
              <w:top w:w="10" w:type="dxa"/>
              <w:left w:w="10" w:type="dxa"/>
              <w:right w:w="10" w:type="dxa"/>
            </w:tcMar>
            <w:vAlign w:val="center"/>
          </w:tcPr>
          <w:p>
            <w:pPr>
              <w:widowControl/>
              <w:jc w:val="right"/>
              <w:textAlignment w:val="center"/>
              <w:rPr>
                <w:rFonts w:ascii="Times New Roman" w:hAnsi="Times New Roman"/>
                <w:color w:val="auto"/>
                <w:kern w:val="0"/>
                <w:sz w:val="24"/>
                <w:highlight w:val="none"/>
                <w:lang w:bidi="ar"/>
              </w:rPr>
            </w:pPr>
            <w:r>
              <w:rPr>
                <w:rFonts w:hint="default" w:ascii="Times New Roman" w:hAnsi="Times New Roman" w:cs="Times New Roman"/>
                <w:color w:val="auto"/>
                <w:kern w:val="0"/>
                <w:sz w:val="24"/>
                <w:highlight w:val="none"/>
                <w:lang w:bidi="ar"/>
              </w:rPr>
              <w:t xml:space="preserve">1.3 </w:t>
            </w:r>
          </w:p>
        </w:tc>
        <w:tc>
          <w:tcPr>
            <w:tcW w:w="5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kern w:val="0"/>
                <w:sz w:val="22"/>
                <w:highlight w:val="none"/>
                <w:lang w:bidi="ar"/>
              </w:rPr>
            </w:pPr>
            <w:r>
              <w:rPr>
                <w:rFonts w:hint="eastAsia" w:ascii="Times New Roman" w:hAnsi="Times New Roman"/>
                <w:color w:val="auto"/>
                <w:kern w:val="0"/>
                <w:sz w:val="22"/>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00" w:hRule="atLeast"/>
          <w:jc w:val="center"/>
        </w:trPr>
        <w:tc>
          <w:tcPr>
            <w:tcW w:w="6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kern w:val="0"/>
                <w:sz w:val="24"/>
                <w:highlight w:val="none"/>
                <w:lang w:bidi="ar"/>
              </w:rPr>
            </w:pPr>
            <w:r>
              <w:rPr>
                <w:rFonts w:hint="eastAsia" w:ascii="Times New Roman" w:hAnsi="Times New Roman"/>
                <w:color w:val="auto"/>
                <w:kern w:val="0"/>
                <w:sz w:val="24"/>
                <w:highlight w:val="none"/>
                <w:lang w:bidi="ar"/>
              </w:rPr>
              <w:t>36</w:t>
            </w:r>
          </w:p>
        </w:tc>
        <w:tc>
          <w:tcPr>
            <w:tcW w:w="1347"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kern w:val="0"/>
                <w:sz w:val="20"/>
                <w:szCs w:val="20"/>
                <w:highlight w:val="none"/>
                <w:lang w:bidi="ar"/>
              </w:rPr>
            </w:pPr>
            <w:r>
              <w:rPr>
                <w:rFonts w:hint="default" w:ascii="Times New Roman" w:hAnsi="Times New Roman" w:cs="Times New Roman"/>
                <w:color w:val="auto"/>
                <w:kern w:val="0"/>
                <w:sz w:val="20"/>
                <w:szCs w:val="20"/>
                <w:highlight w:val="none"/>
                <w:lang w:bidi="ar"/>
              </w:rPr>
              <w:t>金东方财富家园10-12期</w:t>
            </w:r>
          </w:p>
        </w:tc>
        <w:tc>
          <w:tcPr>
            <w:tcW w:w="172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kern w:val="0"/>
                <w:sz w:val="20"/>
                <w:szCs w:val="20"/>
                <w:highlight w:val="none"/>
                <w:lang w:bidi="ar"/>
              </w:rPr>
            </w:pPr>
            <w:r>
              <w:rPr>
                <w:rFonts w:hint="default" w:ascii="Times New Roman" w:hAnsi="Times New Roman" w:cs="Times New Roman"/>
                <w:color w:val="auto"/>
                <w:kern w:val="0"/>
                <w:sz w:val="20"/>
                <w:szCs w:val="20"/>
                <w:highlight w:val="none"/>
                <w:lang w:bidi="ar"/>
              </w:rPr>
              <w:t>附城镇云岭工业园红城大道西侧</w:t>
            </w:r>
          </w:p>
        </w:tc>
        <w:tc>
          <w:tcPr>
            <w:tcW w:w="61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kern w:val="0"/>
                <w:sz w:val="20"/>
                <w:szCs w:val="20"/>
                <w:highlight w:val="none"/>
                <w:lang w:bidi="ar"/>
              </w:rPr>
            </w:pPr>
            <w:r>
              <w:rPr>
                <w:rFonts w:hint="default" w:ascii="Times New Roman" w:hAnsi="Times New Roman" w:cs="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kern w:val="0"/>
                <w:sz w:val="20"/>
                <w:szCs w:val="20"/>
                <w:highlight w:val="none"/>
                <w:lang w:bidi="ar"/>
              </w:rPr>
            </w:pPr>
            <w:r>
              <w:rPr>
                <w:rFonts w:hint="default" w:ascii="Times New Roman" w:hAnsi="Times New Roman" w:cs="Times New Roman"/>
                <w:color w:val="auto"/>
                <w:kern w:val="0"/>
                <w:sz w:val="20"/>
                <w:szCs w:val="20"/>
                <w:highlight w:val="none"/>
                <w:lang w:bidi="ar"/>
              </w:rPr>
              <w:t>7</w:t>
            </w:r>
          </w:p>
        </w:tc>
        <w:tc>
          <w:tcPr>
            <w:tcW w:w="99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sz w:val="20"/>
                <w:szCs w:val="20"/>
                <w:highlight w:val="none"/>
              </w:rPr>
            </w:pPr>
            <w:r>
              <w:rPr>
                <w:rFonts w:hint="default" w:ascii="Times New Roman" w:hAnsi="Times New Roman" w:cs="Times New Roman"/>
                <w:color w:val="auto"/>
                <w:kern w:val="0"/>
                <w:sz w:val="20"/>
                <w:szCs w:val="20"/>
                <w:highlight w:val="none"/>
                <w:lang w:bidi="ar"/>
              </w:rPr>
              <w:t>2010</w:t>
            </w:r>
          </w:p>
        </w:tc>
        <w:tc>
          <w:tcPr>
            <w:tcW w:w="86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kern w:val="0"/>
                <w:sz w:val="22"/>
                <w:highlight w:val="none"/>
                <w:lang w:bidi="ar"/>
              </w:rPr>
            </w:pPr>
            <w:r>
              <w:rPr>
                <w:rFonts w:hint="default" w:ascii="Times New Roman" w:hAnsi="Times New Roman" w:cs="Times New Roman"/>
                <w:color w:val="auto"/>
                <w:kern w:val="0"/>
                <w:sz w:val="24"/>
                <w:highlight w:val="none"/>
                <w:lang w:bidi="ar"/>
              </w:rPr>
              <w:t>1.5210</w:t>
            </w:r>
          </w:p>
        </w:tc>
        <w:tc>
          <w:tcPr>
            <w:tcW w:w="88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kern w:val="0"/>
                <w:sz w:val="20"/>
                <w:szCs w:val="20"/>
                <w:highlight w:val="none"/>
                <w:lang w:bidi="ar"/>
              </w:rPr>
            </w:pPr>
            <w:r>
              <w:rPr>
                <w:rFonts w:ascii="Times New Roman" w:hAnsi="Times New Roman"/>
                <w:color w:val="auto"/>
                <w:kern w:val="0"/>
                <w:sz w:val="20"/>
                <w:szCs w:val="20"/>
                <w:highlight w:val="none"/>
                <w:lang w:bidi="ar"/>
              </w:rPr>
              <w:t xml:space="preserve">0 </w:t>
            </w:r>
          </w:p>
        </w:tc>
        <w:tc>
          <w:tcPr>
            <w:tcW w:w="780" w:type="dxa"/>
            <w:shd w:val="clear" w:color="auto" w:fill="auto"/>
            <w:noWrap/>
            <w:tcMar>
              <w:top w:w="10" w:type="dxa"/>
              <w:left w:w="10" w:type="dxa"/>
              <w:right w:w="10" w:type="dxa"/>
            </w:tcMar>
            <w:vAlign w:val="center"/>
          </w:tcPr>
          <w:p>
            <w:pPr>
              <w:widowControl/>
              <w:jc w:val="right"/>
              <w:textAlignment w:val="center"/>
              <w:rPr>
                <w:rFonts w:ascii="Times New Roman" w:hAnsi="Times New Roman"/>
                <w:color w:val="auto"/>
                <w:kern w:val="0"/>
                <w:sz w:val="24"/>
                <w:highlight w:val="none"/>
                <w:lang w:bidi="ar"/>
              </w:rPr>
            </w:pPr>
            <w:r>
              <w:rPr>
                <w:rFonts w:hint="default" w:ascii="Times New Roman" w:hAnsi="Times New Roman" w:cs="Times New Roman"/>
                <w:color w:val="auto"/>
                <w:kern w:val="0"/>
                <w:sz w:val="24"/>
                <w:highlight w:val="none"/>
                <w:lang w:bidi="ar"/>
              </w:rPr>
              <w:t xml:space="preserve">0 </w:t>
            </w:r>
          </w:p>
        </w:tc>
        <w:tc>
          <w:tcPr>
            <w:tcW w:w="5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kern w:val="0"/>
                <w:sz w:val="22"/>
                <w:highlight w:val="none"/>
                <w:lang w:bidi="ar"/>
              </w:rPr>
            </w:pPr>
            <w:r>
              <w:rPr>
                <w:rFonts w:hint="eastAsia" w:ascii="Times New Roman" w:hAnsi="Times New Roman"/>
                <w:color w:val="auto"/>
                <w:kern w:val="0"/>
                <w:sz w:val="22"/>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00" w:hRule="atLeast"/>
          <w:jc w:val="center"/>
        </w:trPr>
        <w:tc>
          <w:tcPr>
            <w:tcW w:w="6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kern w:val="0"/>
                <w:sz w:val="24"/>
                <w:highlight w:val="none"/>
                <w:lang w:bidi="ar"/>
              </w:rPr>
            </w:pPr>
            <w:r>
              <w:rPr>
                <w:rFonts w:hint="eastAsia" w:ascii="Times New Roman" w:hAnsi="Times New Roman"/>
                <w:color w:val="auto"/>
                <w:kern w:val="0"/>
                <w:sz w:val="24"/>
                <w:highlight w:val="none"/>
                <w:lang w:bidi="ar"/>
              </w:rPr>
              <w:t>37</w:t>
            </w:r>
          </w:p>
        </w:tc>
        <w:tc>
          <w:tcPr>
            <w:tcW w:w="1347"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kern w:val="0"/>
                <w:sz w:val="20"/>
                <w:szCs w:val="20"/>
                <w:highlight w:val="none"/>
                <w:lang w:bidi="ar"/>
              </w:rPr>
            </w:pPr>
            <w:r>
              <w:rPr>
                <w:rFonts w:hint="default" w:ascii="Times New Roman" w:hAnsi="Times New Roman" w:cs="Times New Roman"/>
                <w:color w:val="auto"/>
                <w:kern w:val="0"/>
                <w:sz w:val="20"/>
                <w:szCs w:val="20"/>
                <w:highlight w:val="none"/>
                <w:lang w:bidi="ar"/>
              </w:rPr>
              <w:t>天悦龙庭</w:t>
            </w:r>
          </w:p>
        </w:tc>
        <w:tc>
          <w:tcPr>
            <w:tcW w:w="172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kern w:val="0"/>
                <w:sz w:val="20"/>
                <w:szCs w:val="20"/>
                <w:highlight w:val="none"/>
                <w:lang w:bidi="ar"/>
              </w:rPr>
            </w:pPr>
            <w:r>
              <w:rPr>
                <w:rFonts w:hint="default" w:ascii="Times New Roman" w:hAnsi="Times New Roman" w:cs="Times New Roman"/>
                <w:color w:val="auto"/>
                <w:kern w:val="0"/>
                <w:sz w:val="20"/>
                <w:szCs w:val="20"/>
                <w:highlight w:val="none"/>
                <w:lang w:bidi="ar"/>
              </w:rPr>
              <w:t>附城镇324国道北侧</w:t>
            </w:r>
          </w:p>
        </w:tc>
        <w:tc>
          <w:tcPr>
            <w:tcW w:w="61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kern w:val="0"/>
                <w:sz w:val="20"/>
                <w:szCs w:val="20"/>
                <w:highlight w:val="none"/>
                <w:lang w:bidi="ar"/>
              </w:rPr>
            </w:pPr>
            <w:r>
              <w:rPr>
                <w:rFonts w:hint="default" w:ascii="Times New Roman" w:hAnsi="Times New Roman" w:cs="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pPr>
              <w:widowControl/>
              <w:jc w:val="right"/>
              <w:textAlignment w:val="center"/>
              <w:rPr>
                <w:rFonts w:ascii="Times New Roman" w:hAnsi="Times New Roman"/>
                <w:color w:val="auto"/>
                <w:kern w:val="0"/>
                <w:sz w:val="20"/>
                <w:szCs w:val="20"/>
                <w:highlight w:val="none"/>
                <w:lang w:bidi="ar"/>
              </w:rPr>
            </w:pPr>
            <w:r>
              <w:rPr>
                <w:rFonts w:hint="default" w:ascii="Times New Roman" w:hAnsi="Times New Roman" w:cs="Times New Roman"/>
                <w:color w:val="auto"/>
                <w:kern w:val="0"/>
                <w:sz w:val="24"/>
                <w:highlight w:val="none"/>
                <w:lang w:bidi="ar"/>
              </w:rPr>
              <w:t>32</w:t>
            </w:r>
          </w:p>
        </w:tc>
        <w:tc>
          <w:tcPr>
            <w:tcW w:w="990" w:type="dxa"/>
            <w:shd w:val="clear" w:color="auto" w:fill="auto"/>
            <w:tcMar>
              <w:top w:w="10" w:type="dxa"/>
              <w:left w:w="10" w:type="dxa"/>
              <w:right w:w="10" w:type="dxa"/>
            </w:tcMar>
            <w:vAlign w:val="center"/>
          </w:tcPr>
          <w:p>
            <w:pPr>
              <w:widowControl/>
              <w:jc w:val="right"/>
              <w:textAlignment w:val="center"/>
              <w:rPr>
                <w:rFonts w:ascii="Times New Roman" w:hAnsi="Times New Roman"/>
                <w:color w:val="auto"/>
                <w:sz w:val="20"/>
                <w:szCs w:val="20"/>
                <w:highlight w:val="none"/>
              </w:rPr>
            </w:pPr>
            <w:r>
              <w:rPr>
                <w:rFonts w:hint="default" w:ascii="Times New Roman" w:hAnsi="Times New Roman" w:cs="Times New Roman"/>
                <w:color w:val="auto"/>
                <w:kern w:val="0"/>
                <w:sz w:val="24"/>
                <w:highlight w:val="none"/>
                <w:lang w:bidi="ar"/>
              </w:rPr>
              <w:t>2020</w:t>
            </w:r>
          </w:p>
        </w:tc>
        <w:tc>
          <w:tcPr>
            <w:tcW w:w="86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kern w:val="0"/>
                <w:sz w:val="22"/>
                <w:highlight w:val="none"/>
                <w:lang w:bidi="ar"/>
              </w:rPr>
            </w:pPr>
            <w:r>
              <w:rPr>
                <w:rFonts w:hint="default" w:ascii="Times New Roman" w:hAnsi="Times New Roman" w:cs="Times New Roman"/>
                <w:color w:val="auto"/>
                <w:kern w:val="0"/>
                <w:sz w:val="24"/>
                <w:highlight w:val="none"/>
                <w:lang w:bidi="ar"/>
              </w:rPr>
              <w:t>5.6</w:t>
            </w:r>
          </w:p>
        </w:tc>
        <w:tc>
          <w:tcPr>
            <w:tcW w:w="88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kern w:val="0"/>
                <w:sz w:val="20"/>
                <w:szCs w:val="20"/>
                <w:highlight w:val="none"/>
                <w:lang w:bidi="ar"/>
              </w:rPr>
            </w:pPr>
            <w:r>
              <w:rPr>
                <w:rFonts w:ascii="Times New Roman" w:hAnsi="Times New Roman"/>
                <w:color w:val="auto"/>
                <w:kern w:val="0"/>
                <w:sz w:val="20"/>
                <w:szCs w:val="20"/>
                <w:highlight w:val="none"/>
                <w:lang w:bidi="ar"/>
              </w:rPr>
              <w:t>2.4</w:t>
            </w:r>
          </w:p>
        </w:tc>
        <w:tc>
          <w:tcPr>
            <w:tcW w:w="780" w:type="dxa"/>
            <w:shd w:val="clear" w:color="auto" w:fill="auto"/>
            <w:noWrap/>
            <w:tcMar>
              <w:top w:w="10" w:type="dxa"/>
              <w:left w:w="10" w:type="dxa"/>
              <w:right w:w="10" w:type="dxa"/>
            </w:tcMar>
            <w:vAlign w:val="center"/>
          </w:tcPr>
          <w:p>
            <w:pPr>
              <w:widowControl/>
              <w:jc w:val="right"/>
              <w:textAlignment w:val="center"/>
              <w:rPr>
                <w:rFonts w:ascii="Times New Roman" w:hAnsi="Times New Roman"/>
                <w:color w:val="auto"/>
                <w:kern w:val="0"/>
                <w:sz w:val="24"/>
                <w:highlight w:val="none"/>
                <w:lang w:bidi="ar"/>
              </w:rPr>
            </w:pPr>
            <w:r>
              <w:rPr>
                <w:rFonts w:hint="default" w:ascii="Times New Roman" w:hAnsi="Times New Roman" w:cs="Times New Roman"/>
                <w:color w:val="auto"/>
                <w:kern w:val="0"/>
                <w:sz w:val="24"/>
                <w:highlight w:val="none"/>
                <w:lang w:bidi="ar"/>
              </w:rPr>
              <w:t xml:space="preserve">42.9 </w:t>
            </w:r>
          </w:p>
        </w:tc>
        <w:tc>
          <w:tcPr>
            <w:tcW w:w="5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kern w:val="0"/>
                <w:sz w:val="22"/>
                <w:highlight w:val="none"/>
                <w:lang w:bidi="ar"/>
              </w:rPr>
            </w:pPr>
            <w:r>
              <w:rPr>
                <w:rFonts w:hint="eastAsia" w:ascii="Times New Roman" w:hAnsi="Times New Roman"/>
                <w:color w:val="auto"/>
                <w:kern w:val="0"/>
                <w:sz w:val="22"/>
                <w:highlight w:val="none"/>
                <w:lang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00" w:hRule="atLeast"/>
          <w:jc w:val="center"/>
        </w:trPr>
        <w:tc>
          <w:tcPr>
            <w:tcW w:w="633"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kern w:val="0"/>
                <w:sz w:val="24"/>
                <w:highlight w:val="none"/>
                <w:lang w:bidi="ar"/>
              </w:rPr>
            </w:pPr>
            <w:r>
              <w:rPr>
                <w:rFonts w:hint="eastAsia" w:ascii="Times New Roman" w:hAnsi="Times New Roman"/>
                <w:color w:val="auto"/>
                <w:kern w:val="0"/>
                <w:sz w:val="24"/>
                <w:highlight w:val="none"/>
                <w:lang w:bidi="ar"/>
              </w:rPr>
              <w:t>38</w:t>
            </w:r>
          </w:p>
        </w:tc>
        <w:tc>
          <w:tcPr>
            <w:tcW w:w="1347"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kern w:val="0"/>
                <w:sz w:val="20"/>
                <w:szCs w:val="20"/>
                <w:highlight w:val="none"/>
                <w:lang w:bidi="ar"/>
              </w:rPr>
            </w:pPr>
            <w:r>
              <w:rPr>
                <w:rFonts w:hint="default" w:ascii="Times New Roman" w:hAnsi="Times New Roman" w:cs="Times New Roman"/>
                <w:color w:val="auto"/>
                <w:kern w:val="0"/>
                <w:sz w:val="20"/>
                <w:szCs w:val="20"/>
                <w:highlight w:val="none"/>
                <w:lang w:bidi="ar"/>
              </w:rPr>
              <w:t>益民小区</w:t>
            </w:r>
          </w:p>
        </w:tc>
        <w:tc>
          <w:tcPr>
            <w:tcW w:w="172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kern w:val="0"/>
                <w:sz w:val="20"/>
                <w:szCs w:val="20"/>
                <w:highlight w:val="none"/>
                <w:lang w:bidi="ar"/>
              </w:rPr>
            </w:pPr>
            <w:r>
              <w:rPr>
                <w:rFonts w:hint="default" w:ascii="Times New Roman" w:hAnsi="Times New Roman" w:cs="Times New Roman"/>
                <w:color w:val="auto"/>
                <w:kern w:val="0"/>
                <w:sz w:val="20"/>
                <w:szCs w:val="20"/>
                <w:highlight w:val="none"/>
                <w:lang w:bidi="ar"/>
              </w:rPr>
              <w:t>附城镇云岭工业园附近</w:t>
            </w:r>
          </w:p>
        </w:tc>
        <w:tc>
          <w:tcPr>
            <w:tcW w:w="61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kern w:val="0"/>
                <w:sz w:val="20"/>
                <w:szCs w:val="20"/>
                <w:highlight w:val="none"/>
                <w:lang w:bidi="ar"/>
              </w:rPr>
            </w:pPr>
            <w:r>
              <w:rPr>
                <w:rFonts w:hint="default" w:ascii="Times New Roman" w:hAnsi="Times New Roman" w:cs="Times New Roman"/>
                <w:color w:val="auto"/>
                <w:kern w:val="0"/>
                <w:sz w:val="20"/>
                <w:szCs w:val="20"/>
                <w:highlight w:val="none"/>
                <w:lang w:bidi="ar"/>
              </w:rPr>
              <w:t>小区</w:t>
            </w:r>
          </w:p>
        </w:tc>
        <w:tc>
          <w:tcPr>
            <w:tcW w:w="640" w:type="dxa"/>
            <w:shd w:val="clear" w:color="auto" w:fill="auto"/>
            <w:tcMar>
              <w:top w:w="10" w:type="dxa"/>
              <w:left w:w="10" w:type="dxa"/>
              <w:right w:w="10" w:type="dxa"/>
            </w:tcMar>
            <w:vAlign w:val="center"/>
          </w:tcPr>
          <w:p>
            <w:pPr>
              <w:widowControl/>
              <w:jc w:val="right"/>
              <w:textAlignment w:val="center"/>
              <w:rPr>
                <w:rFonts w:ascii="Times New Roman" w:hAnsi="Times New Roman"/>
                <w:color w:val="auto"/>
                <w:kern w:val="0"/>
                <w:sz w:val="20"/>
                <w:szCs w:val="20"/>
                <w:highlight w:val="none"/>
                <w:lang w:bidi="ar"/>
              </w:rPr>
            </w:pPr>
            <w:r>
              <w:rPr>
                <w:rFonts w:hint="default" w:ascii="Times New Roman" w:hAnsi="Times New Roman" w:cs="Times New Roman"/>
                <w:color w:val="auto"/>
                <w:kern w:val="0"/>
                <w:sz w:val="24"/>
                <w:highlight w:val="none"/>
                <w:lang w:bidi="ar"/>
              </w:rPr>
              <w:t>7</w:t>
            </w:r>
          </w:p>
        </w:tc>
        <w:tc>
          <w:tcPr>
            <w:tcW w:w="990" w:type="dxa"/>
            <w:shd w:val="clear" w:color="auto" w:fill="auto"/>
            <w:tcMar>
              <w:top w:w="10" w:type="dxa"/>
              <w:left w:w="10" w:type="dxa"/>
              <w:right w:w="10" w:type="dxa"/>
            </w:tcMar>
            <w:vAlign w:val="center"/>
          </w:tcPr>
          <w:p>
            <w:pPr>
              <w:widowControl/>
              <w:jc w:val="right"/>
              <w:textAlignment w:val="center"/>
              <w:rPr>
                <w:rFonts w:ascii="Times New Roman" w:hAnsi="Times New Roman"/>
                <w:color w:val="auto"/>
                <w:sz w:val="20"/>
                <w:szCs w:val="20"/>
                <w:highlight w:val="none"/>
              </w:rPr>
            </w:pPr>
            <w:r>
              <w:rPr>
                <w:rFonts w:hint="default" w:ascii="Times New Roman" w:hAnsi="Times New Roman" w:cs="Times New Roman"/>
                <w:color w:val="auto"/>
                <w:kern w:val="0"/>
                <w:sz w:val="24"/>
                <w:highlight w:val="none"/>
                <w:lang w:bidi="ar"/>
              </w:rPr>
              <w:t>2015</w:t>
            </w:r>
          </w:p>
        </w:tc>
        <w:tc>
          <w:tcPr>
            <w:tcW w:w="869"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kern w:val="0"/>
                <w:sz w:val="22"/>
                <w:highlight w:val="none"/>
                <w:lang w:bidi="ar"/>
              </w:rPr>
            </w:pPr>
            <w:r>
              <w:rPr>
                <w:rFonts w:hint="default" w:ascii="Times New Roman" w:hAnsi="Times New Roman" w:cs="Times New Roman"/>
                <w:color w:val="auto"/>
                <w:kern w:val="0"/>
                <w:sz w:val="24"/>
                <w:highlight w:val="none"/>
                <w:lang w:bidi="ar"/>
              </w:rPr>
              <w:t>0.9758</w:t>
            </w:r>
          </w:p>
        </w:tc>
        <w:tc>
          <w:tcPr>
            <w:tcW w:w="880" w:type="dxa"/>
            <w:shd w:val="clear" w:color="auto" w:fill="auto"/>
            <w:tcMar>
              <w:top w:w="10" w:type="dxa"/>
              <w:left w:w="10" w:type="dxa"/>
              <w:right w:w="10" w:type="dxa"/>
            </w:tcMar>
            <w:vAlign w:val="center"/>
          </w:tcPr>
          <w:p>
            <w:pPr>
              <w:widowControl/>
              <w:jc w:val="center"/>
              <w:textAlignment w:val="center"/>
              <w:rPr>
                <w:rFonts w:ascii="Times New Roman" w:hAnsi="Times New Roman"/>
                <w:color w:val="auto"/>
                <w:kern w:val="0"/>
                <w:sz w:val="20"/>
                <w:szCs w:val="20"/>
                <w:highlight w:val="none"/>
                <w:lang w:bidi="ar"/>
              </w:rPr>
            </w:pPr>
            <w:r>
              <w:rPr>
                <w:rFonts w:ascii="Times New Roman" w:hAnsi="Times New Roman"/>
                <w:color w:val="auto"/>
                <w:kern w:val="0"/>
                <w:sz w:val="20"/>
                <w:szCs w:val="20"/>
                <w:highlight w:val="none"/>
                <w:lang w:bidi="ar"/>
              </w:rPr>
              <w:t>0.07</w:t>
            </w:r>
          </w:p>
        </w:tc>
        <w:tc>
          <w:tcPr>
            <w:tcW w:w="780" w:type="dxa"/>
            <w:shd w:val="clear" w:color="auto" w:fill="auto"/>
            <w:noWrap/>
            <w:tcMar>
              <w:top w:w="10" w:type="dxa"/>
              <w:left w:w="10" w:type="dxa"/>
              <w:right w:w="10" w:type="dxa"/>
            </w:tcMar>
            <w:vAlign w:val="center"/>
          </w:tcPr>
          <w:p>
            <w:pPr>
              <w:widowControl/>
              <w:jc w:val="right"/>
              <w:textAlignment w:val="center"/>
              <w:rPr>
                <w:rFonts w:ascii="Times New Roman" w:hAnsi="Times New Roman"/>
                <w:color w:val="auto"/>
                <w:kern w:val="0"/>
                <w:sz w:val="24"/>
                <w:highlight w:val="none"/>
                <w:lang w:bidi="ar"/>
              </w:rPr>
            </w:pPr>
            <w:r>
              <w:rPr>
                <w:rFonts w:hint="default" w:ascii="Times New Roman" w:hAnsi="Times New Roman" w:cs="Times New Roman"/>
                <w:color w:val="auto"/>
                <w:kern w:val="0"/>
                <w:sz w:val="24"/>
                <w:highlight w:val="none"/>
                <w:lang w:bidi="ar"/>
              </w:rPr>
              <w:t xml:space="preserve">7.18 </w:t>
            </w:r>
          </w:p>
        </w:tc>
        <w:tc>
          <w:tcPr>
            <w:tcW w:w="5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kern w:val="0"/>
                <w:sz w:val="22"/>
                <w:highlight w:val="none"/>
                <w:lang w:bidi="ar"/>
              </w:rPr>
            </w:pPr>
            <w:r>
              <w:rPr>
                <w:rFonts w:hint="eastAsia" w:ascii="Times New Roman" w:hAnsi="Times New Roman"/>
                <w:color w:val="auto"/>
                <w:kern w:val="0"/>
                <w:sz w:val="22"/>
                <w:highlight w:val="none"/>
                <w:lang w:bidi="ar"/>
              </w:rPr>
              <w:t>否</w:t>
            </w:r>
          </w:p>
        </w:tc>
      </w:tr>
    </w:tbl>
    <w:p>
      <w:pPr>
        <w:spacing w:line="360" w:lineRule="auto"/>
        <w:rPr>
          <w:rFonts w:ascii="Times New Roman" w:hAnsi="Times New Roman"/>
          <w:color w:val="auto"/>
          <w:szCs w:val="21"/>
          <w:highlight w:val="none"/>
        </w:rPr>
      </w:pPr>
      <w:r>
        <w:rPr>
          <w:rFonts w:ascii="Times New Roman" w:hAnsi="Times New Roman"/>
          <w:color w:val="auto"/>
          <w:szCs w:val="21"/>
          <w:highlight w:val="none"/>
        </w:rPr>
        <w:t>注：关于绿地率最小值（%），住宅建筑平均层数1-3层为25%，4-9层为30%，10-26层为35%；当采用低层或多层高密度布局时，住宅建筑平均层数1-3层为20%，4-6层为25%。</w:t>
      </w:r>
    </w:p>
    <w:p>
      <w:pPr>
        <w:pStyle w:val="6"/>
        <w:rPr>
          <w:rFonts w:ascii="Times New Roman" w:hAnsi="Times New Roman"/>
          <w:color w:val="auto"/>
          <w:highlight w:val="none"/>
        </w:rPr>
      </w:pPr>
      <w:bookmarkStart w:id="363" w:name="_Toc60776392"/>
      <w:bookmarkStart w:id="364" w:name="_Toc60499701"/>
      <w:bookmarkStart w:id="365" w:name="_Toc14281"/>
      <w:bookmarkStart w:id="366" w:name="_Toc54451065"/>
      <w:r>
        <w:rPr>
          <w:rFonts w:ascii="Times New Roman" w:hAnsi="Times New Roman"/>
          <w:color w:val="auto"/>
          <w:highlight w:val="none"/>
        </w:rPr>
        <w:t>15、园林式居住区（单位）、达标率或年提升率</w:t>
      </w:r>
      <w:bookmarkEnd w:id="363"/>
      <w:bookmarkEnd w:id="364"/>
      <w:bookmarkEnd w:id="365"/>
      <w:bookmarkEnd w:id="366"/>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指标要求：达标率≥50%或年提升率≥10%。</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计算方法：园林式居住区（单位）达标率（%）=建成区内园林式居住区（单位）的数量（个）/建成区范围内居住区（单位）总数量（个）×100%。</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园林式居住区（单位）年提升率（%）=建成区内每年新增园林式居住区（单位）的数量（个）/建成区范围内总居住区（单位）总数量（个）×100%</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w:t>
      </w:r>
      <w:r>
        <w:rPr>
          <w:rFonts w:hint="eastAsia" w:ascii="Times New Roman" w:hAnsi="Times New Roman"/>
          <w:color w:val="auto"/>
          <w:sz w:val="24"/>
          <w:highlight w:val="none"/>
        </w:rPr>
        <w:t>海丰县</w:t>
      </w:r>
      <w:r>
        <w:rPr>
          <w:rFonts w:ascii="Times New Roman" w:hAnsi="Times New Roman"/>
          <w:color w:val="auto"/>
          <w:sz w:val="24"/>
          <w:highlight w:val="none"/>
        </w:rPr>
        <w:t>尚未进行</w:t>
      </w:r>
      <w:r>
        <w:rPr>
          <w:rFonts w:hint="eastAsia" w:ascii="Times New Roman" w:hAnsi="Times New Roman"/>
          <w:color w:val="auto"/>
          <w:sz w:val="24"/>
          <w:highlight w:val="none"/>
        </w:rPr>
        <w:t>园林式居住区（单位）评选，</w:t>
      </w:r>
      <w:r>
        <w:rPr>
          <w:rFonts w:ascii="Times New Roman" w:hAnsi="Times New Roman"/>
          <w:b/>
          <w:bCs/>
          <w:color w:val="auto"/>
          <w:sz w:val="24"/>
          <w:highlight w:val="none"/>
        </w:rPr>
        <w:t>为缺失性指标</w:t>
      </w:r>
      <w:r>
        <w:rPr>
          <w:rFonts w:ascii="Times New Roman" w:hAnsi="Times New Roman"/>
          <w:color w:val="auto"/>
          <w:sz w:val="24"/>
          <w:highlight w:val="none"/>
        </w:rPr>
        <w:t>。</w:t>
      </w:r>
    </w:p>
    <w:p>
      <w:pPr>
        <w:pStyle w:val="6"/>
        <w:rPr>
          <w:rFonts w:ascii="Times New Roman" w:hAnsi="Times New Roman"/>
          <w:color w:val="auto"/>
          <w:highlight w:val="none"/>
        </w:rPr>
      </w:pPr>
      <w:bookmarkStart w:id="367" w:name="_Toc54451066"/>
      <w:bookmarkStart w:id="368" w:name="_Toc60776393"/>
      <w:bookmarkStart w:id="369" w:name="_Toc9804"/>
      <w:bookmarkStart w:id="370" w:name="_Toc60499702"/>
      <w:r>
        <w:rPr>
          <w:rFonts w:ascii="Times New Roman" w:hAnsi="Times New Roman"/>
          <w:color w:val="auto"/>
          <w:highlight w:val="none"/>
        </w:rPr>
        <w:t>16、道路绿化普及率</w:t>
      </w:r>
      <w:bookmarkEnd w:id="367"/>
      <w:bookmarkEnd w:id="368"/>
      <w:bookmarkEnd w:id="369"/>
      <w:bookmarkEnd w:id="370"/>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指标要求：≥95%。</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计算方法：城市道路绿化普及率（%）=城市建成区内道路两旁种植有行道树的道路长度（公里）/城市建成区内道路总长度（公里）×100%。</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调查结果：县城建成区内道路两旁种植有行道树的道路长度78209米，城市建成区内道路总长度113223米，道路绿化普及率69.08%，</w:t>
      </w:r>
      <w:r>
        <w:rPr>
          <w:rFonts w:ascii="Times New Roman" w:hAnsi="Times New Roman"/>
          <w:b/>
          <w:color w:val="auto"/>
          <w:sz w:val="24"/>
          <w:highlight w:val="none"/>
        </w:rPr>
        <w:t>该项暂不达标</w:t>
      </w:r>
      <w:r>
        <w:rPr>
          <w:rFonts w:ascii="Times New Roman" w:hAnsi="Times New Roman"/>
          <w:color w:val="auto"/>
          <w:sz w:val="24"/>
          <w:highlight w:val="none"/>
        </w:rPr>
        <w:t>。</w:t>
      </w:r>
    </w:p>
    <w:p>
      <w:pPr>
        <w:spacing w:line="360" w:lineRule="auto"/>
        <w:jc w:val="center"/>
        <w:rPr>
          <w:rFonts w:ascii="Times New Roman" w:hAnsi="Times New Roman"/>
          <w:b/>
          <w:color w:val="auto"/>
          <w:sz w:val="24"/>
          <w:highlight w:val="none"/>
        </w:rPr>
      </w:pPr>
      <w:r>
        <w:rPr>
          <w:rFonts w:ascii="Times New Roman" w:hAnsi="Times New Roman"/>
          <w:b/>
          <w:color w:val="auto"/>
          <w:sz w:val="24"/>
          <w:highlight w:val="none"/>
        </w:rPr>
        <w:t>表2-</w:t>
      </w:r>
      <w:r>
        <w:rPr>
          <w:rFonts w:hint="eastAsia" w:ascii="Times New Roman" w:hAnsi="Times New Roman"/>
          <w:b/>
          <w:color w:val="auto"/>
          <w:sz w:val="24"/>
          <w:highlight w:val="none"/>
        </w:rPr>
        <w:t>9</w:t>
      </w:r>
      <w:r>
        <w:rPr>
          <w:rFonts w:ascii="Times New Roman" w:hAnsi="Times New Roman"/>
          <w:b/>
          <w:color w:val="auto"/>
          <w:sz w:val="24"/>
          <w:highlight w:val="none"/>
        </w:rPr>
        <w:t xml:space="preserve"> 海丰县建成区道路绿化普及率统计表</w:t>
      </w:r>
    </w:p>
    <w:tbl>
      <w:tblPr>
        <w:tblStyle w:val="20"/>
        <w:tblW w:w="8314" w:type="dxa"/>
        <w:tblInd w:w="0" w:type="dxa"/>
        <w:tblLayout w:type="fixed"/>
        <w:tblCellMar>
          <w:top w:w="0" w:type="dxa"/>
          <w:left w:w="0" w:type="dxa"/>
          <w:bottom w:w="0" w:type="dxa"/>
          <w:right w:w="0" w:type="dxa"/>
        </w:tblCellMar>
      </w:tblPr>
      <w:tblGrid>
        <w:gridCol w:w="1510"/>
        <w:gridCol w:w="1560"/>
        <w:gridCol w:w="1558"/>
        <w:gridCol w:w="1558"/>
        <w:gridCol w:w="2128"/>
      </w:tblGrid>
      <w:tr>
        <w:tblPrEx>
          <w:tblCellMar>
            <w:top w:w="0" w:type="dxa"/>
            <w:left w:w="0" w:type="dxa"/>
            <w:bottom w:w="0" w:type="dxa"/>
            <w:right w:w="0" w:type="dxa"/>
          </w:tblCellMar>
        </w:tblPrEx>
        <w:trPr>
          <w:trHeight w:val="1000" w:hRule="exact"/>
        </w:trPr>
        <w:tc>
          <w:tcPr>
            <w:tcW w:w="1510"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color w:val="auto"/>
                <w:highlight w:val="none"/>
              </w:rPr>
            </w:pPr>
            <w:r>
              <w:rPr>
                <w:rFonts w:ascii="Times New Roman" w:hAnsi="Times New Roman"/>
                <w:b/>
                <w:color w:val="auto"/>
                <w:highlight w:val="none"/>
              </w:rPr>
              <w:t>序号</w:t>
            </w:r>
          </w:p>
        </w:tc>
        <w:tc>
          <w:tcPr>
            <w:tcW w:w="1560"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color w:val="auto"/>
                <w:highlight w:val="none"/>
              </w:rPr>
            </w:pPr>
            <w:r>
              <w:rPr>
                <w:rFonts w:ascii="Times New Roman" w:hAnsi="Times New Roman"/>
                <w:b/>
                <w:color w:val="auto"/>
                <w:highlight w:val="none"/>
              </w:rPr>
              <w:t>统计单位</w:t>
            </w:r>
          </w:p>
        </w:tc>
        <w:tc>
          <w:tcPr>
            <w:tcW w:w="1558"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color w:val="auto"/>
                <w:highlight w:val="none"/>
              </w:rPr>
            </w:pPr>
            <w:r>
              <w:rPr>
                <w:rFonts w:ascii="Times New Roman" w:hAnsi="Times New Roman"/>
                <w:b/>
                <w:color w:val="auto"/>
                <w:highlight w:val="none"/>
              </w:rPr>
              <w:t>建成区有行道树的道路长度（m）</w:t>
            </w:r>
          </w:p>
        </w:tc>
        <w:tc>
          <w:tcPr>
            <w:tcW w:w="1558"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color w:val="auto"/>
                <w:highlight w:val="none"/>
              </w:rPr>
            </w:pPr>
            <w:r>
              <w:rPr>
                <w:rFonts w:ascii="Times New Roman" w:hAnsi="Times New Roman"/>
                <w:b/>
                <w:color w:val="auto"/>
                <w:highlight w:val="none"/>
              </w:rPr>
              <w:t>建成区道路总长度（m）</w:t>
            </w:r>
          </w:p>
        </w:tc>
        <w:tc>
          <w:tcPr>
            <w:tcW w:w="2128"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color w:val="auto"/>
                <w:highlight w:val="none"/>
              </w:rPr>
            </w:pPr>
            <w:r>
              <w:rPr>
                <w:rFonts w:ascii="Times New Roman" w:hAnsi="Times New Roman"/>
                <w:b/>
                <w:color w:val="auto"/>
                <w:highlight w:val="none"/>
              </w:rPr>
              <w:t>城市道路绿化普及率（%）</w:t>
            </w:r>
          </w:p>
        </w:tc>
      </w:tr>
      <w:tr>
        <w:tblPrEx>
          <w:tblCellMar>
            <w:top w:w="0" w:type="dxa"/>
            <w:left w:w="0" w:type="dxa"/>
            <w:bottom w:w="0" w:type="dxa"/>
            <w:right w:w="0" w:type="dxa"/>
          </w:tblCellMar>
        </w:tblPrEx>
        <w:trPr>
          <w:trHeight w:val="398" w:hRule="exact"/>
        </w:trPr>
        <w:tc>
          <w:tcPr>
            <w:tcW w:w="1510"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1</w:t>
            </w:r>
          </w:p>
        </w:tc>
        <w:tc>
          <w:tcPr>
            <w:tcW w:w="1560"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海丰县</w:t>
            </w:r>
          </w:p>
        </w:tc>
        <w:tc>
          <w:tcPr>
            <w:tcW w:w="1558"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78209</w:t>
            </w:r>
          </w:p>
          <w:p>
            <w:pPr>
              <w:jc w:val="center"/>
              <w:rPr>
                <w:rFonts w:ascii="Times New Roman" w:hAnsi="Times New Roman"/>
                <w:color w:val="auto"/>
                <w:highlight w:val="none"/>
              </w:rPr>
            </w:pPr>
          </w:p>
        </w:tc>
        <w:tc>
          <w:tcPr>
            <w:tcW w:w="1558"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113223</w:t>
            </w:r>
          </w:p>
        </w:tc>
        <w:tc>
          <w:tcPr>
            <w:tcW w:w="2128"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69.08</w:t>
            </w:r>
          </w:p>
        </w:tc>
      </w:tr>
    </w:tbl>
    <w:p>
      <w:pPr>
        <w:spacing w:line="360" w:lineRule="auto"/>
        <w:jc w:val="center"/>
        <w:rPr>
          <w:rFonts w:ascii="Times New Roman" w:hAnsi="Times New Roman"/>
          <w:b/>
          <w:color w:val="auto"/>
          <w:sz w:val="24"/>
          <w:highlight w:val="none"/>
        </w:rPr>
      </w:pPr>
    </w:p>
    <w:p>
      <w:pPr>
        <w:spacing w:line="360" w:lineRule="auto"/>
        <w:jc w:val="center"/>
        <w:rPr>
          <w:rFonts w:ascii="Times New Roman" w:hAnsi="Times New Roman"/>
          <w:b/>
          <w:color w:val="auto"/>
          <w:sz w:val="24"/>
          <w:highlight w:val="none"/>
        </w:rPr>
      </w:pPr>
      <w:r>
        <w:rPr>
          <w:rFonts w:ascii="Times New Roman" w:hAnsi="Times New Roman"/>
          <w:b/>
          <w:color w:val="auto"/>
          <w:sz w:val="24"/>
          <w:highlight w:val="none"/>
        </w:rPr>
        <w:t>表2-1</w:t>
      </w:r>
      <w:r>
        <w:rPr>
          <w:rFonts w:hint="eastAsia" w:ascii="Times New Roman" w:hAnsi="Times New Roman"/>
          <w:b/>
          <w:color w:val="auto"/>
          <w:sz w:val="24"/>
          <w:highlight w:val="none"/>
        </w:rPr>
        <w:t>0</w:t>
      </w:r>
      <w:r>
        <w:rPr>
          <w:rFonts w:ascii="Times New Roman" w:hAnsi="Times New Roman"/>
          <w:b/>
          <w:color w:val="auto"/>
          <w:sz w:val="24"/>
          <w:highlight w:val="none"/>
        </w:rPr>
        <w:t xml:space="preserve"> 海丰县建成区道路绿化普及率明细表</w:t>
      </w:r>
    </w:p>
    <w:tbl>
      <w:tblPr>
        <w:tblStyle w:val="20"/>
        <w:tblW w:w="102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8"/>
        <w:gridCol w:w="2526"/>
        <w:gridCol w:w="2736"/>
        <w:gridCol w:w="2527"/>
        <w:gridCol w:w="813"/>
        <w:gridCol w:w="9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4" w:hRule="atLeast"/>
          <w:tblHeader/>
          <w:jc w:val="center"/>
        </w:trPr>
        <w:tc>
          <w:tcPr>
            <w:tcW w:w="638" w:type="dxa"/>
            <w:vMerge w:val="restart"/>
            <w:noWrap/>
            <w:vAlign w:val="center"/>
          </w:tcPr>
          <w:p>
            <w:pPr>
              <w:jc w:val="center"/>
              <w:rPr>
                <w:rFonts w:ascii="Times New Roman" w:hAnsi="Times New Roman"/>
                <w:b/>
                <w:color w:val="auto"/>
                <w:highlight w:val="none"/>
              </w:rPr>
            </w:pPr>
            <w:r>
              <w:rPr>
                <w:rFonts w:ascii="Times New Roman" w:hAnsi="Times New Roman"/>
                <w:b/>
                <w:color w:val="auto"/>
                <w:highlight w:val="none"/>
              </w:rPr>
              <w:t>序号</w:t>
            </w:r>
          </w:p>
        </w:tc>
        <w:tc>
          <w:tcPr>
            <w:tcW w:w="2526" w:type="dxa"/>
            <w:vMerge w:val="restart"/>
            <w:noWrap/>
            <w:vAlign w:val="center"/>
          </w:tcPr>
          <w:p>
            <w:pPr>
              <w:jc w:val="center"/>
              <w:rPr>
                <w:rFonts w:ascii="Times New Roman" w:hAnsi="Times New Roman"/>
                <w:b/>
                <w:color w:val="auto"/>
                <w:highlight w:val="none"/>
              </w:rPr>
            </w:pPr>
            <w:r>
              <w:rPr>
                <w:rFonts w:ascii="Times New Roman" w:hAnsi="Times New Roman"/>
                <w:b/>
                <w:color w:val="auto"/>
                <w:highlight w:val="none"/>
              </w:rPr>
              <w:t>道路名称</w:t>
            </w:r>
          </w:p>
        </w:tc>
        <w:tc>
          <w:tcPr>
            <w:tcW w:w="2736" w:type="dxa"/>
            <w:vMerge w:val="restart"/>
            <w:noWrap/>
            <w:vAlign w:val="center"/>
          </w:tcPr>
          <w:p>
            <w:pPr>
              <w:jc w:val="center"/>
              <w:rPr>
                <w:rFonts w:ascii="Times New Roman" w:hAnsi="Times New Roman"/>
                <w:b/>
                <w:color w:val="auto"/>
                <w:highlight w:val="none"/>
              </w:rPr>
            </w:pPr>
            <w:r>
              <w:rPr>
                <w:rFonts w:ascii="Times New Roman" w:hAnsi="Times New Roman"/>
                <w:b/>
                <w:color w:val="auto"/>
                <w:highlight w:val="none"/>
              </w:rPr>
              <w:t>起点</w:t>
            </w:r>
          </w:p>
        </w:tc>
        <w:tc>
          <w:tcPr>
            <w:tcW w:w="2527" w:type="dxa"/>
            <w:vMerge w:val="restart"/>
            <w:noWrap/>
            <w:vAlign w:val="center"/>
          </w:tcPr>
          <w:p>
            <w:pPr>
              <w:jc w:val="center"/>
              <w:rPr>
                <w:rFonts w:ascii="Times New Roman" w:hAnsi="Times New Roman"/>
                <w:b/>
                <w:color w:val="auto"/>
                <w:highlight w:val="none"/>
              </w:rPr>
            </w:pPr>
            <w:r>
              <w:rPr>
                <w:rFonts w:ascii="Times New Roman" w:hAnsi="Times New Roman"/>
                <w:b/>
                <w:color w:val="auto"/>
                <w:highlight w:val="none"/>
              </w:rPr>
              <w:t>终点</w:t>
            </w:r>
          </w:p>
        </w:tc>
        <w:tc>
          <w:tcPr>
            <w:tcW w:w="813" w:type="dxa"/>
            <w:vMerge w:val="restart"/>
            <w:vAlign w:val="center"/>
          </w:tcPr>
          <w:p>
            <w:pPr>
              <w:jc w:val="center"/>
              <w:rPr>
                <w:rFonts w:ascii="Times New Roman" w:hAnsi="Times New Roman"/>
                <w:b/>
                <w:color w:val="auto"/>
                <w:highlight w:val="none"/>
              </w:rPr>
            </w:pPr>
            <w:r>
              <w:rPr>
                <w:rFonts w:ascii="Times New Roman" w:hAnsi="Times New Roman"/>
                <w:b/>
                <w:color w:val="auto"/>
                <w:highlight w:val="none"/>
              </w:rPr>
              <w:t>道路长度（m）</w:t>
            </w:r>
          </w:p>
        </w:tc>
        <w:tc>
          <w:tcPr>
            <w:tcW w:w="990" w:type="dxa"/>
            <w:vMerge w:val="restart"/>
            <w:vAlign w:val="center"/>
          </w:tcPr>
          <w:p>
            <w:pPr>
              <w:jc w:val="center"/>
              <w:rPr>
                <w:rFonts w:ascii="Times New Roman" w:hAnsi="Times New Roman"/>
                <w:b/>
                <w:color w:val="auto"/>
                <w:highlight w:val="none"/>
              </w:rPr>
            </w:pPr>
            <w:r>
              <w:rPr>
                <w:rFonts w:ascii="Times New Roman" w:hAnsi="Times New Roman"/>
                <w:b/>
                <w:color w:val="auto"/>
                <w:highlight w:val="none"/>
              </w:rPr>
              <w:t>有行道树道路长度（m）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2" w:hRule="atLeast"/>
          <w:tblHeader/>
          <w:jc w:val="center"/>
        </w:trPr>
        <w:tc>
          <w:tcPr>
            <w:tcW w:w="638" w:type="dxa"/>
            <w:vMerge w:val="continue"/>
            <w:vAlign w:val="center"/>
          </w:tcPr>
          <w:p>
            <w:pPr>
              <w:jc w:val="center"/>
              <w:rPr>
                <w:rFonts w:ascii="Times New Roman" w:hAnsi="Times New Roman"/>
                <w:color w:val="auto"/>
                <w:highlight w:val="none"/>
              </w:rPr>
            </w:pPr>
          </w:p>
        </w:tc>
        <w:tc>
          <w:tcPr>
            <w:tcW w:w="2526" w:type="dxa"/>
            <w:vMerge w:val="continue"/>
            <w:vAlign w:val="center"/>
          </w:tcPr>
          <w:p>
            <w:pPr>
              <w:jc w:val="center"/>
              <w:rPr>
                <w:rFonts w:ascii="Times New Roman" w:hAnsi="Times New Roman"/>
                <w:color w:val="auto"/>
                <w:highlight w:val="none"/>
              </w:rPr>
            </w:pPr>
          </w:p>
        </w:tc>
        <w:tc>
          <w:tcPr>
            <w:tcW w:w="2736" w:type="dxa"/>
            <w:vMerge w:val="continue"/>
            <w:vAlign w:val="center"/>
          </w:tcPr>
          <w:p>
            <w:pPr>
              <w:jc w:val="center"/>
              <w:rPr>
                <w:rFonts w:ascii="Times New Roman" w:hAnsi="Times New Roman"/>
                <w:color w:val="auto"/>
                <w:highlight w:val="none"/>
              </w:rPr>
            </w:pPr>
          </w:p>
        </w:tc>
        <w:tc>
          <w:tcPr>
            <w:tcW w:w="2527" w:type="dxa"/>
            <w:vMerge w:val="continue"/>
            <w:vAlign w:val="center"/>
          </w:tcPr>
          <w:p>
            <w:pPr>
              <w:jc w:val="center"/>
              <w:rPr>
                <w:rFonts w:ascii="Times New Roman" w:hAnsi="Times New Roman"/>
                <w:color w:val="auto"/>
                <w:highlight w:val="none"/>
              </w:rPr>
            </w:pPr>
          </w:p>
        </w:tc>
        <w:tc>
          <w:tcPr>
            <w:tcW w:w="813" w:type="dxa"/>
            <w:vMerge w:val="continue"/>
            <w:vAlign w:val="center"/>
          </w:tcPr>
          <w:p>
            <w:pPr>
              <w:jc w:val="center"/>
              <w:rPr>
                <w:rFonts w:ascii="Times New Roman" w:hAnsi="Times New Roman"/>
                <w:color w:val="auto"/>
                <w:highlight w:val="none"/>
              </w:rPr>
            </w:pPr>
          </w:p>
        </w:tc>
        <w:tc>
          <w:tcPr>
            <w:tcW w:w="990" w:type="dxa"/>
            <w:vMerge w:val="continue"/>
            <w:vAlign w:val="center"/>
          </w:tcPr>
          <w:p>
            <w:pPr>
              <w:jc w:val="center"/>
              <w:rPr>
                <w:rFonts w:ascii="Times New Roman" w:hAnsi="Times New Roman"/>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vMerge w:val="restart"/>
            <w:noWrap/>
            <w:vAlign w:val="center"/>
          </w:tcPr>
          <w:p>
            <w:pPr>
              <w:jc w:val="center"/>
              <w:rPr>
                <w:rFonts w:ascii="Times New Roman" w:hAnsi="Times New Roman"/>
                <w:color w:val="auto"/>
                <w:highlight w:val="none"/>
              </w:rPr>
            </w:pPr>
            <w:r>
              <w:rPr>
                <w:rFonts w:ascii="Times New Roman" w:hAnsi="Times New Roman"/>
                <w:color w:val="auto"/>
                <w:highlight w:val="none"/>
              </w:rPr>
              <w:t>1</w:t>
            </w:r>
          </w:p>
        </w:tc>
        <w:tc>
          <w:tcPr>
            <w:tcW w:w="2526" w:type="dxa"/>
            <w:vMerge w:val="restart"/>
            <w:noWrap/>
            <w:vAlign w:val="center"/>
          </w:tcPr>
          <w:p>
            <w:pPr>
              <w:jc w:val="center"/>
              <w:rPr>
                <w:rFonts w:ascii="Times New Roman" w:hAnsi="Times New Roman"/>
                <w:color w:val="auto"/>
                <w:highlight w:val="none"/>
              </w:rPr>
            </w:pPr>
            <w:r>
              <w:rPr>
                <w:rFonts w:ascii="Times New Roman" w:hAnsi="Times New Roman"/>
                <w:color w:val="auto"/>
                <w:highlight w:val="none"/>
              </w:rPr>
              <w:t>红城大道</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海丰老收费站</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德成小学路口</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2284</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2284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638" w:type="dxa"/>
            <w:vMerge w:val="continue"/>
            <w:vAlign w:val="center"/>
          </w:tcPr>
          <w:p>
            <w:pPr>
              <w:jc w:val="center"/>
              <w:rPr>
                <w:rFonts w:ascii="Times New Roman" w:hAnsi="Times New Roman"/>
                <w:color w:val="auto"/>
                <w:highlight w:val="none"/>
              </w:rPr>
            </w:pPr>
          </w:p>
        </w:tc>
        <w:tc>
          <w:tcPr>
            <w:tcW w:w="2526" w:type="dxa"/>
            <w:vMerge w:val="continue"/>
            <w:vAlign w:val="center"/>
          </w:tcPr>
          <w:p>
            <w:pPr>
              <w:jc w:val="center"/>
              <w:rPr>
                <w:rFonts w:ascii="Times New Roman" w:hAnsi="Times New Roman"/>
                <w:color w:val="auto"/>
                <w:highlight w:val="none"/>
              </w:rPr>
            </w:pP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德成小学路口</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新桥</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2581</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2581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vMerge w:val="continue"/>
            <w:vAlign w:val="center"/>
          </w:tcPr>
          <w:p>
            <w:pPr>
              <w:jc w:val="center"/>
              <w:rPr>
                <w:rFonts w:ascii="Times New Roman" w:hAnsi="Times New Roman"/>
                <w:color w:val="auto"/>
                <w:highlight w:val="none"/>
              </w:rPr>
            </w:pPr>
          </w:p>
        </w:tc>
        <w:tc>
          <w:tcPr>
            <w:tcW w:w="2526" w:type="dxa"/>
            <w:vMerge w:val="continue"/>
            <w:vAlign w:val="center"/>
          </w:tcPr>
          <w:p>
            <w:pPr>
              <w:jc w:val="center"/>
              <w:rPr>
                <w:rFonts w:ascii="Times New Roman" w:hAnsi="Times New Roman"/>
                <w:color w:val="auto"/>
                <w:highlight w:val="none"/>
              </w:rPr>
            </w:pP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新桥</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赤岸桥</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4143</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4143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638" w:type="dxa"/>
            <w:vMerge w:val="restart"/>
            <w:noWrap/>
            <w:vAlign w:val="center"/>
          </w:tcPr>
          <w:p>
            <w:pPr>
              <w:jc w:val="center"/>
              <w:rPr>
                <w:rFonts w:ascii="Times New Roman" w:hAnsi="Times New Roman"/>
                <w:color w:val="auto"/>
                <w:highlight w:val="none"/>
              </w:rPr>
            </w:pPr>
            <w:r>
              <w:rPr>
                <w:rFonts w:ascii="Times New Roman" w:hAnsi="Times New Roman"/>
                <w:color w:val="auto"/>
                <w:highlight w:val="none"/>
              </w:rPr>
              <w:t>2</w:t>
            </w:r>
          </w:p>
        </w:tc>
        <w:tc>
          <w:tcPr>
            <w:tcW w:w="2526" w:type="dxa"/>
            <w:vMerge w:val="restart"/>
            <w:noWrap/>
            <w:vAlign w:val="center"/>
          </w:tcPr>
          <w:p>
            <w:pPr>
              <w:jc w:val="center"/>
              <w:rPr>
                <w:rFonts w:ascii="Times New Roman" w:hAnsi="Times New Roman"/>
                <w:color w:val="auto"/>
                <w:highlight w:val="none"/>
              </w:rPr>
            </w:pPr>
            <w:r>
              <w:rPr>
                <w:rFonts w:ascii="Times New Roman" w:hAnsi="Times New Roman"/>
                <w:color w:val="auto"/>
                <w:highlight w:val="none"/>
              </w:rPr>
              <w:t>二环路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县政府红绿灯路口</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金凤凰红绿灯路口</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1476</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1476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vMerge w:val="continue"/>
            <w:vAlign w:val="center"/>
          </w:tcPr>
          <w:p>
            <w:pPr>
              <w:jc w:val="center"/>
              <w:rPr>
                <w:rFonts w:ascii="Times New Roman" w:hAnsi="Times New Roman"/>
                <w:color w:val="auto"/>
                <w:highlight w:val="none"/>
              </w:rPr>
            </w:pPr>
          </w:p>
        </w:tc>
        <w:tc>
          <w:tcPr>
            <w:tcW w:w="2526" w:type="dxa"/>
            <w:vMerge w:val="continue"/>
            <w:vAlign w:val="center"/>
          </w:tcPr>
          <w:p>
            <w:pPr>
              <w:jc w:val="center"/>
              <w:rPr>
                <w:rFonts w:ascii="Times New Roman" w:hAnsi="Times New Roman"/>
                <w:color w:val="auto"/>
                <w:highlight w:val="none"/>
              </w:rPr>
            </w:pP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金凤凰红绿灯路口</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二环南桥</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1373</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1373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638" w:type="dxa"/>
            <w:vMerge w:val="continue"/>
            <w:vAlign w:val="center"/>
          </w:tcPr>
          <w:p>
            <w:pPr>
              <w:jc w:val="center"/>
              <w:rPr>
                <w:rFonts w:ascii="Times New Roman" w:hAnsi="Times New Roman"/>
                <w:color w:val="auto"/>
                <w:highlight w:val="none"/>
              </w:rPr>
            </w:pPr>
          </w:p>
        </w:tc>
        <w:tc>
          <w:tcPr>
            <w:tcW w:w="2526" w:type="dxa"/>
            <w:vMerge w:val="continue"/>
            <w:vAlign w:val="center"/>
          </w:tcPr>
          <w:p>
            <w:pPr>
              <w:jc w:val="center"/>
              <w:rPr>
                <w:rFonts w:ascii="Times New Roman" w:hAnsi="Times New Roman"/>
                <w:color w:val="auto"/>
                <w:highlight w:val="none"/>
              </w:rPr>
            </w:pP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二环南桥</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二环北桥</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3639</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3639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vMerge w:val="continue"/>
            <w:vAlign w:val="center"/>
          </w:tcPr>
          <w:p>
            <w:pPr>
              <w:jc w:val="center"/>
              <w:rPr>
                <w:rFonts w:ascii="Times New Roman" w:hAnsi="Times New Roman"/>
                <w:color w:val="auto"/>
                <w:highlight w:val="none"/>
              </w:rPr>
            </w:pPr>
          </w:p>
        </w:tc>
        <w:tc>
          <w:tcPr>
            <w:tcW w:w="2526" w:type="dxa"/>
            <w:vMerge w:val="continue"/>
            <w:vAlign w:val="center"/>
          </w:tcPr>
          <w:p>
            <w:pPr>
              <w:jc w:val="center"/>
              <w:rPr>
                <w:rFonts w:ascii="Times New Roman" w:hAnsi="Times New Roman"/>
                <w:color w:val="auto"/>
                <w:highlight w:val="none"/>
              </w:rPr>
            </w:pP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二环北桥</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县政府红绿灯路口</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2813</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2813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vMerge w:val="restart"/>
            <w:noWrap/>
            <w:vAlign w:val="center"/>
          </w:tcPr>
          <w:p>
            <w:pPr>
              <w:jc w:val="center"/>
              <w:rPr>
                <w:rFonts w:ascii="Times New Roman" w:hAnsi="Times New Roman"/>
                <w:color w:val="auto"/>
                <w:highlight w:val="none"/>
              </w:rPr>
            </w:pPr>
            <w:r>
              <w:rPr>
                <w:rFonts w:ascii="Times New Roman" w:hAnsi="Times New Roman"/>
                <w:color w:val="auto"/>
                <w:highlight w:val="none"/>
              </w:rPr>
              <w:t>3</w:t>
            </w:r>
          </w:p>
        </w:tc>
        <w:tc>
          <w:tcPr>
            <w:tcW w:w="2526" w:type="dxa"/>
            <w:vMerge w:val="restart"/>
            <w:noWrap/>
            <w:vAlign w:val="center"/>
          </w:tcPr>
          <w:p>
            <w:pPr>
              <w:jc w:val="center"/>
              <w:rPr>
                <w:rFonts w:ascii="Times New Roman" w:hAnsi="Times New Roman"/>
                <w:color w:val="auto"/>
                <w:highlight w:val="none"/>
              </w:rPr>
            </w:pPr>
            <w:r>
              <w:rPr>
                <w:rFonts w:ascii="Times New Roman" w:hAnsi="Times New Roman"/>
                <w:color w:val="auto"/>
                <w:highlight w:val="none"/>
              </w:rPr>
              <w:t>广富路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红城大道交界处</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富之城红绿灯路口</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1760</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1760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638" w:type="dxa"/>
            <w:vMerge w:val="continue"/>
            <w:vAlign w:val="center"/>
          </w:tcPr>
          <w:p>
            <w:pPr>
              <w:jc w:val="center"/>
              <w:rPr>
                <w:rFonts w:ascii="Times New Roman" w:hAnsi="Times New Roman"/>
                <w:color w:val="auto"/>
                <w:highlight w:val="none"/>
              </w:rPr>
            </w:pPr>
          </w:p>
        </w:tc>
        <w:tc>
          <w:tcPr>
            <w:tcW w:w="2526" w:type="dxa"/>
            <w:vMerge w:val="continue"/>
            <w:vAlign w:val="center"/>
          </w:tcPr>
          <w:p>
            <w:pPr>
              <w:jc w:val="center"/>
              <w:rPr>
                <w:rFonts w:ascii="Times New Roman" w:hAnsi="Times New Roman"/>
                <w:color w:val="auto"/>
                <w:highlight w:val="none"/>
              </w:rPr>
            </w:pP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富之城红绿灯路口</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三角站人民西路路口</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867</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867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vMerge w:val="restart"/>
            <w:noWrap/>
            <w:vAlign w:val="center"/>
          </w:tcPr>
          <w:p>
            <w:pPr>
              <w:jc w:val="center"/>
              <w:rPr>
                <w:rFonts w:ascii="Times New Roman" w:hAnsi="Times New Roman"/>
                <w:color w:val="auto"/>
                <w:highlight w:val="none"/>
              </w:rPr>
            </w:pPr>
            <w:r>
              <w:rPr>
                <w:rFonts w:ascii="Times New Roman" w:hAnsi="Times New Roman"/>
                <w:color w:val="auto"/>
                <w:highlight w:val="none"/>
              </w:rPr>
              <w:t>4</w:t>
            </w:r>
          </w:p>
        </w:tc>
        <w:tc>
          <w:tcPr>
            <w:tcW w:w="2526" w:type="dxa"/>
            <w:vMerge w:val="restart"/>
            <w:noWrap/>
            <w:vAlign w:val="center"/>
          </w:tcPr>
          <w:p>
            <w:pPr>
              <w:jc w:val="center"/>
              <w:rPr>
                <w:rFonts w:ascii="Times New Roman" w:hAnsi="Times New Roman"/>
                <w:color w:val="auto"/>
                <w:highlight w:val="none"/>
              </w:rPr>
            </w:pPr>
            <w:r>
              <w:rPr>
                <w:rFonts w:ascii="Times New Roman" w:hAnsi="Times New Roman"/>
                <w:color w:val="auto"/>
                <w:highlight w:val="none"/>
              </w:rPr>
              <w:t>海丽大道</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海丰县金都宾馆路口</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金凤凰红绿灯路口</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487</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487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vMerge w:val="continue"/>
            <w:vAlign w:val="center"/>
          </w:tcPr>
          <w:p>
            <w:pPr>
              <w:jc w:val="center"/>
              <w:rPr>
                <w:rFonts w:ascii="Times New Roman" w:hAnsi="Times New Roman"/>
                <w:color w:val="auto"/>
                <w:highlight w:val="none"/>
              </w:rPr>
            </w:pPr>
          </w:p>
        </w:tc>
        <w:tc>
          <w:tcPr>
            <w:tcW w:w="2526" w:type="dxa"/>
            <w:vMerge w:val="continue"/>
            <w:vAlign w:val="center"/>
          </w:tcPr>
          <w:p>
            <w:pPr>
              <w:jc w:val="center"/>
              <w:rPr>
                <w:rFonts w:ascii="Times New Roman" w:hAnsi="Times New Roman"/>
                <w:color w:val="auto"/>
                <w:highlight w:val="none"/>
              </w:rPr>
            </w:pP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金凤凰红绿灯路口</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永安达花园路口</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910</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910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vMerge w:val="restart"/>
            <w:noWrap/>
            <w:vAlign w:val="center"/>
          </w:tcPr>
          <w:p>
            <w:pPr>
              <w:jc w:val="center"/>
              <w:rPr>
                <w:rFonts w:ascii="Times New Roman" w:hAnsi="Times New Roman"/>
                <w:color w:val="auto"/>
                <w:highlight w:val="none"/>
              </w:rPr>
            </w:pPr>
            <w:r>
              <w:rPr>
                <w:rFonts w:ascii="Times New Roman" w:hAnsi="Times New Roman"/>
                <w:color w:val="auto"/>
                <w:highlight w:val="none"/>
              </w:rPr>
              <w:t>5</w:t>
            </w:r>
          </w:p>
        </w:tc>
        <w:tc>
          <w:tcPr>
            <w:tcW w:w="2526" w:type="dxa"/>
            <w:vMerge w:val="restart"/>
            <w:noWrap/>
            <w:vAlign w:val="center"/>
          </w:tcPr>
          <w:p>
            <w:pPr>
              <w:jc w:val="center"/>
              <w:rPr>
                <w:rFonts w:ascii="Times New Roman" w:hAnsi="Times New Roman"/>
                <w:color w:val="auto"/>
                <w:highlight w:val="none"/>
              </w:rPr>
            </w:pPr>
            <w:r>
              <w:rPr>
                <w:rFonts w:ascii="Times New Roman" w:hAnsi="Times New Roman"/>
                <w:color w:val="auto"/>
                <w:highlight w:val="none"/>
              </w:rPr>
              <w:t>福临街</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公园路</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海银路</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498</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498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vMerge w:val="continue"/>
            <w:vAlign w:val="center"/>
          </w:tcPr>
          <w:p>
            <w:pPr>
              <w:jc w:val="center"/>
              <w:rPr>
                <w:rFonts w:ascii="Times New Roman" w:hAnsi="Times New Roman"/>
                <w:color w:val="auto"/>
                <w:highlight w:val="none"/>
              </w:rPr>
            </w:pPr>
          </w:p>
        </w:tc>
        <w:tc>
          <w:tcPr>
            <w:tcW w:w="2526" w:type="dxa"/>
            <w:vMerge w:val="continue"/>
            <w:vAlign w:val="center"/>
          </w:tcPr>
          <w:p>
            <w:pPr>
              <w:jc w:val="center"/>
              <w:rPr>
                <w:rFonts w:ascii="Times New Roman" w:hAnsi="Times New Roman"/>
                <w:color w:val="auto"/>
                <w:highlight w:val="none"/>
              </w:rPr>
            </w:pP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海银路</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解放北路</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443</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443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vMerge w:val="continue"/>
            <w:vAlign w:val="center"/>
          </w:tcPr>
          <w:p>
            <w:pPr>
              <w:jc w:val="center"/>
              <w:rPr>
                <w:rFonts w:ascii="Times New Roman" w:hAnsi="Times New Roman"/>
                <w:color w:val="auto"/>
                <w:highlight w:val="none"/>
              </w:rPr>
            </w:pPr>
          </w:p>
        </w:tc>
        <w:tc>
          <w:tcPr>
            <w:tcW w:w="2526" w:type="dxa"/>
            <w:vMerge w:val="continue"/>
            <w:vAlign w:val="center"/>
          </w:tcPr>
          <w:p>
            <w:pPr>
              <w:jc w:val="center"/>
              <w:rPr>
                <w:rFonts w:ascii="Times New Roman" w:hAnsi="Times New Roman"/>
                <w:color w:val="auto"/>
                <w:highlight w:val="none"/>
              </w:rPr>
            </w:pP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解放北路</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河园村</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241</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vMerge w:val="restart"/>
            <w:noWrap/>
            <w:vAlign w:val="center"/>
          </w:tcPr>
          <w:p>
            <w:pPr>
              <w:jc w:val="center"/>
              <w:rPr>
                <w:rFonts w:ascii="Times New Roman" w:hAnsi="Times New Roman"/>
                <w:color w:val="auto"/>
                <w:highlight w:val="none"/>
              </w:rPr>
            </w:pPr>
            <w:r>
              <w:rPr>
                <w:rFonts w:ascii="Times New Roman" w:hAnsi="Times New Roman"/>
                <w:color w:val="auto"/>
                <w:highlight w:val="none"/>
              </w:rPr>
              <w:t>6</w:t>
            </w:r>
          </w:p>
        </w:tc>
        <w:tc>
          <w:tcPr>
            <w:tcW w:w="2526" w:type="dxa"/>
            <w:vMerge w:val="restart"/>
            <w:noWrap/>
            <w:vAlign w:val="center"/>
          </w:tcPr>
          <w:p>
            <w:pPr>
              <w:jc w:val="center"/>
              <w:rPr>
                <w:rFonts w:ascii="Times New Roman" w:hAnsi="Times New Roman"/>
                <w:color w:val="auto"/>
                <w:highlight w:val="none"/>
              </w:rPr>
            </w:pPr>
            <w:r>
              <w:rPr>
                <w:rFonts w:ascii="Times New Roman" w:hAnsi="Times New Roman"/>
                <w:color w:val="auto"/>
                <w:highlight w:val="none"/>
              </w:rPr>
              <w:t>益民路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红场路</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中山南路</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73</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vMerge w:val="continue"/>
            <w:vAlign w:val="center"/>
          </w:tcPr>
          <w:p>
            <w:pPr>
              <w:jc w:val="center"/>
              <w:rPr>
                <w:rFonts w:ascii="Times New Roman" w:hAnsi="Times New Roman"/>
                <w:color w:val="auto"/>
                <w:highlight w:val="none"/>
              </w:rPr>
            </w:pPr>
          </w:p>
        </w:tc>
        <w:tc>
          <w:tcPr>
            <w:tcW w:w="2526" w:type="dxa"/>
            <w:vMerge w:val="continue"/>
            <w:vAlign w:val="center"/>
          </w:tcPr>
          <w:p>
            <w:pPr>
              <w:jc w:val="center"/>
              <w:rPr>
                <w:rFonts w:ascii="Times New Roman" w:hAnsi="Times New Roman"/>
                <w:color w:val="auto"/>
                <w:highlight w:val="none"/>
              </w:rPr>
            </w:pP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中山南路</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湖边路</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165</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165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7</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三环西路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中华鹏红绿灯路口</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324国道</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865</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865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8</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云桂路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红城大道云岭社区路口</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青年干渠联富小区路口</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565</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565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9</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云锋路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红城大道工商局路口</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广富路兆凯大酒店路口</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282</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282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10</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新华路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北起红城大道西</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青年干渠联兴大厦路口</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648</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648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11</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云岭路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北起红城大道西</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广富路金海悦宾馆路口</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284</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284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12</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云岭北路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红城大道边防宿舍路口</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二环西影剧院对面路口</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423</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423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13</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西华路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北起广富路路口</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二环南海瀛宾馆对面路口</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490</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490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14</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农林路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红城大道烈士陵园对面路口</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南到广富路路口</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264</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264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15</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公园路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北起二环西公园小区路口</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红城大道烈士陵园路口</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1017</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1017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16</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公园南路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西起烈士陵园东门</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海银路地王广场路口</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395</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395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17</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铜钱山路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红城大道国土测绘队路口</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南到广富路路口</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302</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18</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人民路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红城大道威豪花园路口</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向阳路红场路交叉路口</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437</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437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19</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解放路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红城大道海城小学路口</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中山南路红场路交叉路口</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515</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515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20</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解放北路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大水坑路</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红城大道</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1467</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1467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21</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人民西路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蓝天广场红绿灯路口</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海丰县金都宾馆路口</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613</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22</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青年干渠</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三环西路</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新金川</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1263</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23</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祥德路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二环西路新金川路口</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324国道</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943</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24</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海紫路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红城大道东腾园路口</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三环北路红绿灯路口</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2303</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25</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海银路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地王广场</w:t>
            </w:r>
            <w:r>
              <w:rPr>
                <w:rFonts w:hint="eastAsia" w:ascii="Times New Roman" w:hAnsi="Times New Roman"/>
                <w:color w:val="auto"/>
                <w:highlight w:val="none"/>
                <w:lang w:eastAsia="zh-CN"/>
              </w:rPr>
              <w:t>红绿灯</w:t>
            </w:r>
            <w:r>
              <w:rPr>
                <w:rFonts w:ascii="Times New Roman" w:hAnsi="Times New Roman"/>
                <w:color w:val="auto"/>
                <w:highlight w:val="none"/>
              </w:rPr>
              <w:t>路口</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三环北路莲花路口</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2211</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2211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26</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海龙路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红城大道东</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二环东路</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929</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27</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海河路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二环南路</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324国道</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673</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673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28</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红场路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澎湃纪念医院路口</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向阳路人民路交叉路口</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610</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610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29</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育英三路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育英路海城三中对面路口</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二环西路</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179</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179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30</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龙津河东一路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北起二环北桥东桥头</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南至红城大道路口</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1133</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1133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31</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龙津河东二路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北起红城大道路口</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南至二环南桥东桥头</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1524</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1524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32</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龙津河东三路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北起二环南桥东桥头</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南至龙津大桥东桥头</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170</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170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33</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龙津河西一路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北起二环北桥西桥头</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南至红城大道路口</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1074</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1074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34</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龙津河西二路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北起红城大道路口</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南至二环南桥西桥头</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1540</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1540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35</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龙津河西三路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北起二环南桥西桥头</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南至龙津大桥西桥头</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170</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170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38</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海汕路（往汕尾方向）</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324国道永安达花园路口</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仁荣中学路口</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598</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598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39</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三环西路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龙津中桥</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中华鹏红绿灯路口</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5066</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5066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40</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三环东路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红城大道东华富苑路口</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海紫路女博士服饰路口</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2346</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41</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北环公路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红城大道铜马路口</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龙津中桥</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4301</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4301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42</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324国道</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老收费站</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赤岸桥</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8819</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8819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43</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育英路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育英七路</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海银路</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1307</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1307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44</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体育场路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育英路体育场路口</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二环西吉祥苑路口</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197</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197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45</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建设路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县政府西侧路口</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人社局宿舍</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144</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144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46</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粉围路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广富路置富花园路口</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青年干渠叠翠豪庭路口</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307</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307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47</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合兴路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广富路兆凯大酒店路口</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青年干渠粉围村路口</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338</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48</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向阳路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红场路人民西路交叉路口</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龙津河西二路</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621</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621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49</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中山南路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红场路解放路交叉路口</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金都宾馆</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367</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50</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东圣门路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二环南检察院路口</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头社自然村</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297</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297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51</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海悦路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二环南路口</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324国道</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898</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898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52</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笏雅村水沟（在建）</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二环南路口</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324国道佳豪门庭路口</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674</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53</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南湖一路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海丽大道南门湖市场</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海悦路</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327</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327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54</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南湖三路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海丽大道海丽花园</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剑虹商场路口</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496</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55</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富城一路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三环西路富城花园路口</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联河大道</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822</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56</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海联路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海丽大道</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324国道</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1014</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1014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57</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襟德路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二环南路</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海联路</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425</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58</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联河大道</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青年干渠</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324国道民政局路口</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694</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694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59</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海龙路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二环东路</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324国道</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918</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60</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狮山一路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狮山小区路口</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百合苑路口</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757</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61</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狮山二路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狮山小区路口</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三环东路</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767</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62</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宫地山路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宫地山工业区</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三环东路</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878</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63</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宫地山中路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红城大道港城停车场</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三环东路</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803</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64</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宫地山横路</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狮山小学路口</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三环东路</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843</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65</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25大道</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红城大道上安东村对面</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关后一路</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834</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66</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广汕公路（往梅陇方向）</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海丰老收费站</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科技工业园桥头</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905</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905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67</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广汕公路（往陆丰方向）</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赤岸桥</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联岭针织厂东侧</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1839</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1839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69</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海银路（往莲花山方向）</w:t>
            </w:r>
          </w:p>
        </w:tc>
        <w:tc>
          <w:tcPr>
            <w:tcW w:w="2736" w:type="dxa"/>
            <w:noWrap/>
            <w:vAlign w:val="center"/>
          </w:tcPr>
          <w:p>
            <w:pPr>
              <w:jc w:val="center"/>
              <w:rPr>
                <w:rFonts w:ascii="Times New Roman" w:hAnsi="Times New Roman"/>
                <w:color w:val="auto"/>
                <w:highlight w:val="none"/>
              </w:rPr>
            </w:pPr>
            <w:r>
              <w:rPr>
                <w:rFonts w:ascii="Times New Roman" w:hAnsi="Times New Roman"/>
                <w:color w:val="auto"/>
                <w:highlight w:val="none"/>
              </w:rPr>
              <w:t>三环路口</w:t>
            </w:r>
          </w:p>
        </w:tc>
        <w:tc>
          <w:tcPr>
            <w:tcW w:w="2527" w:type="dxa"/>
            <w:noWrap/>
            <w:vAlign w:val="center"/>
          </w:tcPr>
          <w:p>
            <w:pPr>
              <w:jc w:val="center"/>
              <w:rPr>
                <w:rFonts w:ascii="Times New Roman" w:hAnsi="Times New Roman"/>
                <w:color w:val="auto"/>
                <w:highlight w:val="none"/>
              </w:rPr>
            </w:pPr>
            <w:r>
              <w:rPr>
                <w:rFonts w:ascii="Times New Roman" w:hAnsi="Times New Roman"/>
                <w:color w:val="auto"/>
                <w:highlight w:val="none"/>
              </w:rPr>
              <w:t>垃圾处理厂路口</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3093</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3093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70</w:t>
            </w:r>
          </w:p>
        </w:tc>
        <w:tc>
          <w:tcPr>
            <w:tcW w:w="2526" w:type="dxa"/>
            <w:vMerge w:val="restart"/>
            <w:noWrap/>
            <w:vAlign w:val="center"/>
          </w:tcPr>
          <w:p>
            <w:pPr>
              <w:jc w:val="center"/>
              <w:rPr>
                <w:rFonts w:ascii="Times New Roman" w:hAnsi="Times New Roman"/>
                <w:color w:val="auto"/>
                <w:highlight w:val="none"/>
              </w:rPr>
            </w:pPr>
            <w:r>
              <w:rPr>
                <w:rFonts w:ascii="Times New Roman" w:hAnsi="Times New Roman"/>
                <w:color w:val="auto"/>
                <w:highlight w:val="none"/>
              </w:rPr>
              <w:t>育英路</w:t>
            </w: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184</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184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71</w:t>
            </w:r>
          </w:p>
        </w:tc>
        <w:tc>
          <w:tcPr>
            <w:tcW w:w="2526" w:type="dxa"/>
            <w:vMerge w:val="continue"/>
            <w:vAlign w:val="center"/>
          </w:tcPr>
          <w:p>
            <w:pPr>
              <w:jc w:val="center"/>
              <w:rPr>
                <w:rFonts w:ascii="Times New Roman" w:hAnsi="Times New Roman"/>
                <w:color w:val="auto"/>
                <w:highlight w:val="none"/>
              </w:rPr>
            </w:pP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379</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379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72</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育英一路</w:t>
            </w: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401</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401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73</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大水坑路</w:t>
            </w: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939</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74</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叠翠路</w:t>
            </w: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635</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75</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金碧路</w:t>
            </w: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187</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187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76</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新园十巷</w:t>
            </w: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580</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77</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云岭山庄二路</w:t>
            </w: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130</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130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78</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供电路</w:t>
            </w: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462</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79</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青年水库路</w:t>
            </w: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1819</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1819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80</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海城镇政府侧巷</w:t>
            </w: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290</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81</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海城镇政府后巷</w:t>
            </w: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80</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82</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农林下路</w:t>
            </w: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401</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83</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北门新街</w:t>
            </w: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310</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84</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峰山路</w:t>
            </w: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395</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85</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富城二路</w:t>
            </w: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805</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86</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赤山路</w:t>
            </w: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1062</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87</w:t>
            </w:r>
          </w:p>
        </w:tc>
        <w:tc>
          <w:tcPr>
            <w:tcW w:w="2526" w:type="dxa"/>
            <w:vMerge w:val="restart"/>
            <w:noWrap/>
            <w:vAlign w:val="center"/>
          </w:tcPr>
          <w:p>
            <w:pPr>
              <w:jc w:val="center"/>
              <w:rPr>
                <w:rFonts w:ascii="Times New Roman" w:hAnsi="Times New Roman"/>
                <w:color w:val="auto"/>
                <w:highlight w:val="none"/>
              </w:rPr>
            </w:pPr>
            <w:r>
              <w:rPr>
                <w:rFonts w:ascii="Times New Roman" w:hAnsi="Times New Roman"/>
                <w:color w:val="auto"/>
                <w:highlight w:val="none"/>
              </w:rPr>
              <w:t>龙山路</w:t>
            </w: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1070</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88</w:t>
            </w:r>
          </w:p>
        </w:tc>
        <w:tc>
          <w:tcPr>
            <w:tcW w:w="2526" w:type="dxa"/>
            <w:vMerge w:val="continue"/>
            <w:vAlign w:val="center"/>
          </w:tcPr>
          <w:p>
            <w:pPr>
              <w:jc w:val="center"/>
              <w:rPr>
                <w:rFonts w:ascii="Times New Roman" w:hAnsi="Times New Roman"/>
                <w:color w:val="auto"/>
                <w:highlight w:val="none"/>
              </w:rPr>
            </w:pP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479</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89</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赤山路</w:t>
            </w: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641</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90</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桥新路</w:t>
            </w: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421</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91</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迎春路</w:t>
            </w: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394</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92</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看守所门前路</w:t>
            </w: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131</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93</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同德路</w:t>
            </w: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521</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94</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名园东山路</w:t>
            </w: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624</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624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95</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关后一路</w:t>
            </w: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1380</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96</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红卫村二路</w:t>
            </w: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374</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97</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红卫村三路</w:t>
            </w: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381</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98</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红卫村横路</w:t>
            </w: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642</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99</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中联电子门前路</w:t>
            </w: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490</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100</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金龙居巷</w:t>
            </w: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889</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101</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东盛华庭东侧路</w:t>
            </w: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654</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102</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川汇电路板西巷</w:t>
            </w: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285</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285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103</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大流服饰东巷</w:t>
            </w: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181</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181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104</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大流洗涤东巷</w:t>
            </w: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144</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144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105</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永佳化工厂门前路</w:t>
            </w: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131</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106</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金园工业区横一路</w:t>
            </w: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1035</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1035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107</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金园工业区横二路</w:t>
            </w: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1122</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1122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108</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鲤鱼山工业区横二路</w:t>
            </w: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238</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238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109</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青年桥防洪路</w:t>
            </w: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200</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110</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中河居委大掘村路</w:t>
            </w: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97</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111</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高山富民路</w:t>
            </w: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485</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112</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永安达花园东侧路</w:t>
            </w: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274</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274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113</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永安达花园门前路</w:t>
            </w: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53</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114</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富城侧路</w:t>
            </w: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500</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115</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永福路</w:t>
            </w: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1436</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38" w:type="dxa"/>
            <w:noWrap/>
            <w:vAlign w:val="center"/>
          </w:tcPr>
          <w:p>
            <w:pPr>
              <w:jc w:val="center"/>
              <w:rPr>
                <w:rFonts w:ascii="Times New Roman" w:hAnsi="Times New Roman"/>
                <w:color w:val="auto"/>
                <w:highlight w:val="none"/>
              </w:rPr>
            </w:pPr>
            <w:r>
              <w:rPr>
                <w:rFonts w:ascii="Times New Roman" w:hAnsi="Times New Roman"/>
                <w:color w:val="auto"/>
                <w:highlight w:val="none"/>
              </w:rPr>
              <w:t>116</w:t>
            </w:r>
          </w:p>
        </w:tc>
        <w:tc>
          <w:tcPr>
            <w:tcW w:w="2526" w:type="dxa"/>
            <w:noWrap/>
            <w:vAlign w:val="center"/>
          </w:tcPr>
          <w:p>
            <w:pPr>
              <w:jc w:val="center"/>
              <w:rPr>
                <w:rFonts w:ascii="Times New Roman" w:hAnsi="Times New Roman"/>
                <w:color w:val="auto"/>
                <w:highlight w:val="none"/>
              </w:rPr>
            </w:pPr>
            <w:r>
              <w:rPr>
                <w:rFonts w:ascii="Times New Roman" w:hAnsi="Times New Roman"/>
                <w:color w:val="auto"/>
                <w:highlight w:val="none"/>
              </w:rPr>
              <w:t>意新首饰门前路</w:t>
            </w:r>
          </w:p>
        </w:tc>
        <w:tc>
          <w:tcPr>
            <w:tcW w:w="2736"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2527" w:type="dxa"/>
            <w:noWrap/>
          </w:tcPr>
          <w:p>
            <w:pPr>
              <w:jc w:val="center"/>
              <w:rPr>
                <w:rFonts w:ascii="Times New Roman" w:hAnsi="Times New Roman"/>
                <w:color w:val="auto"/>
                <w:highlight w:val="none"/>
              </w:rPr>
            </w:pPr>
            <w:r>
              <w:rPr>
                <w:rFonts w:hint="eastAsia" w:ascii="Times New Roman" w:hAnsi="Times New Roman"/>
                <w:color w:val="auto"/>
                <w:highlight w:val="none"/>
              </w:rPr>
              <w:t>/</w:t>
            </w:r>
          </w:p>
        </w:tc>
        <w:tc>
          <w:tcPr>
            <w:tcW w:w="813" w:type="dxa"/>
            <w:noWrap/>
            <w:vAlign w:val="center"/>
          </w:tcPr>
          <w:p>
            <w:pPr>
              <w:jc w:val="center"/>
              <w:rPr>
                <w:rFonts w:ascii="Times New Roman" w:hAnsi="Times New Roman"/>
                <w:color w:val="auto"/>
                <w:highlight w:val="none"/>
              </w:rPr>
            </w:pPr>
            <w:r>
              <w:rPr>
                <w:rFonts w:ascii="Times New Roman" w:hAnsi="Times New Roman"/>
                <w:color w:val="auto"/>
                <w:highlight w:val="none"/>
              </w:rPr>
              <w:t>155</w:t>
            </w:r>
          </w:p>
        </w:tc>
        <w:tc>
          <w:tcPr>
            <w:tcW w:w="990" w:type="dxa"/>
            <w:noWrap/>
            <w:vAlign w:val="center"/>
          </w:tcPr>
          <w:p>
            <w:pPr>
              <w:jc w:val="center"/>
              <w:rPr>
                <w:rFonts w:ascii="Times New Roman" w:hAnsi="Times New Roman"/>
                <w:color w:val="auto"/>
                <w:highlight w:val="none"/>
              </w:rPr>
            </w:pPr>
            <w:r>
              <w:rPr>
                <w:rFonts w:ascii="Times New Roman" w:hAnsi="Times New Roman"/>
                <w:color w:val="auto"/>
                <w:highlight w:val="none"/>
              </w:rPr>
              <w:t>0</w:t>
            </w:r>
          </w:p>
        </w:tc>
      </w:tr>
    </w:tbl>
    <w:p>
      <w:pPr>
        <w:pStyle w:val="2"/>
        <w:ind w:left="0" w:leftChars="0" w:firstLine="0" w:firstLineChars="0"/>
        <w:rPr>
          <w:rFonts w:ascii="Times New Roman" w:hAnsi="Times New Roman"/>
          <w:color w:val="auto"/>
          <w:highlight w:val="none"/>
        </w:rPr>
      </w:pPr>
    </w:p>
    <w:p>
      <w:pPr>
        <w:pStyle w:val="6"/>
        <w:rPr>
          <w:rFonts w:ascii="Times New Roman" w:hAnsi="Times New Roman"/>
          <w:color w:val="auto"/>
          <w:highlight w:val="none"/>
        </w:rPr>
      </w:pPr>
      <w:bookmarkStart w:id="371" w:name="_Toc60499703"/>
      <w:bookmarkStart w:id="372" w:name="_Toc54451067"/>
      <w:bookmarkStart w:id="373" w:name="_Toc60776394"/>
      <w:bookmarkStart w:id="374" w:name="_Toc23947"/>
      <w:r>
        <w:rPr>
          <w:rFonts w:ascii="Times New Roman" w:hAnsi="Times New Roman"/>
          <w:color w:val="auto"/>
          <w:highlight w:val="none"/>
        </w:rPr>
        <w:t>17、道路绿化达标率</w:t>
      </w:r>
      <w:bookmarkEnd w:id="371"/>
      <w:bookmarkEnd w:id="372"/>
      <w:bookmarkEnd w:id="373"/>
      <w:bookmarkEnd w:id="374"/>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指标要求：≥80%。</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计算方法：城市道路绿地达标率（%）=绿地率达标的城市道路长度（km）/城市道路总长度（km）×100%。</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调查结果：城市建成区内绿化覆盖率达标的城市道路长度66402米，城市建成区内道路总长度113223米，道路绿化达标率58.65%，</w:t>
      </w:r>
      <w:r>
        <w:rPr>
          <w:rFonts w:ascii="Times New Roman" w:hAnsi="Times New Roman"/>
          <w:b/>
          <w:color w:val="auto"/>
          <w:sz w:val="24"/>
          <w:highlight w:val="none"/>
        </w:rPr>
        <w:t>该项暂不达标</w:t>
      </w:r>
      <w:r>
        <w:rPr>
          <w:rFonts w:ascii="Times New Roman" w:hAnsi="Times New Roman"/>
          <w:color w:val="auto"/>
          <w:sz w:val="24"/>
          <w:highlight w:val="none"/>
        </w:rPr>
        <w:t>。</w:t>
      </w:r>
    </w:p>
    <w:p>
      <w:pPr>
        <w:spacing w:line="360" w:lineRule="auto"/>
        <w:jc w:val="center"/>
        <w:rPr>
          <w:rFonts w:ascii="Times New Roman" w:hAnsi="Times New Roman"/>
          <w:b/>
          <w:color w:val="auto"/>
          <w:sz w:val="24"/>
          <w:highlight w:val="none"/>
        </w:rPr>
      </w:pPr>
      <w:r>
        <w:rPr>
          <w:rFonts w:ascii="Times New Roman" w:hAnsi="Times New Roman"/>
          <w:b/>
          <w:color w:val="auto"/>
          <w:sz w:val="24"/>
          <w:highlight w:val="none"/>
        </w:rPr>
        <w:t>表2-1</w:t>
      </w:r>
      <w:r>
        <w:rPr>
          <w:rFonts w:hint="eastAsia" w:ascii="Times New Roman" w:hAnsi="Times New Roman"/>
          <w:b/>
          <w:color w:val="auto"/>
          <w:sz w:val="24"/>
          <w:highlight w:val="none"/>
        </w:rPr>
        <w:t xml:space="preserve">1 </w:t>
      </w:r>
      <w:r>
        <w:rPr>
          <w:rFonts w:ascii="Times New Roman" w:hAnsi="Times New Roman"/>
          <w:b/>
          <w:color w:val="auto"/>
          <w:sz w:val="24"/>
          <w:highlight w:val="none"/>
        </w:rPr>
        <w:t>海丰县建成区道路绿化达标率统计表</w:t>
      </w:r>
    </w:p>
    <w:tbl>
      <w:tblPr>
        <w:tblStyle w:val="20"/>
        <w:tblW w:w="8314" w:type="dxa"/>
        <w:tblInd w:w="0" w:type="dxa"/>
        <w:tblLayout w:type="fixed"/>
        <w:tblCellMar>
          <w:top w:w="0" w:type="dxa"/>
          <w:left w:w="0" w:type="dxa"/>
          <w:bottom w:w="0" w:type="dxa"/>
          <w:right w:w="0" w:type="dxa"/>
        </w:tblCellMar>
      </w:tblPr>
      <w:tblGrid>
        <w:gridCol w:w="1510"/>
        <w:gridCol w:w="1560"/>
        <w:gridCol w:w="1558"/>
        <w:gridCol w:w="1558"/>
        <w:gridCol w:w="2128"/>
      </w:tblGrid>
      <w:tr>
        <w:tblPrEx>
          <w:tblCellMar>
            <w:top w:w="0" w:type="dxa"/>
            <w:left w:w="0" w:type="dxa"/>
            <w:bottom w:w="0" w:type="dxa"/>
            <w:right w:w="0" w:type="dxa"/>
          </w:tblCellMar>
        </w:tblPrEx>
        <w:trPr>
          <w:trHeight w:val="1000" w:hRule="exact"/>
        </w:trPr>
        <w:tc>
          <w:tcPr>
            <w:tcW w:w="1510"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color w:val="auto"/>
                <w:highlight w:val="none"/>
              </w:rPr>
            </w:pPr>
            <w:r>
              <w:rPr>
                <w:rFonts w:ascii="Times New Roman" w:hAnsi="Times New Roman"/>
                <w:b/>
                <w:color w:val="auto"/>
                <w:highlight w:val="none"/>
              </w:rPr>
              <w:t>序号</w:t>
            </w:r>
          </w:p>
        </w:tc>
        <w:tc>
          <w:tcPr>
            <w:tcW w:w="1560"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color w:val="auto"/>
                <w:highlight w:val="none"/>
              </w:rPr>
            </w:pPr>
            <w:r>
              <w:rPr>
                <w:rFonts w:ascii="Times New Roman" w:hAnsi="Times New Roman"/>
                <w:b/>
                <w:color w:val="auto"/>
                <w:highlight w:val="none"/>
              </w:rPr>
              <w:t>统计单位</w:t>
            </w:r>
          </w:p>
        </w:tc>
        <w:tc>
          <w:tcPr>
            <w:tcW w:w="1558"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color w:val="auto"/>
                <w:highlight w:val="none"/>
              </w:rPr>
            </w:pPr>
            <w:r>
              <w:rPr>
                <w:rFonts w:ascii="Times New Roman" w:hAnsi="Times New Roman"/>
                <w:b/>
                <w:color w:val="auto"/>
                <w:highlight w:val="none"/>
              </w:rPr>
              <w:t>绿化覆盖率达标的城市道路长度（m）</w:t>
            </w:r>
          </w:p>
        </w:tc>
        <w:tc>
          <w:tcPr>
            <w:tcW w:w="1558"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color w:val="auto"/>
                <w:highlight w:val="none"/>
              </w:rPr>
            </w:pPr>
            <w:r>
              <w:rPr>
                <w:rFonts w:ascii="Times New Roman" w:hAnsi="Times New Roman"/>
                <w:b/>
                <w:color w:val="auto"/>
                <w:highlight w:val="none"/>
              </w:rPr>
              <w:t>城市道路总长度（m）</w:t>
            </w:r>
          </w:p>
        </w:tc>
        <w:tc>
          <w:tcPr>
            <w:tcW w:w="2128"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color w:val="auto"/>
                <w:highlight w:val="none"/>
              </w:rPr>
            </w:pPr>
            <w:r>
              <w:rPr>
                <w:rFonts w:ascii="Times New Roman" w:hAnsi="Times New Roman"/>
                <w:b/>
                <w:color w:val="auto"/>
                <w:highlight w:val="none"/>
              </w:rPr>
              <w:t>道路绿化达标率（%）</w:t>
            </w:r>
          </w:p>
        </w:tc>
      </w:tr>
      <w:tr>
        <w:tblPrEx>
          <w:tblCellMar>
            <w:top w:w="0" w:type="dxa"/>
            <w:left w:w="0" w:type="dxa"/>
            <w:bottom w:w="0" w:type="dxa"/>
            <w:right w:w="0" w:type="dxa"/>
          </w:tblCellMar>
        </w:tblPrEx>
        <w:trPr>
          <w:trHeight w:val="398" w:hRule="exact"/>
        </w:trPr>
        <w:tc>
          <w:tcPr>
            <w:tcW w:w="1510"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1</w:t>
            </w:r>
          </w:p>
        </w:tc>
        <w:tc>
          <w:tcPr>
            <w:tcW w:w="1560"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海丰县</w:t>
            </w:r>
          </w:p>
        </w:tc>
        <w:tc>
          <w:tcPr>
            <w:tcW w:w="1558"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66402</w:t>
            </w:r>
          </w:p>
          <w:p>
            <w:pPr>
              <w:rPr>
                <w:rFonts w:ascii="Times New Roman" w:hAnsi="Times New Roman"/>
                <w:color w:val="auto"/>
                <w:highlight w:val="none"/>
              </w:rPr>
            </w:pPr>
          </w:p>
        </w:tc>
        <w:tc>
          <w:tcPr>
            <w:tcW w:w="1558"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113223</w:t>
            </w:r>
          </w:p>
        </w:tc>
        <w:tc>
          <w:tcPr>
            <w:tcW w:w="2128"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58.65</w:t>
            </w:r>
          </w:p>
        </w:tc>
      </w:tr>
    </w:tbl>
    <w:p>
      <w:pPr>
        <w:rPr>
          <w:rFonts w:ascii="Times New Roman" w:hAnsi="Times New Roman"/>
          <w:color w:val="auto"/>
          <w:szCs w:val="21"/>
          <w:highlight w:val="none"/>
        </w:rPr>
      </w:pPr>
    </w:p>
    <w:p>
      <w:pPr>
        <w:pStyle w:val="2"/>
        <w:ind w:firstLine="560"/>
        <w:rPr>
          <w:rFonts w:ascii="Times New Roman" w:hAnsi="Times New Roman"/>
          <w:color w:val="auto"/>
          <w:highlight w:val="none"/>
        </w:rPr>
      </w:pPr>
    </w:p>
    <w:p>
      <w:pPr>
        <w:jc w:val="center"/>
        <w:rPr>
          <w:rFonts w:ascii="Times New Roman" w:hAnsi="Times New Roman"/>
          <w:color w:val="auto"/>
          <w:szCs w:val="21"/>
          <w:highlight w:val="none"/>
        </w:rPr>
      </w:pPr>
      <w:r>
        <w:rPr>
          <w:rFonts w:ascii="Times New Roman" w:hAnsi="Times New Roman"/>
          <w:b/>
          <w:color w:val="auto"/>
          <w:sz w:val="24"/>
          <w:highlight w:val="none"/>
        </w:rPr>
        <w:t>表2-1</w:t>
      </w:r>
      <w:r>
        <w:rPr>
          <w:rFonts w:hint="eastAsia" w:ascii="Times New Roman" w:hAnsi="Times New Roman"/>
          <w:b/>
          <w:color w:val="auto"/>
          <w:sz w:val="24"/>
          <w:highlight w:val="none"/>
        </w:rPr>
        <w:t>2</w:t>
      </w:r>
      <w:r>
        <w:rPr>
          <w:rFonts w:ascii="Times New Roman" w:hAnsi="Times New Roman"/>
          <w:b/>
          <w:color w:val="auto"/>
          <w:sz w:val="24"/>
          <w:highlight w:val="none"/>
        </w:rPr>
        <w:t xml:space="preserve"> 海丰县建成区道路绿化达标率明细表</w:t>
      </w:r>
    </w:p>
    <w:tbl>
      <w:tblPr>
        <w:tblStyle w:val="21"/>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2"/>
        <w:gridCol w:w="1771"/>
        <w:gridCol w:w="992"/>
        <w:gridCol w:w="762"/>
        <w:gridCol w:w="762"/>
        <w:gridCol w:w="918"/>
        <w:gridCol w:w="762"/>
        <w:gridCol w:w="1029"/>
        <w:gridCol w:w="7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blHeader/>
        </w:trPr>
        <w:tc>
          <w:tcPr>
            <w:tcW w:w="782" w:type="dxa"/>
            <w:vMerge w:val="restart"/>
            <w:noWrap/>
            <w:vAlign w:val="center"/>
          </w:tcPr>
          <w:p>
            <w:pPr>
              <w:jc w:val="center"/>
              <w:rPr>
                <w:rFonts w:ascii="Times New Roman" w:hAnsi="Times New Roman"/>
                <w:b/>
                <w:bCs/>
                <w:color w:val="auto"/>
                <w:szCs w:val="21"/>
                <w:highlight w:val="none"/>
              </w:rPr>
            </w:pPr>
            <w:bookmarkStart w:id="375" w:name="_Toc54451068"/>
            <w:r>
              <w:rPr>
                <w:rFonts w:hint="eastAsia" w:ascii="Times New Roman" w:hAnsi="Times New Roman"/>
                <w:b/>
                <w:bCs/>
                <w:color w:val="auto"/>
                <w:szCs w:val="21"/>
                <w:highlight w:val="none"/>
              </w:rPr>
              <w:t>序号</w:t>
            </w:r>
          </w:p>
        </w:tc>
        <w:tc>
          <w:tcPr>
            <w:tcW w:w="1771" w:type="dxa"/>
            <w:vMerge w:val="restart"/>
            <w:noWrap/>
            <w:vAlign w:val="center"/>
          </w:tcPr>
          <w:p>
            <w:pPr>
              <w:jc w:val="center"/>
              <w:rPr>
                <w:rFonts w:ascii="Times New Roman" w:hAnsi="Times New Roman"/>
                <w:b/>
                <w:bCs/>
                <w:color w:val="auto"/>
                <w:szCs w:val="21"/>
                <w:highlight w:val="none"/>
              </w:rPr>
            </w:pPr>
            <w:r>
              <w:rPr>
                <w:rFonts w:hint="eastAsia" w:ascii="Times New Roman" w:hAnsi="Times New Roman"/>
                <w:b/>
                <w:bCs/>
                <w:color w:val="auto"/>
                <w:szCs w:val="21"/>
                <w:highlight w:val="none"/>
              </w:rPr>
              <w:t>道路名称</w:t>
            </w:r>
          </w:p>
        </w:tc>
        <w:tc>
          <w:tcPr>
            <w:tcW w:w="992" w:type="dxa"/>
            <w:vMerge w:val="restart"/>
            <w:vAlign w:val="center"/>
          </w:tcPr>
          <w:p>
            <w:pPr>
              <w:jc w:val="center"/>
              <w:rPr>
                <w:rFonts w:ascii="Times New Roman" w:hAnsi="Times New Roman"/>
                <w:b/>
                <w:bCs/>
                <w:color w:val="auto"/>
                <w:szCs w:val="21"/>
                <w:highlight w:val="none"/>
              </w:rPr>
            </w:pPr>
            <w:r>
              <w:rPr>
                <w:rFonts w:hint="eastAsia" w:ascii="Times New Roman" w:hAnsi="Times New Roman"/>
                <w:b/>
                <w:bCs/>
                <w:color w:val="auto"/>
                <w:szCs w:val="21"/>
                <w:highlight w:val="none"/>
              </w:rPr>
              <w:t>道路长度（</w:t>
            </w:r>
            <w:r>
              <w:rPr>
                <w:rFonts w:ascii="Times New Roman" w:hAnsi="Times New Roman"/>
                <w:b/>
                <w:bCs/>
                <w:color w:val="auto"/>
                <w:szCs w:val="21"/>
                <w:highlight w:val="none"/>
              </w:rPr>
              <w:t>m</w:t>
            </w:r>
            <w:r>
              <w:rPr>
                <w:rFonts w:hint="eastAsia" w:ascii="Times New Roman" w:hAnsi="Times New Roman"/>
                <w:b/>
                <w:bCs/>
                <w:color w:val="auto"/>
                <w:szCs w:val="21"/>
                <w:highlight w:val="none"/>
              </w:rPr>
              <w:t>）</w:t>
            </w:r>
          </w:p>
        </w:tc>
        <w:tc>
          <w:tcPr>
            <w:tcW w:w="762" w:type="dxa"/>
            <w:vMerge w:val="restart"/>
            <w:vAlign w:val="center"/>
          </w:tcPr>
          <w:p>
            <w:pPr>
              <w:jc w:val="center"/>
              <w:rPr>
                <w:rFonts w:ascii="Times New Roman" w:hAnsi="Times New Roman"/>
                <w:b/>
                <w:bCs/>
                <w:color w:val="auto"/>
                <w:szCs w:val="21"/>
                <w:highlight w:val="none"/>
              </w:rPr>
            </w:pPr>
            <w:r>
              <w:rPr>
                <w:rFonts w:hint="eastAsia" w:ascii="Times New Roman" w:hAnsi="Times New Roman"/>
                <w:b/>
                <w:bCs/>
                <w:color w:val="auto"/>
                <w:szCs w:val="21"/>
                <w:highlight w:val="none"/>
              </w:rPr>
              <w:t>总宽度（</w:t>
            </w:r>
            <w:r>
              <w:rPr>
                <w:rFonts w:ascii="Times New Roman" w:hAnsi="Times New Roman"/>
                <w:b/>
                <w:bCs/>
                <w:color w:val="auto"/>
                <w:szCs w:val="21"/>
                <w:highlight w:val="none"/>
              </w:rPr>
              <w:t>m</w:t>
            </w:r>
            <w:r>
              <w:rPr>
                <w:rFonts w:hint="eastAsia" w:ascii="Times New Roman" w:hAnsi="Times New Roman"/>
                <w:b/>
                <w:bCs/>
                <w:color w:val="auto"/>
                <w:szCs w:val="21"/>
                <w:highlight w:val="none"/>
              </w:rPr>
              <w:t>）</w:t>
            </w:r>
          </w:p>
        </w:tc>
        <w:tc>
          <w:tcPr>
            <w:tcW w:w="762" w:type="dxa"/>
            <w:vMerge w:val="restart"/>
            <w:vAlign w:val="center"/>
          </w:tcPr>
          <w:p>
            <w:pPr>
              <w:jc w:val="center"/>
              <w:rPr>
                <w:rFonts w:ascii="Times New Roman" w:hAnsi="Times New Roman"/>
                <w:b/>
                <w:bCs/>
                <w:color w:val="auto"/>
                <w:szCs w:val="21"/>
                <w:highlight w:val="none"/>
              </w:rPr>
            </w:pPr>
            <w:r>
              <w:rPr>
                <w:rFonts w:hint="eastAsia" w:ascii="Times New Roman" w:hAnsi="Times New Roman"/>
                <w:b/>
                <w:bCs/>
                <w:color w:val="auto"/>
                <w:szCs w:val="21"/>
                <w:highlight w:val="none"/>
              </w:rPr>
              <w:t>绿化带宽度（</w:t>
            </w:r>
            <w:r>
              <w:rPr>
                <w:rFonts w:ascii="Times New Roman" w:hAnsi="Times New Roman"/>
                <w:b/>
                <w:bCs/>
                <w:color w:val="auto"/>
                <w:szCs w:val="21"/>
                <w:highlight w:val="none"/>
              </w:rPr>
              <w:t>m</w:t>
            </w:r>
            <w:r>
              <w:rPr>
                <w:rFonts w:hint="eastAsia" w:ascii="Times New Roman" w:hAnsi="Times New Roman"/>
                <w:b/>
                <w:bCs/>
                <w:color w:val="auto"/>
                <w:szCs w:val="21"/>
                <w:highlight w:val="none"/>
              </w:rPr>
              <w:t>）</w:t>
            </w:r>
          </w:p>
        </w:tc>
        <w:tc>
          <w:tcPr>
            <w:tcW w:w="918" w:type="dxa"/>
            <w:vMerge w:val="restart"/>
            <w:vAlign w:val="center"/>
          </w:tcPr>
          <w:p>
            <w:pPr>
              <w:jc w:val="center"/>
              <w:rPr>
                <w:rFonts w:ascii="Times New Roman" w:hAnsi="Times New Roman"/>
                <w:b/>
                <w:bCs/>
                <w:color w:val="auto"/>
                <w:szCs w:val="21"/>
                <w:highlight w:val="none"/>
              </w:rPr>
            </w:pPr>
            <w:r>
              <w:rPr>
                <w:rFonts w:hint="eastAsia" w:ascii="Times New Roman" w:hAnsi="Times New Roman"/>
                <w:b/>
                <w:bCs/>
                <w:color w:val="auto"/>
                <w:szCs w:val="21"/>
                <w:highlight w:val="none"/>
              </w:rPr>
              <w:t>人行道或自行车树冠覆盖宽度</w:t>
            </w:r>
          </w:p>
        </w:tc>
        <w:tc>
          <w:tcPr>
            <w:tcW w:w="762" w:type="dxa"/>
            <w:vMerge w:val="restart"/>
            <w:vAlign w:val="center"/>
          </w:tcPr>
          <w:p>
            <w:pPr>
              <w:jc w:val="center"/>
              <w:rPr>
                <w:rFonts w:ascii="Times New Roman" w:hAnsi="Times New Roman"/>
                <w:b/>
                <w:bCs/>
                <w:color w:val="auto"/>
                <w:szCs w:val="21"/>
                <w:highlight w:val="none"/>
              </w:rPr>
            </w:pPr>
            <w:r>
              <w:rPr>
                <w:rFonts w:hint="eastAsia" w:ascii="Times New Roman" w:hAnsi="Times New Roman"/>
                <w:b/>
                <w:bCs/>
                <w:color w:val="auto"/>
                <w:szCs w:val="21"/>
                <w:highlight w:val="none"/>
              </w:rPr>
              <w:t>绿带总宽度（</w:t>
            </w:r>
            <w:r>
              <w:rPr>
                <w:rFonts w:ascii="Times New Roman" w:hAnsi="Times New Roman"/>
                <w:b/>
                <w:bCs/>
                <w:color w:val="auto"/>
                <w:szCs w:val="21"/>
                <w:highlight w:val="none"/>
              </w:rPr>
              <w:t>m</w:t>
            </w:r>
            <w:r>
              <w:rPr>
                <w:rFonts w:hint="eastAsia" w:ascii="Times New Roman" w:hAnsi="Times New Roman"/>
                <w:b/>
                <w:bCs/>
                <w:color w:val="auto"/>
                <w:szCs w:val="21"/>
                <w:highlight w:val="none"/>
              </w:rPr>
              <w:t>）</w:t>
            </w:r>
          </w:p>
        </w:tc>
        <w:tc>
          <w:tcPr>
            <w:tcW w:w="1029" w:type="dxa"/>
            <w:vMerge w:val="restart"/>
            <w:noWrap/>
            <w:vAlign w:val="center"/>
          </w:tcPr>
          <w:p>
            <w:pPr>
              <w:jc w:val="center"/>
              <w:rPr>
                <w:rFonts w:ascii="Times New Roman" w:hAnsi="Times New Roman"/>
                <w:b/>
                <w:bCs/>
                <w:color w:val="auto"/>
                <w:szCs w:val="21"/>
                <w:highlight w:val="none"/>
              </w:rPr>
            </w:pPr>
            <w:r>
              <w:rPr>
                <w:rFonts w:hint="eastAsia" w:ascii="Times New Roman" w:hAnsi="Times New Roman"/>
                <w:b/>
                <w:bCs/>
                <w:color w:val="auto"/>
                <w:szCs w:val="21"/>
                <w:highlight w:val="none"/>
              </w:rPr>
              <w:t>绿化覆盖率（</w:t>
            </w:r>
            <w:r>
              <w:rPr>
                <w:rFonts w:ascii="Times New Roman" w:hAnsi="Times New Roman"/>
                <w:b/>
                <w:bCs/>
                <w:color w:val="auto"/>
                <w:szCs w:val="21"/>
                <w:highlight w:val="none"/>
              </w:rPr>
              <w:t>%</w:t>
            </w:r>
            <w:r>
              <w:rPr>
                <w:rFonts w:hint="eastAsia" w:ascii="Times New Roman" w:hAnsi="Times New Roman"/>
                <w:b/>
                <w:bCs/>
                <w:color w:val="auto"/>
                <w:szCs w:val="21"/>
                <w:highlight w:val="none"/>
              </w:rPr>
              <w:t>）</w:t>
            </w:r>
          </w:p>
        </w:tc>
        <w:tc>
          <w:tcPr>
            <w:tcW w:w="744" w:type="dxa"/>
            <w:vMerge w:val="restart"/>
            <w:vAlign w:val="center"/>
          </w:tcPr>
          <w:p>
            <w:pPr>
              <w:jc w:val="center"/>
              <w:rPr>
                <w:rFonts w:ascii="Times New Roman" w:hAnsi="Times New Roman"/>
                <w:b/>
                <w:bCs/>
                <w:color w:val="auto"/>
                <w:szCs w:val="21"/>
                <w:highlight w:val="none"/>
              </w:rPr>
            </w:pPr>
            <w:r>
              <w:rPr>
                <w:rFonts w:hint="eastAsia" w:ascii="Times New Roman" w:hAnsi="Times New Roman"/>
                <w:b/>
                <w:bCs/>
                <w:color w:val="auto"/>
                <w:szCs w:val="21"/>
                <w:highlight w:val="none"/>
              </w:rPr>
              <w:t>是否达标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tblHeader/>
        </w:trPr>
        <w:tc>
          <w:tcPr>
            <w:tcW w:w="782" w:type="dxa"/>
            <w:vMerge w:val="continue"/>
            <w:vAlign w:val="center"/>
          </w:tcPr>
          <w:p>
            <w:pPr>
              <w:jc w:val="center"/>
              <w:rPr>
                <w:rFonts w:ascii="Times New Roman" w:hAnsi="Times New Roman"/>
                <w:b/>
                <w:bCs/>
                <w:color w:val="auto"/>
                <w:szCs w:val="21"/>
                <w:highlight w:val="none"/>
              </w:rPr>
            </w:pPr>
          </w:p>
        </w:tc>
        <w:tc>
          <w:tcPr>
            <w:tcW w:w="1771" w:type="dxa"/>
            <w:vMerge w:val="continue"/>
            <w:vAlign w:val="center"/>
          </w:tcPr>
          <w:p>
            <w:pPr>
              <w:jc w:val="center"/>
              <w:rPr>
                <w:rFonts w:ascii="Times New Roman" w:hAnsi="Times New Roman"/>
                <w:b/>
                <w:bCs/>
                <w:color w:val="auto"/>
                <w:szCs w:val="21"/>
                <w:highlight w:val="none"/>
              </w:rPr>
            </w:pPr>
          </w:p>
        </w:tc>
        <w:tc>
          <w:tcPr>
            <w:tcW w:w="992" w:type="dxa"/>
            <w:vMerge w:val="continue"/>
            <w:vAlign w:val="center"/>
          </w:tcPr>
          <w:p>
            <w:pPr>
              <w:jc w:val="center"/>
              <w:rPr>
                <w:rFonts w:ascii="Times New Roman" w:hAnsi="Times New Roman"/>
                <w:b/>
                <w:bCs/>
                <w:color w:val="auto"/>
                <w:szCs w:val="21"/>
                <w:highlight w:val="none"/>
              </w:rPr>
            </w:pPr>
          </w:p>
        </w:tc>
        <w:tc>
          <w:tcPr>
            <w:tcW w:w="762" w:type="dxa"/>
            <w:vMerge w:val="continue"/>
            <w:vAlign w:val="center"/>
          </w:tcPr>
          <w:p>
            <w:pPr>
              <w:jc w:val="center"/>
              <w:rPr>
                <w:rFonts w:ascii="Times New Roman" w:hAnsi="Times New Roman"/>
                <w:b/>
                <w:bCs/>
                <w:color w:val="auto"/>
                <w:szCs w:val="21"/>
                <w:highlight w:val="none"/>
              </w:rPr>
            </w:pPr>
          </w:p>
        </w:tc>
        <w:tc>
          <w:tcPr>
            <w:tcW w:w="762" w:type="dxa"/>
            <w:vMerge w:val="continue"/>
            <w:vAlign w:val="center"/>
          </w:tcPr>
          <w:p>
            <w:pPr>
              <w:jc w:val="center"/>
              <w:rPr>
                <w:rFonts w:ascii="Times New Roman" w:hAnsi="Times New Roman"/>
                <w:b/>
                <w:bCs/>
                <w:color w:val="auto"/>
                <w:szCs w:val="21"/>
                <w:highlight w:val="none"/>
              </w:rPr>
            </w:pPr>
          </w:p>
        </w:tc>
        <w:tc>
          <w:tcPr>
            <w:tcW w:w="918" w:type="dxa"/>
            <w:vMerge w:val="continue"/>
            <w:vAlign w:val="center"/>
          </w:tcPr>
          <w:p>
            <w:pPr>
              <w:jc w:val="center"/>
              <w:rPr>
                <w:rFonts w:ascii="Times New Roman" w:hAnsi="Times New Roman"/>
                <w:b/>
                <w:bCs/>
                <w:color w:val="auto"/>
                <w:szCs w:val="21"/>
                <w:highlight w:val="none"/>
              </w:rPr>
            </w:pPr>
          </w:p>
        </w:tc>
        <w:tc>
          <w:tcPr>
            <w:tcW w:w="762" w:type="dxa"/>
            <w:vMerge w:val="continue"/>
            <w:vAlign w:val="center"/>
          </w:tcPr>
          <w:p>
            <w:pPr>
              <w:jc w:val="center"/>
              <w:rPr>
                <w:rFonts w:ascii="Times New Roman" w:hAnsi="Times New Roman"/>
                <w:b/>
                <w:bCs/>
                <w:color w:val="auto"/>
                <w:szCs w:val="21"/>
                <w:highlight w:val="none"/>
              </w:rPr>
            </w:pPr>
          </w:p>
        </w:tc>
        <w:tc>
          <w:tcPr>
            <w:tcW w:w="1029" w:type="dxa"/>
            <w:vMerge w:val="continue"/>
            <w:vAlign w:val="center"/>
          </w:tcPr>
          <w:p>
            <w:pPr>
              <w:jc w:val="center"/>
              <w:rPr>
                <w:rFonts w:ascii="Times New Roman" w:hAnsi="Times New Roman"/>
                <w:b/>
                <w:bCs/>
                <w:color w:val="auto"/>
                <w:szCs w:val="21"/>
                <w:highlight w:val="none"/>
              </w:rPr>
            </w:pPr>
          </w:p>
        </w:tc>
        <w:tc>
          <w:tcPr>
            <w:tcW w:w="744" w:type="dxa"/>
            <w:vMerge w:val="continue"/>
            <w:vAlign w:val="center"/>
          </w:tcPr>
          <w:p>
            <w:pPr>
              <w:jc w:val="center"/>
              <w:rPr>
                <w:rFonts w:ascii="Times New Roman" w:hAnsi="Times New Roman"/>
                <w:b/>
                <w:bCs/>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vMerge w:val="restart"/>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w:t>
            </w:r>
          </w:p>
        </w:tc>
        <w:tc>
          <w:tcPr>
            <w:tcW w:w="1771" w:type="dxa"/>
            <w:vMerge w:val="restart"/>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红城大道</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2284</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7</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12.5</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22.73</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782" w:type="dxa"/>
            <w:vMerge w:val="continue"/>
            <w:vAlign w:val="center"/>
          </w:tcPr>
          <w:p>
            <w:pPr>
              <w:jc w:val="center"/>
              <w:rPr>
                <w:rFonts w:ascii="Times New Roman" w:hAnsi="Times New Roman"/>
                <w:color w:val="auto"/>
                <w:szCs w:val="21"/>
                <w:highlight w:val="none"/>
              </w:rPr>
            </w:pPr>
          </w:p>
        </w:tc>
        <w:tc>
          <w:tcPr>
            <w:tcW w:w="1771" w:type="dxa"/>
            <w:vMerge w:val="continue"/>
            <w:vAlign w:val="center"/>
          </w:tcPr>
          <w:p>
            <w:pPr>
              <w:jc w:val="center"/>
              <w:rPr>
                <w:rFonts w:ascii="Times New Roman" w:hAnsi="Times New Roman"/>
                <w:color w:val="auto"/>
                <w:szCs w:val="21"/>
                <w:highlight w:val="none"/>
              </w:rPr>
            </w:pP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2581</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5.5</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13.75</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vMerge w:val="continue"/>
            <w:vAlign w:val="center"/>
          </w:tcPr>
          <w:p>
            <w:pPr>
              <w:jc w:val="center"/>
              <w:rPr>
                <w:rFonts w:ascii="Times New Roman" w:hAnsi="Times New Roman"/>
                <w:color w:val="auto"/>
                <w:szCs w:val="21"/>
                <w:highlight w:val="none"/>
              </w:rPr>
            </w:pPr>
          </w:p>
        </w:tc>
        <w:tc>
          <w:tcPr>
            <w:tcW w:w="1771" w:type="dxa"/>
            <w:vMerge w:val="continue"/>
            <w:vAlign w:val="center"/>
          </w:tcPr>
          <w:p>
            <w:pPr>
              <w:jc w:val="center"/>
              <w:rPr>
                <w:rFonts w:ascii="Times New Roman" w:hAnsi="Times New Roman"/>
                <w:color w:val="auto"/>
                <w:szCs w:val="21"/>
                <w:highlight w:val="none"/>
              </w:rPr>
            </w:pP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4143</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36</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16.67</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782" w:type="dxa"/>
            <w:vMerge w:val="restart"/>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w:t>
            </w:r>
          </w:p>
        </w:tc>
        <w:tc>
          <w:tcPr>
            <w:tcW w:w="1771" w:type="dxa"/>
            <w:vMerge w:val="restart"/>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二环路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1476</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vMerge w:val="continue"/>
            <w:vAlign w:val="center"/>
          </w:tcPr>
          <w:p>
            <w:pPr>
              <w:jc w:val="center"/>
              <w:rPr>
                <w:rFonts w:ascii="Times New Roman" w:hAnsi="Times New Roman"/>
                <w:color w:val="auto"/>
                <w:szCs w:val="21"/>
                <w:highlight w:val="none"/>
              </w:rPr>
            </w:pPr>
          </w:p>
        </w:tc>
        <w:tc>
          <w:tcPr>
            <w:tcW w:w="1771" w:type="dxa"/>
            <w:vMerge w:val="continue"/>
            <w:vAlign w:val="center"/>
          </w:tcPr>
          <w:p>
            <w:pPr>
              <w:jc w:val="center"/>
              <w:rPr>
                <w:rFonts w:ascii="Times New Roman" w:hAnsi="Times New Roman"/>
                <w:color w:val="auto"/>
                <w:szCs w:val="21"/>
                <w:highlight w:val="none"/>
              </w:rPr>
            </w:pP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1373</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3.33</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782" w:type="dxa"/>
            <w:vMerge w:val="continue"/>
            <w:vAlign w:val="center"/>
          </w:tcPr>
          <w:p>
            <w:pPr>
              <w:jc w:val="center"/>
              <w:rPr>
                <w:rFonts w:ascii="Times New Roman" w:hAnsi="Times New Roman"/>
                <w:color w:val="auto"/>
                <w:szCs w:val="21"/>
                <w:highlight w:val="none"/>
              </w:rPr>
            </w:pPr>
          </w:p>
        </w:tc>
        <w:tc>
          <w:tcPr>
            <w:tcW w:w="1771" w:type="dxa"/>
            <w:vMerge w:val="continue"/>
            <w:vAlign w:val="center"/>
          </w:tcPr>
          <w:p>
            <w:pPr>
              <w:jc w:val="center"/>
              <w:rPr>
                <w:rFonts w:ascii="Times New Roman" w:hAnsi="Times New Roman"/>
                <w:color w:val="auto"/>
                <w:szCs w:val="21"/>
                <w:highlight w:val="none"/>
              </w:rPr>
            </w:pP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3639</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13.33</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vMerge w:val="continue"/>
            <w:vAlign w:val="center"/>
          </w:tcPr>
          <w:p>
            <w:pPr>
              <w:jc w:val="center"/>
              <w:rPr>
                <w:rFonts w:ascii="Times New Roman" w:hAnsi="Times New Roman"/>
                <w:color w:val="auto"/>
                <w:szCs w:val="21"/>
                <w:highlight w:val="none"/>
              </w:rPr>
            </w:pPr>
          </w:p>
        </w:tc>
        <w:tc>
          <w:tcPr>
            <w:tcW w:w="1771" w:type="dxa"/>
            <w:vMerge w:val="continue"/>
            <w:vAlign w:val="center"/>
          </w:tcPr>
          <w:p>
            <w:pPr>
              <w:jc w:val="center"/>
              <w:rPr>
                <w:rFonts w:ascii="Times New Roman" w:hAnsi="Times New Roman"/>
                <w:color w:val="auto"/>
                <w:szCs w:val="21"/>
                <w:highlight w:val="none"/>
              </w:rPr>
            </w:pP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2813</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2.5</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4.17</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vMerge w:val="restart"/>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w:t>
            </w:r>
          </w:p>
        </w:tc>
        <w:tc>
          <w:tcPr>
            <w:tcW w:w="1771" w:type="dxa"/>
            <w:vMerge w:val="restart"/>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广富路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1760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9</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22.50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782" w:type="dxa"/>
            <w:vMerge w:val="continue"/>
            <w:vAlign w:val="center"/>
          </w:tcPr>
          <w:p>
            <w:pPr>
              <w:jc w:val="center"/>
              <w:rPr>
                <w:rFonts w:ascii="Times New Roman" w:hAnsi="Times New Roman"/>
                <w:color w:val="auto"/>
                <w:szCs w:val="21"/>
                <w:highlight w:val="none"/>
              </w:rPr>
            </w:pPr>
          </w:p>
        </w:tc>
        <w:tc>
          <w:tcPr>
            <w:tcW w:w="1771" w:type="dxa"/>
            <w:vMerge w:val="continue"/>
            <w:vAlign w:val="center"/>
          </w:tcPr>
          <w:p>
            <w:pPr>
              <w:jc w:val="center"/>
              <w:rPr>
                <w:rFonts w:ascii="Times New Roman" w:hAnsi="Times New Roman"/>
                <w:color w:val="auto"/>
                <w:szCs w:val="21"/>
                <w:highlight w:val="none"/>
              </w:rPr>
            </w:pP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867</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vMerge w:val="restart"/>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w:t>
            </w:r>
          </w:p>
        </w:tc>
        <w:tc>
          <w:tcPr>
            <w:tcW w:w="1771" w:type="dxa"/>
            <w:vMerge w:val="restart"/>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海丽大道</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487</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29</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20.69</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vMerge w:val="continue"/>
            <w:vAlign w:val="center"/>
          </w:tcPr>
          <w:p>
            <w:pPr>
              <w:jc w:val="center"/>
              <w:rPr>
                <w:rFonts w:ascii="Times New Roman" w:hAnsi="Times New Roman"/>
                <w:color w:val="auto"/>
                <w:szCs w:val="21"/>
                <w:highlight w:val="none"/>
              </w:rPr>
            </w:pPr>
          </w:p>
        </w:tc>
        <w:tc>
          <w:tcPr>
            <w:tcW w:w="1771" w:type="dxa"/>
            <w:vMerge w:val="continue"/>
            <w:vAlign w:val="center"/>
          </w:tcPr>
          <w:p>
            <w:pPr>
              <w:jc w:val="center"/>
              <w:rPr>
                <w:rFonts w:ascii="Times New Roman" w:hAnsi="Times New Roman"/>
                <w:color w:val="auto"/>
                <w:szCs w:val="21"/>
                <w:highlight w:val="none"/>
              </w:rPr>
            </w:pP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910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31</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19.35</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vMerge w:val="restart"/>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w:t>
            </w:r>
          </w:p>
        </w:tc>
        <w:tc>
          <w:tcPr>
            <w:tcW w:w="1771" w:type="dxa"/>
            <w:vMerge w:val="restart"/>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福临街</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498</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14</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28.57</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vMerge w:val="continue"/>
            <w:vAlign w:val="center"/>
          </w:tcPr>
          <w:p>
            <w:pPr>
              <w:jc w:val="center"/>
              <w:rPr>
                <w:rFonts w:ascii="Times New Roman" w:hAnsi="Times New Roman"/>
                <w:color w:val="auto"/>
                <w:szCs w:val="21"/>
                <w:highlight w:val="none"/>
              </w:rPr>
            </w:pPr>
          </w:p>
        </w:tc>
        <w:tc>
          <w:tcPr>
            <w:tcW w:w="1771" w:type="dxa"/>
            <w:vMerge w:val="continue"/>
            <w:vAlign w:val="center"/>
          </w:tcPr>
          <w:p>
            <w:pPr>
              <w:jc w:val="center"/>
              <w:rPr>
                <w:rFonts w:ascii="Times New Roman" w:hAnsi="Times New Roman"/>
                <w:color w:val="auto"/>
                <w:szCs w:val="21"/>
                <w:highlight w:val="none"/>
              </w:rPr>
            </w:pP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443</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24</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33.33</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vMerge w:val="continue"/>
            <w:vAlign w:val="center"/>
          </w:tcPr>
          <w:p>
            <w:pPr>
              <w:jc w:val="center"/>
              <w:rPr>
                <w:rFonts w:ascii="Times New Roman" w:hAnsi="Times New Roman"/>
                <w:color w:val="auto"/>
                <w:szCs w:val="21"/>
                <w:highlight w:val="none"/>
              </w:rPr>
            </w:pPr>
          </w:p>
        </w:tc>
        <w:tc>
          <w:tcPr>
            <w:tcW w:w="1771" w:type="dxa"/>
            <w:vMerge w:val="continue"/>
            <w:vAlign w:val="center"/>
          </w:tcPr>
          <w:p>
            <w:pPr>
              <w:jc w:val="center"/>
              <w:rPr>
                <w:rFonts w:ascii="Times New Roman" w:hAnsi="Times New Roman"/>
                <w:color w:val="auto"/>
                <w:szCs w:val="21"/>
                <w:highlight w:val="none"/>
              </w:rPr>
            </w:pP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241</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24</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vMerge w:val="restart"/>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w:t>
            </w:r>
          </w:p>
        </w:tc>
        <w:tc>
          <w:tcPr>
            <w:tcW w:w="1771" w:type="dxa"/>
            <w:vMerge w:val="restart"/>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益民路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73</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17</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8.82</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vMerge w:val="continue"/>
            <w:vAlign w:val="center"/>
          </w:tcPr>
          <w:p>
            <w:pPr>
              <w:jc w:val="center"/>
              <w:rPr>
                <w:rFonts w:ascii="Times New Roman" w:hAnsi="Times New Roman"/>
                <w:color w:val="auto"/>
                <w:szCs w:val="21"/>
                <w:highlight w:val="none"/>
              </w:rPr>
            </w:pPr>
          </w:p>
        </w:tc>
        <w:tc>
          <w:tcPr>
            <w:tcW w:w="1771" w:type="dxa"/>
            <w:vMerge w:val="continue"/>
            <w:vAlign w:val="center"/>
          </w:tcPr>
          <w:p>
            <w:pPr>
              <w:jc w:val="center"/>
              <w:rPr>
                <w:rFonts w:ascii="Times New Roman" w:hAnsi="Times New Roman"/>
                <w:color w:val="auto"/>
                <w:szCs w:val="21"/>
                <w:highlight w:val="none"/>
              </w:rPr>
            </w:pP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165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14</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10.71</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7</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三环西路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865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59</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13.56</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云桂路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565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19</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15.79</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9</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云锋路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282</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19</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15.79</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10</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新华路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648</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18</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11.11</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11</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云岭路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284</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18</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22.22</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12</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云岭北路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423</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16</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7</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7</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43.75</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13</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西华路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490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17</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47.06</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14</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农林路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264</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16</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31.25</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公园路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1017</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12</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7</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7</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58.33</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16</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公园南路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395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12</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9</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9</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75.00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17</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铜钱山路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302</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18</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18</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人民路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437</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18</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12</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12</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66.67</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19</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解放路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515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19</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17</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89.47</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20</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解放北路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1467</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17</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58.82</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21</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人民西路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613</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27</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花坛</w:t>
            </w:r>
            <w:r>
              <w:rPr>
                <w:rFonts w:ascii="Times New Roman" w:hAnsi="Times New Roman"/>
                <w:color w:val="auto"/>
                <w:szCs w:val="21"/>
                <w:highlight w:val="none"/>
              </w:rPr>
              <w:t>0.6</w:t>
            </w:r>
            <w:r>
              <w:rPr>
                <w:rFonts w:hint="eastAsia" w:ascii="Times New Roman" w:hAnsi="Times New Roman"/>
                <w:color w:val="auto"/>
                <w:szCs w:val="21"/>
                <w:highlight w:val="none"/>
              </w:rPr>
              <w:t>×</w:t>
            </w:r>
            <w:r>
              <w:rPr>
                <w:rFonts w:ascii="Times New Roman" w:hAnsi="Times New Roman"/>
                <w:color w:val="auto"/>
                <w:szCs w:val="21"/>
                <w:highlight w:val="none"/>
              </w:rPr>
              <w:t>1.7</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7.41</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22</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青年干渠</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1263</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19</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23</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祥德路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943</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37</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8.11</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24</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海紫路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2303</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37</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25</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海银路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2211</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19</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10.53</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26</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海龙路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929</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19</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27</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海河路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673</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25</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83.33</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28</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红场路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610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18</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8.33</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29</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育英三路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179</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13</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46.15</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30</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龙津河东一路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1133</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16</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16</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31</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龙津河东二路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1524</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19</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16</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16</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84.21</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32</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龙津河东三路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170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19</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16</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16</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84.21</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33</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龙津河西一路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1074</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17</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58.82</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34</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龙津河西二路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1540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18</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11</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11</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61.11</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35</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龙津河西三路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170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17</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23.53</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38</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海汕路（往汕尾方向）</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598</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41</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9</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21.95</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39</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三环西路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5066</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23</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11</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47.83</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40</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三环东路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2346</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41</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北环公路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4301</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23</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26.09</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42</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324国道</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8819</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23</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7</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43.48</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43</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育英路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1307</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13.33</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44</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体育场路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197</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18</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16.67</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45</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建设路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144</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14</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7</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7</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46</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粉围路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307</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14</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14.29</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47</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合兴路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338</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12</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48</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向阳路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621</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37</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37</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246.67</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49</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中山南路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367</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18</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花坛</w:t>
            </w:r>
            <w:r>
              <w:rPr>
                <w:rFonts w:ascii="Times New Roman" w:hAnsi="Times New Roman"/>
                <w:color w:val="auto"/>
                <w:szCs w:val="21"/>
                <w:highlight w:val="none"/>
              </w:rPr>
              <w:t>0.6</w:t>
            </w:r>
            <w:r>
              <w:rPr>
                <w:rFonts w:hint="eastAsia" w:ascii="Times New Roman" w:hAnsi="Times New Roman"/>
                <w:color w:val="auto"/>
                <w:szCs w:val="21"/>
                <w:highlight w:val="none"/>
              </w:rPr>
              <w:t>×</w:t>
            </w:r>
            <w:r>
              <w:rPr>
                <w:rFonts w:ascii="Times New Roman" w:hAnsi="Times New Roman"/>
                <w:color w:val="auto"/>
                <w:szCs w:val="21"/>
                <w:highlight w:val="none"/>
              </w:rPr>
              <w:t>1.7</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50</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东圣门路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297</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13</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15.38</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51</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海悦路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898</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8.57</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52</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笏雅村水沟（在建）</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674</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17</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53</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南湖一路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327</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12</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33.33</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54</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南湖三路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496</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55</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富城一路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822</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56</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海联路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1014</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14</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7</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7</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57</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襟德路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425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18</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58</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联河大道</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694</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13</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61.54</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59</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海龙路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918</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60</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狮山一路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757</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16</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61</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狮山二路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767</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62</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宫地山路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878</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21</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63</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宫地山中路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803</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64</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宫地山横路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843</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21</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65</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25大道</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834</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66</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广汕公路（往梅陇方向）</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905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7</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9</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16</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29.09</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67</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广汕公路（往陆丰方向）</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1839</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22.86</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69</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海银路（往莲花山方向）</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3093</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12</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16.67</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70</w:t>
            </w:r>
          </w:p>
        </w:tc>
        <w:tc>
          <w:tcPr>
            <w:tcW w:w="1771" w:type="dxa"/>
            <w:vMerge w:val="restart"/>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育英路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184</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14</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42.86</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71</w:t>
            </w:r>
          </w:p>
        </w:tc>
        <w:tc>
          <w:tcPr>
            <w:tcW w:w="1771" w:type="dxa"/>
            <w:vMerge w:val="continue"/>
            <w:vAlign w:val="center"/>
          </w:tcPr>
          <w:p>
            <w:pPr>
              <w:jc w:val="center"/>
              <w:rPr>
                <w:rFonts w:ascii="Times New Roman" w:hAnsi="Times New Roman"/>
                <w:color w:val="auto"/>
                <w:szCs w:val="21"/>
                <w:highlight w:val="none"/>
              </w:rPr>
            </w:pP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379</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13</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46.15</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72</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育英一路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401</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12</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73</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大水坑路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939</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14</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74</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叠翠路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635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14</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75</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金碧路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187</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16</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37.50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76</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新园十巷</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580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12</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77</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云岭山庄二路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130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12</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41.67</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78</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供电路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462</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79</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青年水库路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1819</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13</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7</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7</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53.85</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80</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海城镇政府侧巷</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290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12</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81</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海城镇政府后巷</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12</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82</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农林下路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401</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16</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83</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北门新街</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310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14</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84</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峰山路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395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12</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85</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富城二路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805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86</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赤山路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1062</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87</w:t>
            </w:r>
          </w:p>
        </w:tc>
        <w:tc>
          <w:tcPr>
            <w:tcW w:w="1771" w:type="dxa"/>
            <w:vMerge w:val="restart"/>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龙山路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1070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16</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88</w:t>
            </w:r>
          </w:p>
        </w:tc>
        <w:tc>
          <w:tcPr>
            <w:tcW w:w="1771" w:type="dxa"/>
            <w:vMerge w:val="continue"/>
            <w:vAlign w:val="center"/>
          </w:tcPr>
          <w:p>
            <w:pPr>
              <w:jc w:val="center"/>
              <w:rPr>
                <w:rFonts w:ascii="Times New Roman" w:hAnsi="Times New Roman"/>
                <w:color w:val="auto"/>
                <w:szCs w:val="21"/>
                <w:highlight w:val="none"/>
              </w:rPr>
            </w:pP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479</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14</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89</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赤山路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641</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90</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桥新路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421</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12</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91</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迎春路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394</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12</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92</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看守所门前路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131</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12</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93</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同德路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521</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17</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29.41</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94</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名园东山路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624</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53.33</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95</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关后一路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1380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96</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红卫村二路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374</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13</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97</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红卫村三路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381</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17</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98</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红卫村横路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642</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14</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99</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中联电子门前路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490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12</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100</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金龙居巷</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889</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13</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101</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东盛华庭东侧路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654</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13</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102</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川汇电路板西巷</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285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13</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46.15</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103</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大流服饰东巷</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181</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13</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61.54</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104</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大流洗涤东巷</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144</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12</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66.67</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105</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永佳化工厂门前路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131</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53.33</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106</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金园工业区横一路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1035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53.33</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107</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金园工业区横二路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1122</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8</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53.33</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108</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鲤鱼山工业区横二路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238</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13</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23.08</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109</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青年桥防洪路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200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12</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42.86</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110</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中河居委大掘村路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97</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12</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111</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高山富民路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485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12</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112</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永安达花园东侧路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274</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33.33</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113</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永安达花园门前路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53</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114</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富城侧路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500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20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115</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永福路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1436</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13</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8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116</w:t>
            </w:r>
          </w:p>
        </w:tc>
        <w:tc>
          <w:tcPr>
            <w:tcW w:w="1771"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意新首饰门前路</w:t>
            </w:r>
          </w:p>
        </w:tc>
        <w:tc>
          <w:tcPr>
            <w:tcW w:w="99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155</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16</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918"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762"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w:t>
            </w:r>
          </w:p>
        </w:tc>
        <w:tc>
          <w:tcPr>
            <w:tcW w:w="1029"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0.00</w:t>
            </w:r>
          </w:p>
        </w:tc>
        <w:tc>
          <w:tcPr>
            <w:tcW w:w="744" w:type="dxa"/>
            <w:noWrap/>
            <w:vAlign w:val="center"/>
          </w:tcPr>
          <w:p>
            <w:pPr>
              <w:jc w:val="center"/>
              <w:rPr>
                <w:rFonts w:ascii="Times New Roman" w:hAnsi="Times New Roman"/>
                <w:color w:val="auto"/>
                <w:szCs w:val="21"/>
                <w:highlight w:val="none"/>
              </w:rPr>
            </w:pPr>
            <w:r>
              <w:rPr>
                <w:rFonts w:hint="eastAsia" w:ascii="Times New Roman" w:hAnsi="Times New Roman"/>
                <w:color w:val="auto"/>
                <w:szCs w:val="21"/>
                <w:highlight w:val="none"/>
              </w:rPr>
              <w:t>否</w:t>
            </w:r>
          </w:p>
        </w:tc>
      </w:tr>
    </w:tbl>
    <w:p>
      <w:pPr>
        <w:rPr>
          <w:rFonts w:ascii="Times New Roman" w:hAnsi="Times New Roman"/>
          <w:color w:val="auto"/>
          <w:szCs w:val="21"/>
          <w:highlight w:val="none"/>
        </w:rPr>
      </w:pPr>
    </w:p>
    <w:p>
      <w:pPr>
        <w:rPr>
          <w:rFonts w:ascii="Times New Roman" w:hAnsi="Times New Roman"/>
          <w:color w:val="auto"/>
          <w:highlight w:val="none"/>
        </w:rPr>
      </w:pPr>
      <w:r>
        <w:rPr>
          <w:rFonts w:ascii="Times New Roman" w:hAnsi="Times New Roman"/>
          <w:color w:val="auto"/>
          <w:szCs w:val="21"/>
          <w:highlight w:val="none"/>
        </w:rPr>
        <w:t>注：按照最新GBT 51328-2018 《城市综合交通体系规划标准》计算。根据中华人民共和国住房和城乡建设部公告2018年第204号，行业标准《城市道路绿化规划与设计规范》（CJJ75-97）的第3.1节和第3.2节同时废止。</w:t>
      </w:r>
    </w:p>
    <w:p>
      <w:pPr>
        <w:pStyle w:val="6"/>
        <w:rPr>
          <w:rFonts w:ascii="Times New Roman" w:hAnsi="Times New Roman"/>
          <w:color w:val="auto"/>
          <w:highlight w:val="none"/>
        </w:rPr>
      </w:pPr>
      <w:bookmarkStart w:id="376" w:name="_Toc60776395"/>
      <w:bookmarkStart w:id="377" w:name="_Toc12327"/>
      <w:bookmarkStart w:id="378" w:name="_Toc60499704"/>
      <w:r>
        <w:rPr>
          <w:rFonts w:ascii="Times New Roman" w:hAnsi="Times New Roman"/>
          <w:color w:val="auto"/>
          <w:highlight w:val="none"/>
        </w:rPr>
        <w:t>18、防护绿地实施率</w:t>
      </w:r>
      <w:bookmarkEnd w:id="375"/>
      <w:bookmarkEnd w:id="376"/>
      <w:bookmarkEnd w:id="377"/>
      <w:bookmarkEnd w:id="378"/>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指标要求：≥80%。</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计算方法：城市防护绿地实施率（%）=城市建成区内已建成的防护绿地面积（hm</w:t>
      </w:r>
      <w:r>
        <w:rPr>
          <w:rFonts w:ascii="Times New Roman" w:hAnsi="Times New Roman"/>
          <w:color w:val="auto"/>
          <w:sz w:val="24"/>
          <w:highlight w:val="none"/>
          <w:vertAlign w:val="superscript"/>
        </w:rPr>
        <w:t>2</w:t>
      </w:r>
      <w:r>
        <w:rPr>
          <w:rFonts w:ascii="Times New Roman" w:hAnsi="Times New Roman"/>
          <w:color w:val="auto"/>
          <w:sz w:val="24"/>
          <w:highlight w:val="none"/>
        </w:rPr>
        <w:t>）/城市建成区内防护绿地规划总面积（hm</w:t>
      </w:r>
      <w:r>
        <w:rPr>
          <w:rFonts w:ascii="Times New Roman" w:hAnsi="Times New Roman"/>
          <w:color w:val="auto"/>
          <w:sz w:val="24"/>
          <w:highlight w:val="none"/>
          <w:vertAlign w:val="superscript"/>
        </w:rPr>
        <w:t>2</w:t>
      </w:r>
      <w:r>
        <w:rPr>
          <w:rFonts w:ascii="Times New Roman" w:hAnsi="Times New Roman"/>
          <w:color w:val="auto"/>
          <w:sz w:val="24"/>
          <w:highlight w:val="none"/>
        </w:rPr>
        <w:t>）×100%</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调查结果：海丰县目前已建成的防护绿地面积8.60公顷，经重新规划后，建成区防护绿地规划总面积324.65公顷，城市防护绿地实施率可达10</w:t>
      </w:r>
      <w:r>
        <w:rPr>
          <w:rFonts w:hint="eastAsia" w:ascii="Times New Roman" w:hAnsi="Times New Roman"/>
          <w:color w:val="auto"/>
          <w:sz w:val="24"/>
          <w:highlight w:val="none"/>
        </w:rPr>
        <w:t>0</w:t>
      </w:r>
      <w:r>
        <w:rPr>
          <w:rFonts w:ascii="Times New Roman" w:hAnsi="Times New Roman"/>
          <w:color w:val="auto"/>
          <w:sz w:val="24"/>
          <w:highlight w:val="none"/>
        </w:rPr>
        <w:t>%，满足创园指标要求，</w:t>
      </w:r>
      <w:r>
        <w:rPr>
          <w:rFonts w:hint="eastAsia" w:ascii="Times New Roman" w:hAnsi="Times New Roman"/>
          <w:b/>
          <w:bCs/>
          <w:color w:val="auto"/>
          <w:sz w:val="24"/>
          <w:highlight w:val="none"/>
        </w:rPr>
        <w:t>已</w:t>
      </w:r>
      <w:r>
        <w:rPr>
          <w:rFonts w:ascii="Times New Roman" w:hAnsi="Times New Roman"/>
          <w:b/>
          <w:bCs/>
          <w:color w:val="auto"/>
          <w:sz w:val="24"/>
          <w:highlight w:val="none"/>
        </w:rPr>
        <w:t>达标</w:t>
      </w:r>
      <w:r>
        <w:rPr>
          <w:rFonts w:ascii="Times New Roman" w:hAnsi="Times New Roman"/>
          <w:color w:val="auto"/>
          <w:sz w:val="24"/>
          <w:highlight w:val="none"/>
        </w:rPr>
        <w:t>。</w:t>
      </w:r>
    </w:p>
    <w:p>
      <w:pPr>
        <w:spacing w:line="360" w:lineRule="auto"/>
        <w:jc w:val="center"/>
        <w:rPr>
          <w:rFonts w:ascii="Times New Roman" w:hAnsi="Times New Roman"/>
          <w:color w:val="auto"/>
          <w:sz w:val="24"/>
          <w:highlight w:val="none"/>
        </w:rPr>
      </w:pPr>
      <w:r>
        <w:rPr>
          <w:rFonts w:ascii="Times New Roman" w:hAnsi="Times New Roman"/>
          <w:b/>
          <w:color w:val="auto"/>
          <w:sz w:val="24"/>
          <w:highlight w:val="none"/>
        </w:rPr>
        <w:t>表2-1</w:t>
      </w:r>
      <w:r>
        <w:rPr>
          <w:rFonts w:hint="eastAsia" w:ascii="Times New Roman" w:hAnsi="Times New Roman"/>
          <w:b/>
          <w:color w:val="auto"/>
          <w:sz w:val="24"/>
          <w:highlight w:val="none"/>
        </w:rPr>
        <w:t>3</w:t>
      </w:r>
      <w:r>
        <w:rPr>
          <w:rFonts w:ascii="Times New Roman" w:hAnsi="Times New Roman"/>
          <w:b/>
          <w:color w:val="auto"/>
          <w:sz w:val="24"/>
          <w:highlight w:val="none"/>
        </w:rPr>
        <w:t xml:space="preserve"> 海丰县建成区防护绿地实施率统计表</w:t>
      </w:r>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0"/>
        <w:gridCol w:w="1420"/>
        <w:gridCol w:w="1420"/>
        <w:gridCol w:w="1420"/>
        <w:gridCol w:w="1421"/>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Align w:val="center"/>
          </w:tcPr>
          <w:p>
            <w:pPr>
              <w:jc w:val="center"/>
              <w:rPr>
                <w:rFonts w:ascii="Times New Roman" w:hAnsi="Times New Roman"/>
                <w:b/>
                <w:color w:val="auto"/>
                <w:szCs w:val="21"/>
                <w:highlight w:val="none"/>
              </w:rPr>
            </w:pPr>
            <w:bookmarkStart w:id="379" w:name="_Toc54451069"/>
            <w:bookmarkStart w:id="380" w:name="_Toc60499705"/>
            <w:r>
              <w:rPr>
                <w:rFonts w:ascii="Times New Roman" w:hAnsi="Times New Roman"/>
                <w:b/>
                <w:color w:val="auto"/>
                <w:szCs w:val="21"/>
                <w:highlight w:val="none"/>
              </w:rPr>
              <w:t>序号</w:t>
            </w:r>
          </w:p>
        </w:tc>
        <w:tc>
          <w:tcPr>
            <w:tcW w:w="1420" w:type="dxa"/>
            <w:vAlign w:val="center"/>
          </w:tcPr>
          <w:p>
            <w:pPr>
              <w:jc w:val="center"/>
              <w:rPr>
                <w:rFonts w:ascii="Times New Roman" w:hAnsi="Times New Roman"/>
                <w:b/>
                <w:color w:val="auto"/>
                <w:szCs w:val="21"/>
                <w:highlight w:val="none"/>
              </w:rPr>
            </w:pPr>
            <w:r>
              <w:rPr>
                <w:rFonts w:ascii="Times New Roman" w:hAnsi="Times New Roman"/>
                <w:b/>
                <w:color w:val="auto"/>
                <w:szCs w:val="21"/>
                <w:highlight w:val="none"/>
              </w:rPr>
              <w:t>状态</w:t>
            </w:r>
          </w:p>
        </w:tc>
        <w:tc>
          <w:tcPr>
            <w:tcW w:w="1420" w:type="dxa"/>
            <w:vAlign w:val="center"/>
          </w:tcPr>
          <w:p>
            <w:pPr>
              <w:jc w:val="center"/>
              <w:rPr>
                <w:rFonts w:ascii="Times New Roman" w:hAnsi="Times New Roman"/>
                <w:color w:val="auto"/>
                <w:highlight w:val="none"/>
              </w:rPr>
            </w:pPr>
            <w:r>
              <w:rPr>
                <w:rFonts w:ascii="Times New Roman" w:hAnsi="Times New Roman"/>
                <w:b/>
                <w:color w:val="auto"/>
                <w:szCs w:val="21"/>
                <w:highlight w:val="none"/>
              </w:rPr>
              <w:t>行政区</w:t>
            </w:r>
          </w:p>
        </w:tc>
        <w:tc>
          <w:tcPr>
            <w:tcW w:w="1420" w:type="dxa"/>
            <w:vAlign w:val="center"/>
          </w:tcPr>
          <w:p>
            <w:pPr>
              <w:jc w:val="center"/>
              <w:rPr>
                <w:rFonts w:ascii="Times New Roman" w:hAnsi="Times New Roman"/>
                <w:b/>
                <w:color w:val="auto"/>
                <w:szCs w:val="21"/>
                <w:highlight w:val="none"/>
              </w:rPr>
            </w:pPr>
            <w:r>
              <w:rPr>
                <w:rFonts w:ascii="Times New Roman" w:hAnsi="Times New Roman"/>
                <w:b/>
                <w:color w:val="auto"/>
                <w:szCs w:val="21"/>
                <w:highlight w:val="none"/>
              </w:rPr>
              <w:t>现状防护绿地面积（hm）</w:t>
            </w:r>
          </w:p>
        </w:tc>
        <w:tc>
          <w:tcPr>
            <w:tcW w:w="1421" w:type="dxa"/>
            <w:vAlign w:val="center"/>
          </w:tcPr>
          <w:p>
            <w:pPr>
              <w:jc w:val="center"/>
              <w:rPr>
                <w:rFonts w:ascii="Times New Roman" w:hAnsi="Times New Roman"/>
                <w:b/>
                <w:color w:val="auto"/>
                <w:szCs w:val="21"/>
                <w:highlight w:val="none"/>
              </w:rPr>
            </w:pPr>
            <w:r>
              <w:rPr>
                <w:rFonts w:hint="eastAsia" w:ascii="Times New Roman" w:hAnsi="Times New Roman"/>
                <w:b/>
                <w:color w:val="auto"/>
                <w:szCs w:val="21"/>
                <w:highlight w:val="none"/>
              </w:rPr>
              <w:t>规划</w:t>
            </w:r>
            <w:r>
              <w:rPr>
                <w:rFonts w:ascii="Times New Roman" w:hAnsi="Times New Roman"/>
                <w:b/>
                <w:color w:val="auto"/>
                <w:szCs w:val="21"/>
                <w:highlight w:val="none"/>
              </w:rPr>
              <w:t>防护绿地面积（hm）</w:t>
            </w:r>
          </w:p>
        </w:tc>
        <w:tc>
          <w:tcPr>
            <w:tcW w:w="1421" w:type="dxa"/>
            <w:vAlign w:val="center"/>
          </w:tcPr>
          <w:p>
            <w:pPr>
              <w:jc w:val="center"/>
              <w:rPr>
                <w:rFonts w:ascii="Times New Roman" w:hAnsi="Times New Roman"/>
                <w:b/>
                <w:color w:val="auto"/>
                <w:szCs w:val="21"/>
                <w:highlight w:val="none"/>
              </w:rPr>
            </w:pPr>
            <w:r>
              <w:rPr>
                <w:rFonts w:ascii="Times New Roman" w:hAnsi="Times New Roman"/>
                <w:b/>
                <w:bCs/>
                <w:color w:val="auto"/>
                <w:highlight w:val="none"/>
              </w:rPr>
              <w:t>防护绿地实施率</w:t>
            </w:r>
          </w:p>
          <w:p>
            <w:pPr>
              <w:jc w:val="center"/>
              <w:rPr>
                <w:rFonts w:ascii="Times New Roman" w:hAnsi="Times New Roman"/>
                <w:b/>
                <w:color w:val="auto"/>
                <w:szCs w:val="21"/>
                <w:highlight w:val="none"/>
              </w:rPr>
            </w:pPr>
            <w:r>
              <w:rPr>
                <w:rFonts w:ascii="Times New Roman" w:hAnsi="Times New Roman"/>
                <w:b/>
                <w:color w:val="auto"/>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Times New Roman" w:hAnsi="Times New Roman"/>
                <w:color w:val="auto"/>
                <w:szCs w:val="21"/>
                <w:highlight w:val="none"/>
              </w:rPr>
            </w:pPr>
            <w:r>
              <w:rPr>
                <w:rFonts w:ascii="Times New Roman" w:hAnsi="Times New Roman"/>
                <w:color w:val="auto"/>
                <w:szCs w:val="21"/>
                <w:highlight w:val="none"/>
              </w:rPr>
              <w:t>1</w:t>
            </w:r>
          </w:p>
        </w:tc>
        <w:tc>
          <w:tcPr>
            <w:tcW w:w="1420" w:type="dxa"/>
          </w:tcPr>
          <w:p>
            <w:pPr>
              <w:jc w:val="center"/>
              <w:rPr>
                <w:rFonts w:ascii="Times New Roman" w:hAnsi="Times New Roman"/>
                <w:color w:val="auto"/>
                <w:szCs w:val="21"/>
                <w:highlight w:val="none"/>
              </w:rPr>
            </w:pPr>
            <w:r>
              <w:rPr>
                <w:rFonts w:ascii="Times New Roman" w:hAnsi="Times New Roman"/>
                <w:color w:val="auto"/>
                <w:szCs w:val="21"/>
                <w:highlight w:val="none"/>
              </w:rPr>
              <w:t>现状</w:t>
            </w:r>
          </w:p>
        </w:tc>
        <w:tc>
          <w:tcPr>
            <w:tcW w:w="1420" w:type="dxa"/>
          </w:tcPr>
          <w:p>
            <w:pPr>
              <w:jc w:val="center"/>
              <w:rPr>
                <w:rFonts w:ascii="Times New Roman" w:hAnsi="Times New Roman"/>
                <w:color w:val="auto"/>
                <w:highlight w:val="none"/>
              </w:rPr>
            </w:pPr>
            <w:r>
              <w:rPr>
                <w:rFonts w:ascii="Times New Roman" w:hAnsi="Times New Roman"/>
                <w:color w:val="auto"/>
                <w:szCs w:val="21"/>
                <w:highlight w:val="none"/>
              </w:rPr>
              <w:t>海丰县</w:t>
            </w:r>
          </w:p>
        </w:tc>
        <w:tc>
          <w:tcPr>
            <w:tcW w:w="1420" w:type="dxa"/>
          </w:tcPr>
          <w:p>
            <w:pPr>
              <w:jc w:val="center"/>
              <w:rPr>
                <w:rFonts w:ascii="Times New Roman" w:hAnsi="Times New Roman"/>
                <w:color w:val="auto"/>
                <w:szCs w:val="21"/>
                <w:highlight w:val="none"/>
              </w:rPr>
            </w:pPr>
            <w:r>
              <w:rPr>
                <w:rFonts w:ascii="Times New Roman" w:hAnsi="Times New Roman"/>
                <w:color w:val="auto"/>
                <w:sz w:val="24"/>
                <w:highlight w:val="none"/>
              </w:rPr>
              <w:t>8.60</w:t>
            </w:r>
          </w:p>
        </w:tc>
        <w:tc>
          <w:tcPr>
            <w:tcW w:w="1421" w:type="dxa"/>
          </w:tcPr>
          <w:p>
            <w:pPr>
              <w:jc w:val="center"/>
              <w:rPr>
                <w:rFonts w:ascii="Times New Roman" w:hAnsi="Times New Roman"/>
                <w:color w:val="auto"/>
                <w:szCs w:val="21"/>
                <w:highlight w:val="none"/>
              </w:rPr>
            </w:pPr>
            <w:r>
              <w:rPr>
                <w:rFonts w:ascii="Times New Roman" w:hAnsi="Times New Roman"/>
                <w:color w:val="auto"/>
                <w:sz w:val="24"/>
                <w:highlight w:val="none"/>
              </w:rPr>
              <w:t>8.60</w:t>
            </w:r>
            <w:r>
              <w:rPr>
                <w:rFonts w:ascii="Times New Roman" w:hAnsi="Times New Roman"/>
                <w:color w:val="auto"/>
                <w:szCs w:val="21"/>
                <w:highlight w:val="none"/>
              </w:rPr>
              <w:t xml:space="preserve"> </w:t>
            </w:r>
          </w:p>
        </w:tc>
        <w:tc>
          <w:tcPr>
            <w:tcW w:w="1421" w:type="dxa"/>
          </w:tcPr>
          <w:p>
            <w:pPr>
              <w:jc w:val="center"/>
              <w:rPr>
                <w:rFonts w:ascii="Times New Roman" w:hAnsi="Times New Roman"/>
                <w:color w:val="auto"/>
                <w:szCs w:val="21"/>
                <w:highlight w:val="none"/>
              </w:rPr>
            </w:pPr>
            <w:r>
              <w:rPr>
                <w:rFonts w:hint="eastAsia" w:ascii="Times New Roman" w:hAnsi="Times New Roman"/>
                <w:color w:val="auto"/>
                <w:szCs w:val="21"/>
                <w:highlight w:val="none"/>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Times New Roman" w:hAnsi="Times New Roman"/>
                <w:color w:val="auto"/>
                <w:szCs w:val="21"/>
                <w:highlight w:val="none"/>
              </w:rPr>
            </w:pPr>
            <w:r>
              <w:rPr>
                <w:rFonts w:ascii="Times New Roman" w:hAnsi="Times New Roman"/>
                <w:color w:val="auto"/>
                <w:szCs w:val="21"/>
                <w:highlight w:val="none"/>
              </w:rPr>
              <w:t>2</w:t>
            </w:r>
          </w:p>
        </w:tc>
        <w:tc>
          <w:tcPr>
            <w:tcW w:w="1420" w:type="dxa"/>
          </w:tcPr>
          <w:p>
            <w:pPr>
              <w:jc w:val="center"/>
              <w:rPr>
                <w:rFonts w:ascii="Times New Roman" w:hAnsi="Times New Roman"/>
                <w:color w:val="auto"/>
                <w:szCs w:val="21"/>
                <w:highlight w:val="none"/>
              </w:rPr>
            </w:pPr>
            <w:r>
              <w:rPr>
                <w:rFonts w:ascii="Times New Roman" w:hAnsi="Times New Roman"/>
                <w:color w:val="auto"/>
                <w:szCs w:val="21"/>
                <w:highlight w:val="none"/>
              </w:rPr>
              <w:t>规划建设后</w:t>
            </w:r>
          </w:p>
        </w:tc>
        <w:tc>
          <w:tcPr>
            <w:tcW w:w="1420" w:type="dxa"/>
          </w:tcPr>
          <w:p>
            <w:pPr>
              <w:jc w:val="center"/>
              <w:rPr>
                <w:rFonts w:ascii="Times New Roman" w:hAnsi="Times New Roman"/>
                <w:color w:val="auto"/>
                <w:szCs w:val="21"/>
                <w:highlight w:val="none"/>
              </w:rPr>
            </w:pPr>
            <w:r>
              <w:rPr>
                <w:rFonts w:ascii="Times New Roman" w:hAnsi="Times New Roman"/>
                <w:color w:val="auto"/>
                <w:szCs w:val="21"/>
                <w:highlight w:val="none"/>
              </w:rPr>
              <w:t>海丰县</w:t>
            </w:r>
          </w:p>
        </w:tc>
        <w:tc>
          <w:tcPr>
            <w:tcW w:w="1420" w:type="dxa"/>
          </w:tcPr>
          <w:p>
            <w:pPr>
              <w:jc w:val="center"/>
              <w:rPr>
                <w:rFonts w:ascii="Times New Roman" w:hAnsi="Times New Roman"/>
                <w:color w:val="auto"/>
                <w:szCs w:val="21"/>
                <w:highlight w:val="none"/>
              </w:rPr>
            </w:pPr>
            <w:r>
              <w:rPr>
                <w:rFonts w:ascii="Times New Roman" w:hAnsi="Times New Roman"/>
                <w:color w:val="auto"/>
                <w:szCs w:val="21"/>
                <w:highlight w:val="none"/>
              </w:rPr>
              <w:t>324.65</w:t>
            </w:r>
          </w:p>
        </w:tc>
        <w:tc>
          <w:tcPr>
            <w:tcW w:w="1421" w:type="dxa"/>
          </w:tcPr>
          <w:p>
            <w:pPr>
              <w:jc w:val="center"/>
              <w:rPr>
                <w:rFonts w:ascii="Times New Roman" w:hAnsi="Times New Roman"/>
                <w:color w:val="auto"/>
                <w:szCs w:val="21"/>
                <w:highlight w:val="none"/>
              </w:rPr>
            </w:pPr>
            <w:r>
              <w:rPr>
                <w:rFonts w:ascii="Times New Roman" w:hAnsi="Times New Roman"/>
                <w:color w:val="auto"/>
                <w:szCs w:val="21"/>
                <w:highlight w:val="none"/>
              </w:rPr>
              <w:t>324.65</w:t>
            </w:r>
          </w:p>
        </w:tc>
        <w:tc>
          <w:tcPr>
            <w:tcW w:w="1421" w:type="dxa"/>
          </w:tcPr>
          <w:p>
            <w:pPr>
              <w:jc w:val="center"/>
              <w:rPr>
                <w:rFonts w:ascii="Times New Roman" w:hAnsi="Times New Roman"/>
                <w:color w:val="auto"/>
                <w:szCs w:val="21"/>
                <w:highlight w:val="none"/>
              </w:rPr>
            </w:pPr>
            <w:r>
              <w:rPr>
                <w:rFonts w:hint="eastAsia" w:ascii="Times New Roman" w:hAnsi="Times New Roman"/>
                <w:color w:val="auto"/>
                <w:szCs w:val="21"/>
                <w:highlight w:val="none"/>
              </w:rPr>
              <w:t>100</w:t>
            </w:r>
          </w:p>
        </w:tc>
      </w:tr>
    </w:tbl>
    <w:p>
      <w:pPr>
        <w:pStyle w:val="2"/>
        <w:ind w:left="0" w:leftChars="0" w:firstLine="0" w:firstLineChars="0"/>
        <w:rPr>
          <w:rFonts w:ascii="Times New Roman" w:hAnsi="Times New Roman"/>
          <w:color w:val="auto"/>
          <w:highlight w:val="none"/>
        </w:rPr>
      </w:pPr>
    </w:p>
    <w:p>
      <w:pPr>
        <w:pStyle w:val="6"/>
        <w:rPr>
          <w:rFonts w:ascii="Times New Roman" w:hAnsi="Times New Roman"/>
          <w:color w:val="auto"/>
          <w:highlight w:val="none"/>
        </w:rPr>
      </w:pPr>
      <w:bookmarkStart w:id="381" w:name="_Toc60776396"/>
      <w:bookmarkStart w:id="382" w:name="_Toc3391"/>
      <w:r>
        <w:rPr>
          <w:rFonts w:ascii="Times New Roman" w:hAnsi="Times New Roman"/>
          <w:color w:val="auto"/>
          <w:highlight w:val="none"/>
        </w:rPr>
        <w:t>19、河道绿化普及率</w:t>
      </w:r>
      <w:bookmarkEnd w:id="379"/>
      <w:bookmarkEnd w:id="380"/>
      <w:bookmarkEnd w:id="381"/>
      <w:bookmarkEnd w:id="382"/>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指标要求：≥85%。</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计算方法：河道绿化普及率（%）=单侧绿地宽度大于或等于12m的河道滨河绿带长度（公里）/河道岸线总长度（公里）×100%</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调查结果：海丰县建成区范围内有</w:t>
      </w:r>
      <w:r>
        <w:rPr>
          <w:rFonts w:hint="eastAsia" w:ascii="Times New Roman" w:hAnsi="Times New Roman"/>
          <w:color w:val="auto"/>
          <w:sz w:val="24"/>
          <w:highlight w:val="none"/>
        </w:rPr>
        <w:t>宽度大于12米的</w:t>
      </w:r>
      <w:r>
        <w:rPr>
          <w:rFonts w:ascii="Times New Roman" w:hAnsi="Times New Roman"/>
          <w:color w:val="auto"/>
          <w:sz w:val="24"/>
          <w:highlight w:val="none"/>
        </w:rPr>
        <w:t>河流1条，为龙津河，长度为4526.5米。龙津河两岸岸线长度为9053米，宽度大于或等于12米的滨河绿带长度为7070.78米，河道绿化普及率为78.10%，</w:t>
      </w:r>
      <w:r>
        <w:rPr>
          <w:rFonts w:ascii="Times New Roman" w:hAnsi="Times New Roman"/>
          <w:b/>
          <w:bCs/>
          <w:color w:val="auto"/>
          <w:sz w:val="24"/>
          <w:highlight w:val="none"/>
        </w:rPr>
        <w:t>该项暂不达标</w:t>
      </w:r>
      <w:r>
        <w:rPr>
          <w:rFonts w:ascii="Times New Roman" w:hAnsi="Times New Roman"/>
          <w:color w:val="auto"/>
          <w:sz w:val="24"/>
          <w:highlight w:val="none"/>
        </w:rPr>
        <w:t>。</w:t>
      </w:r>
    </w:p>
    <w:p>
      <w:pPr>
        <w:spacing w:line="360" w:lineRule="auto"/>
        <w:jc w:val="center"/>
        <w:rPr>
          <w:rFonts w:ascii="Times New Roman" w:hAnsi="Times New Roman"/>
          <w:b/>
          <w:bCs/>
          <w:color w:val="auto"/>
          <w:sz w:val="24"/>
          <w:highlight w:val="none"/>
        </w:rPr>
      </w:pPr>
      <w:r>
        <w:rPr>
          <w:rFonts w:ascii="Times New Roman" w:hAnsi="Times New Roman"/>
          <w:b/>
          <w:bCs/>
          <w:color w:val="auto"/>
          <w:sz w:val="24"/>
          <w:highlight w:val="none"/>
        </w:rPr>
        <w:t>表2-1</w:t>
      </w:r>
      <w:r>
        <w:rPr>
          <w:rFonts w:hint="eastAsia" w:ascii="Times New Roman" w:hAnsi="Times New Roman"/>
          <w:b/>
          <w:bCs/>
          <w:color w:val="auto"/>
          <w:sz w:val="24"/>
          <w:highlight w:val="none"/>
        </w:rPr>
        <w:t>4</w:t>
      </w:r>
      <w:r>
        <w:rPr>
          <w:rFonts w:ascii="Times New Roman" w:hAnsi="Times New Roman"/>
          <w:b/>
          <w:bCs/>
          <w:color w:val="auto"/>
          <w:sz w:val="24"/>
          <w:highlight w:val="none"/>
        </w:rPr>
        <w:t xml:space="preserve"> 海丰县建成区河道绿化普及率统计表</w:t>
      </w:r>
    </w:p>
    <w:tbl>
      <w:tblPr>
        <w:tblStyle w:val="20"/>
        <w:tblW w:w="8314" w:type="dxa"/>
        <w:tblInd w:w="0" w:type="dxa"/>
        <w:tblLayout w:type="fixed"/>
        <w:tblCellMar>
          <w:top w:w="0" w:type="dxa"/>
          <w:left w:w="0" w:type="dxa"/>
          <w:bottom w:w="0" w:type="dxa"/>
          <w:right w:w="0" w:type="dxa"/>
        </w:tblCellMar>
      </w:tblPr>
      <w:tblGrid>
        <w:gridCol w:w="563"/>
        <w:gridCol w:w="990"/>
        <w:gridCol w:w="990"/>
        <w:gridCol w:w="1442"/>
        <w:gridCol w:w="1442"/>
        <w:gridCol w:w="1442"/>
        <w:gridCol w:w="1445"/>
      </w:tblGrid>
      <w:tr>
        <w:tblPrEx>
          <w:tblCellMar>
            <w:top w:w="0" w:type="dxa"/>
            <w:left w:w="0" w:type="dxa"/>
            <w:bottom w:w="0" w:type="dxa"/>
            <w:right w:w="0" w:type="dxa"/>
          </w:tblCellMar>
        </w:tblPrEx>
        <w:trPr>
          <w:trHeight w:val="976" w:hRule="exact"/>
        </w:trPr>
        <w:tc>
          <w:tcPr>
            <w:tcW w:w="563"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bCs/>
                <w:color w:val="auto"/>
                <w:szCs w:val="21"/>
                <w:highlight w:val="none"/>
                <w:lang w:eastAsia="en-US"/>
              </w:rPr>
            </w:pPr>
            <w:r>
              <w:rPr>
                <w:rFonts w:ascii="Times New Roman" w:hAnsi="Times New Roman"/>
                <w:b/>
                <w:bCs/>
                <w:color w:val="auto"/>
                <w:szCs w:val="21"/>
                <w:highlight w:val="none"/>
                <w:lang w:eastAsia="en-US"/>
              </w:rPr>
              <w:t>序号</w:t>
            </w:r>
          </w:p>
        </w:tc>
        <w:tc>
          <w:tcPr>
            <w:tcW w:w="990"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bCs/>
                <w:color w:val="auto"/>
                <w:szCs w:val="21"/>
                <w:highlight w:val="none"/>
                <w:lang w:eastAsia="en-US"/>
              </w:rPr>
            </w:pPr>
            <w:r>
              <w:rPr>
                <w:rFonts w:ascii="Times New Roman" w:hAnsi="Times New Roman"/>
                <w:b/>
                <w:bCs/>
                <w:color w:val="auto"/>
                <w:szCs w:val="21"/>
                <w:highlight w:val="none"/>
                <w:lang w:eastAsia="en-US"/>
              </w:rPr>
              <w:t>统计单位</w:t>
            </w:r>
          </w:p>
        </w:tc>
        <w:tc>
          <w:tcPr>
            <w:tcW w:w="990" w:type="dxa"/>
            <w:tcBorders>
              <w:top w:val="single" w:color="000000" w:sz="2" w:space="0"/>
              <w:left w:val="single" w:color="000000" w:sz="2" w:space="0"/>
              <w:bottom w:val="single" w:color="000000" w:sz="2" w:space="0"/>
              <w:right w:val="single" w:color="auto" w:sz="4" w:space="0"/>
            </w:tcBorders>
            <w:vAlign w:val="center"/>
          </w:tcPr>
          <w:p>
            <w:pPr>
              <w:jc w:val="center"/>
              <w:rPr>
                <w:rFonts w:ascii="Times New Roman" w:hAnsi="Times New Roman"/>
                <w:b/>
                <w:bCs/>
                <w:color w:val="auto"/>
                <w:szCs w:val="21"/>
                <w:highlight w:val="none"/>
              </w:rPr>
            </w:pPr>
            <w:r>
              <w:rPr>
                <w:rFonts w:ascii="Times New Roman" w:hAnsi="Times New Roman"/>
                <w:b/>
                <w:bCs/>
                <w:color w:val="auto"/>
                <w:szCs w:val="21"/>
                <w:highlight w:val="none"/>
              </w:rPr>
              <w:t>河流名称</w:t>
            </w:r>
          </w:p>
        </w:tc>
        <w:tc>
          <w:tcPr>
            <w:tcW w:w="1442" w:type="dxa"/>
            <w:tcBorders>
              <w:top w:val="single" w:color="000000" w:sz="2" w:space="0"/>
              <w:left w:val="single" w:color="auto" w:sz="4" w:space="0"/>
              <w:bottom w:val="single" w:color="000000" w:sz="2" w:space="0"/>
              <w:right w:val="single" w:color="000000" w:sz="2" w:space="0"/>
            </w:tcBorders>
            <w:vAlign w:val="center"/>
          </w:tcPr>
          <w:p>
            <w:pPr>
              <w:jc w:val="center"/>
              <w:rPr>
                <w:rFonts w:ascii="Times New Roman" w:hAnsi="Times New Roman"/>
                <w:b/>
                <w:bCs/>
                <w:color w:val="auto"/>
                <w:szCs w:val="21"/>
                <w:highlight w:val="none"/>
              </w:rPr>
            </w:pPr>
            <w:r>
              <w:rPr>
                <w:rFonts w:ascii="Times New Roman" w:hAnsi="Times New Roman"/>
                <w:b/>
                <w:bCs/>
                <w:color w:val="auto"/>
                <w:szCs w:val="21"/>
                <w:highlight w:val="none"/>
              </w:rPr>
              <w:t>河流长度（m，建成区）</w:t>
            </w:r>
          </w:p>
        </w:tc>
        <w:tc>
          <w:tcPr>
            <w:tcW w:w="1442" w:type="dxa"/>
            <w:tcBorders>
              <w:top w:val="single" w:color="000000" w:sz="2" w:space="0"/>
              <w:left w:val="single" w:color="000000" w:sz="2" w:space="0"/>
              <w:bottom w:val="single" w:color="000000" w:sz="2" w:space="0"/>
              <w:right w:val="single" w:color="auto" w:sz="4" w:space="0"/>
            </w:tcBorders>
            <w:vAlign w:val="center"/>
          </w:tcPr>
          <w:p>
            <w:pPr>
              <w:jc w:val="center"/>
              <w:rPr>
                <w:rFonts w:ascii="Times New Roman" w:hAnsi="Times New Roman"/>
                <w:b/>
                <w:bCs/>
                <w:color w:val="auto"/>
                <w:szCs w:val="21"/>
                <w:highlight w:val="none"/>
              </w:rPr>
            </w:pPr>
            <w:r>
              <w:rPr>
                <w:rFonts w:ascii="Times New Roman" w:hAnsi="Times New Roman"/>
                <w:b/>
                <w:bCs/>
                <w:color w:val="auto"/>
                <w:szCs w:val="21"/>
                <w:highlight w:val="none"/>
              </w:rPr>
              <w:t>两岸岸线长度（m，建成区）</w:t>
            </w:r>
          </w:p>
        </w:tc>
        <w:tc>
          <w:tcPr>
            <w:tcW w:w="1442" w:type="dxa"/>
            <w:tcBorders>
              <w:top w:val="single" w:color="000000" w:sz="2" w:space="0"/>
              <w:left w:val="single" w:color="auto" w:sz="4" w:space="0"/>
              <w:bottom w:val="single" w:color="000000" w:sz="2" w:space="0"/>
              <w:right w:val="single" w:color="000000" w:sz="2" w:space="0"/>
            </w:tcBorders>
            <w:vAlign w:val="center"/>
          </w:tcPr>
          <w:p>
            <w:pPr>
              <w:jc w:val="center"/>
              <w:rPr>
                <w:rFonts w:ascii="Times New Roman" w:hAnsi="Times New Roman"/>
                <w:b/>
                <w:bCs/>
                <w:color w:val="auto"/>
                <w:szCs w:val="21"/>
                <w:highlight w:val="none"/>
              </w:rPr>
            </w:pPr>
            <w:r>
              <w:rPr>
                <w:rFonts w:ascii="Times New Roman" w:hAnsi="Times New Roman"/>
                <w:b/>
                <w:bCs/>
                <w:color w:val="auto"/>
                <w:szCs w:val="21"/>
                <w:highlight w:val="none"/>
              </w:rPr>
              <w:t>滨河绿带长度（m，建成区）</w:t>
            </w:r>
          </w:p>
        </w:tc>
        <w:tc>
          <w:tcPr>
            <w:tcW w:w="1445"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bCs/>
                <w:color w:val="auto"/>
                <w:szCs w:val="21"/>
                <w:highlight w:val="none"/>
              </w:rPr>
            </w:pPr>
            <w:r>
              <w:rPr>
                <w:rFonts w:ascii="Times New Roman" w:hAnsi="Times New Roman"/>
                <w:b/>
                <w:bCs/>
                <w:color w:val="auto"/>
                <w:szCs w:val="21"/>
                <w:highlight w:val="none"/>
              </w:rPr>
              <w:t>河道绿化普及率</w:t>
            </w:r>
            <w:r>
              <w:rPr>
                <w:rFonts w:ascii="Times New Roman" w:hAnsi="Times New Roman"/>
                <w:b/>
                <w:bCs/>
                <w:color w:val="auto"/>
                <w:szCs w:val="21"/>
                <w:highlight w:val="none"/>
                <w:lang w:eastAsia="en-US"/>
              </w:rPr>
              <w:t>（%）</w:t>
            </w:r>
          </w:p>
          <w:p>
            <w:pPr>
              <w:rPr>
                <w:rFonts w:ascii="Times New Roman" w:hAnsi="Times New Roman"/>
                <w:b/>
                <w:bCs/>
                <w:color w:val="auto"/>
                <w:szCs w:val="21"/>
                <w:highlight w:val="none"/>
                <w:lang w:eastAsia="en-US"/>
              </w:rPr>
            </w:pPr>
          </w:p>
        </w:tc>
      </w:tr>
      <w:tr>
        <w:tblPrEx>
          <w:tblCellMar>
            <w:top w:w="0" w:type="dxa"/>
            <w:left w:w="0" w:type="dxa"/>
            <w:bottom w:w="0" w:type="dxa"/>
            <w:right w:w="0" w:type="dxa"/>
          </w:tblCellMar>
        </w:tblPrEx>
        <w:trPr>
          <w:trHeight w:val="566" w:hRule="exact"/>
        </w:trPr>
        <w:tc>
          <w:tcPr>
            <w:tcW w:w="563"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szCs w:val="21"/>
                <w:highlight w:val="none"/>
                <w:lang w:eastAsia="en-US"/>
              </w:rPr>
            </w:pPr>
            <w:r>
              <w:rPr>
                <w:rFonts w:ascii="Times New Roman" w:hAnsi="Times New Roman"/>
                <w:color w:val="auto"/>
                <w:szCs w:val="21"/>
                <w:highlight w:val="none"/>
                <w:lang w:eastAsia="en-US"/>
              </w:rPr>
              <w:t>1</w:t>
            </w:r>
          </w:p>
        </w:tc>
        <w:tc>
          <w:tcPr>
            <w:tcW w:w="990"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szCs w:val="21"/>
                <w:highlight w:val="none"/>
                <w:lang w:eastAsia="en-US"/>
              </w:rPr>
            </w:pPr>
            <w:r>
              <w:rPr>
                <w:rFonts w:ascii="Times New Roman" w:hAnsi="Times New Roman"/>
                <w:color w:val="auto"/>
                <w:szCs w:val="21"/>
                <w:highlight w:val="none"/>
                <w:lang w:eastAsia="en-US"/>
              </w:rPr>
              <w:t>海丰县</w:t>
            </w:r>
          </w:p>
        </w:tc>
        <w:tc>
          <w:tcPr>
            <w:tcW w:w="990" w:type="dxa"/>
            <w:tcBorders>
              <w:top w:val="single" w:color="000000" w:sz="2" w:space="0"/>
              <w:left w:val="single" w:color="000000" w:sz="2" w:space="0"/>
              <w:bottom w:val="single" w:color="000000" w:sz="2" w:space="0"/>
              <w:right w:val="single" w:color="auto" w:sz="4" w:space="0"/>
            </w:tcBorders>
            <w:vAlign w:val="center"/>
          </w:tcPr>
          <w:p>
            <w:pPr>
              <w:jc w:val="center"/>
              <w:rPr>
                <w:rFonts w:ascii="Times New Roman" w:hAnsi="Times New Roman"/>
                <w:color w:val="auto"/>
                <w:szCs w:val="21"/>
                <w:highlight w:val="none"/>
                <w:lang w:eastAsia="en-US"/>
              </w:rPr>
            </w:pPr>
            <w:r>
              <w:rPr>
                <w:rFonts w:ascii="Times New Roman" w:hAnsi="Times New Roman"/>
                <w:color w:val="auto"/>
                <w:szCs w:val="21"/>
                <w:highlight w:val="none"/>
              </w:rPr>
              <w:t>龙津河</w:t>
            </w:r>
          </w:p>
        </w:tc>
        <w:tc>
          <w:tcPr>
            <w:tcW w:w="1442" w:type="dxa"/>
            <w:tcBorders>
              <w:top w:val="single" w:color="000000" w:sz="2" w:space="0"/>
              <w:left w:val="single" w:color="auto" w:sz="4" w:space="0"/>
              <w:bottom w:val="single" w:color="000000" w:sz="2" w:space="0"/>
              <w:right w:val="single" w:color="000000" w:sz="2" w:space="0"/>
            </w:tcBorders>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4526.5</w:t>
            </w:r>
          </w:p>
        </w:tc>
        <w:tc>
          <w:tcPr>
            <w:tcW w:w="1442" w:type="dxa"/>
            <w:tcBorders>
              <w:top w:val="single" w:color="000000" w:sz="2" w:space="0"/>
              <w:left w:val="single" w:color="000000" w:sz="2" w:space="0"/>
              <w:bottom w:val="single" w:color="000000" w:sz="2" w:space="0"/>
              <w:right w:val="single" w:color="auto" w:sz="4" w:space="0"/>
            </w:tcBorders>
            <w:vAlign w:val="center"/>
          </w:tcPr>
          <w:p>
            <w:pPr>
              <w:jc w:val="center"/>
              <w:rPr>
                <w:rFonts w:ascii="Times New Roman" w:hAnsi="Times New Roman"/>
                <w:color w:val="auto"/>
                <w:szCs w:val="21"/>
                <w:highlight w:val="none"/>
                <w:lang w:eastAsia="en-US"/>
              </w:rPr>
            </w:pPr>
            <w:r>
              <w:rPr>
                <w:rFonts w:ascii="Times New Roman" w:hAnsi="Times New Roman"/>
                <w:color w:val="auto"/>
                <w:szCs w:val="21"/>
                <w:highlight w:val="none"/>
              </w:rPr>
              <w:t>9053</w:t>
            </w:r>
          </w:p>
        </w:tc>
        <w:tc>
          <w:tcPr>
            <w:tcW w:w="1442" w:type="dxa"/>
            <w:tcBorders>
              <w:top w:val="single" w:color="000000" w:sz="2" w:space="0"/>
              <w:left w:val="single" w:color="auto" w:sz="4" w:space="0"/>
              <w:bottom w:val="single" w:color="000000" w:sz="2" w:space="0"/>
              <w:right w:val="single" w:color="000000" w:sz="2" w:space="0"/>
            </w:tcBorders>
            <w:vAlign w:val="center"/>
          </w:tcPr>
          <w:p>
            <w:pPr>
              <w:jc w:val="center"/>
              <w:rPr>
                <w:rFonts w:ascii="Times New Roman" w:hAnsi="Times New Roman"/>
                <w:color w:val="auto"/>
                <w:szCs w:val="21"/>
                <w:highlight w:val="none"/>
                <w:lang w:eastAsia="en-US"/>
              </w:rPr>
            </w:pPr>
            <w:r>
              <w:rPr>
                <w:rFonts w:ascii="Times New Roman" w:hAnsi="Times New Roman"/>
                <w:color w:val="auto"/>
                <w:szCs w:val="21"/>
                <w:highlight w:val="none"/>
              </w:rPr>
              <w:t>7070.78</w:t>
            </w:r>
          </w:p>
        </w:tc>
        <w:tc>
          <w:tcPr>
            <w:tcW w:w="1445"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szCs w:val="21"/>
                <w:highlight w:val="none"/>
                <w:lang w:eastAsia="en-US"/>
              </w:rPr>
            </w:pPr>
            <w:r>
              <w:rPr>
                <w:rFonts w:ascii="Times New Roman" w:hAnsi="Times New Roman"/>
                <w:color w:val="auto"/>
                <w:szCs w:val="21"/>
                <w:highlight w:val="none"/>
              </w:rPr>
              <w:t>78.10</w:t>
            </w:r>
          </w:p>
        </w:tc>
      </w:tr>
    </w:tbl>
    <w:p>
      <w:pPr>
        <w:rPr>
          <w:rFonts w:ascii="Times New Roman" w:hAnsi="Times New Roman"/>
          <w:color w:val="auto"/>
          <w:highlight w:val="none"/>
        </w:rPr>
      </w:pPr>
      <w:bookmarkStart w:id="383" w:name="_Toc60499706"/>
      <w:bookmarkStart w:id="384" w:name="_Toc54451070"/>
    </w:p>
    <w:p>
      <w:pPr>
        <w:pStyle w:val="5"/>
        <w:rPr>
          <w:rFonts w:ascii="Times New Roman" w:hAnsi="Times New Roman" w:eastAsia="宋体"/>
          <w:color w:val="auto"/>
          <w:highlight w:val="none"/>
        </w:rPr>
      </w:pPr>
      <w:bookmarkStart w:id="385" w:name="_Toc1608"/>
      <w:bookmarkStart w:id="386" w:name="_Toc6770"/>
      <w:bookmarkStart w:id="387" w:name="_Toc27282"/>
      <w:bookmarkStart w:id="388" w:name="_Toc22451"/>
      <w:bookmarkStart w:id="389" w:name="_Toc32098"/>
      <w:bookmarkStart w:id="390" w:name="_Toc11098"/>
      <w:bookmarkStart w:id="391" w:name="_Toc60776397"/>
      <w:r>
        <w:rPr>
          <w:rFonts w:ascii="Times New Roman" w:hAnsi="Times New Roman" w:eastAsia="宋体"/>
          <w:color w:val="auto"/>
          <w:highlight w:val="none"/>
        </w:rPr>
        <w:t>三、建设管控</w:t>
      </w:r>
      <w:bookmarkEnd w:id="383"/>
      <w:bookmarkEnd w:id="384"/>
      <w:bookmarkEnd w:id="385"/>
      <w:bookmarkEnd w:id="386"/>
      <w:bookmarkEnd w:id="387"/>
      <w:bookmarkEnd w:id="388"/>
      <w:bookmarkEnd w:id="389"/>
      <w:bookmarkEnd w:id="390"/>
      <w:bookmarkEnd w:id="391"/>
    </w:p>
    <w:p>
      <w:pPr>
        <w:pStyle w:val="6"/>
        <w:rPr>
          <w:rFonts w:ascii="Times New Roman" w:hAnsi="Times New Roman"/>
          <w:color w:val="auto"/>
          <w:highlight w:val="none"/>
        </w:rPr>
      </w:pPr>
      <w:bookmarkStart w:id="392" w:name="_Toc54451071"/>
      <w:bookmarkStart w:id="393" w:name="_Toc17442"/>
      <w:bookmarkStart w:id="394" w:name="_Toc60776398"/>
      <w:bookmarkStart w:id="395" w:name="_Toc60499707"/>
      <w:r>
        <w:rPr>
          <w:rFonts w:ascii="Times New Roman" w:hAnsi="Times New Roman"/>
          <w:color w:val="auto"/>
          <w:highlight w:val="none"/>
        </w:rPr>
        <w:t>20、绿地系统规划执行和建设管理</w:t>
      </w:r>
      <w:bookmarkEnd w:id="392"/>
      <w:bookmarkEnd w:id="393"/>
      <w:bookmarkEnd w:id="394"/>
      <w:bookmarkEnd w:id="395"/>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w:t>
      </w:r>
      <w:r>
        <w:rPr>
          <w:rFonts w:hint="default" w:ascii="Times New Roman" w:hAnsi="Times New Roman" w:cs="Times New Roman"/>
          <w:color w:val="auto"/>
          <w:sz w:val="24"/>
          <w:highlight w:val="none"/>
        </w:rPr>
        <w:t>①</w:t>
      </w:r>
      <w:r>
        <w:rPr>
          <w:rFonts w:ascii="Times New Roman" w:hAnsi="Times New Roman"/>
          <w:color w:val="auto"/>
          <w:sz w:val="24"/>
          <w:highlight w:val="none"/>
        </w:rPr>
        <w:t>绿地系统规划得到有效执行，绿地建设符合规划；</w:t>
      </w:r>
      <w:r>
        <w:rPr>
          <w:rFonts w:hint="default" w:ascii="Times New Roman" w:hAnsi="Times New Roman" w:cs="Times New Roman"/>
          <w:color w:val="auto"/>
          <w:sz w:val="24"/>
          <w:highlight w:val="none"/>
        </w:rPr>
        <w:t>②</w:t>
      </w:r>
      <w:r>
        <w:rPr>
          <w:rFonts w:ascii="Times New Roman" w:hAnsi="Times New Roman"/>
          <w:color w:val="auto"/>
          <w:sz w:val="24"/>
          <w:highlight w:val="none"/>
        </w:rPr>
        <w:t>绿化建设成果得到有效保护，规划绿地性质无改变；</w:t>
      </w:r>
      <w:r>
        <w:rPr>
          <w:rFonts w:hint="default" w:ascii="Times New Roman" w:hAnsi="Times New Roman" w:cs="Times New Roman"/>
          <w:color w:val="auto"/>
          <w:sz w:val="24"/>
          <w:highlight w:val="none"/>
        </w:rPr>
        <w:t>③</w:t>
      </w:r>
      <w:r>
        <w:rPr>
          <w:rFonts w:ascii="Times New Roman" w:hAnsi="Times New Roman"/>
          <w:color w:val="auto"/>
          <w:sz w:val="24"/>
          <w:highlight w:val="none"/>
        </w:rPr>
        <w:t>园林绿化主管部门参与公园绿地建设项目设计和项目竣工验收。</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调查结果：海丰县正编制绿地系统规划，</w:t>
      </w:r>
      <w:r>
        <w:rPr>
          <w:rFonts w:ascii="Times New Roman" w:hAnsi="Times New Roman"/>
          <w:b/>
          <w:bCs/>
          <w:color w:val="auto"/>
          <w:sz w:val="24"/>
          <w:highlight w:val="none"/>
        </w:rPr>
        <w:t>该项暂不达标</w:t>
      </w:r>
      <w:r>
        <w:rPr>
          <w:rFonts w:ascii="Times New Roman" w:hAnsi="Times New Roman"/>
          <w:color w:val="auto"/>
          <w:sz w:val="24"/>
          <w:highlight w:val="none"/>
        </w:rPr>
        <w:t>。</w:t>
      </w:r>
    </w:p>
    <w:p>
      <w:pPr>
        <w:pStyle w:val="6"/>
        <w:rPr>
          <w:rFonts w:ascii="Times New Roman" w:hAnsi="Times New Roman"/>
          <w:color w:val="auto"/>
          <w:highlight w:val="none"/>
        </w:rPr>
      </w:pPr>
      <w:bookmarkStart w:id="396" w:name="_Toc60776399"/>
      <w:bookmarkStart w:id="397" w:name="_Toc25109"/>
      <w:bookmarkStart w:id="398" w:name="_Toc60499708"/>
      <w:bookmarkStart w:id="399" w:name="_Toc54451072"/>
      <w:r>
        <w:rPr>
          <w:rFonts w:ascii="Times New Roman" w:hAnsi="Times New Roman"/>
          <w:color w:val="auto"/>
          <w:highlight w:val="none"/>
        </w:rPr>
        <w:t>21、大树移植、行道树树种更换等控制管理</w:t>
      </w:r>
      <w:bookmarkEnd w:id="396"/>
      <w:bookmarkEnd w:id="397"/>
      <w:bookmarkEnd w:id="398"/>
      <w:bookmarkEnd w:id="399"/>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w:t>
      </w:r>
      <w:r>
        <w:rPr>
          <w:rFonts w:hint="default" w:ascii="Times New Roman" w:hAnsi="Times New Roman" w:cs="Times New Roman"/>
          <w:color w:val="auto"/>
          <w:sz w:val="24"/>
          <w:highlight w:val="none"/>
        </w:rPr>
        <w:t>①</w:t>
      </w:r>
      <w:r>
        <w:rPr>
          <w:rFonts w:ascii="Times New Roman" w:hAnsi="Times New Roman"/>
          <w:color w:val="auto"/>
          <w:sz w:val="24"/>
          <w:highlight w:val="none"/>
        </w:rPr>
        <w:t>制定严格控制大树移植及随意更换行道树树种的制度或管控措施，并落实良好；</w:t>
      </w:r>
      <w:r>
        <w:rPr>
          <w:rFonts w:hint="default" w:ascii="Times New Roman" w:hAnsi="Times New Roman" w:cs="Times New Roman"/>
          <w:color w:val="auto"/>
          <w:sz w:val="24"/>
          <w:highlight w:val="none"/>
        </w:rPr>
        <w:t>②</w:t>
      </w:r>
      <w:r>
        <w:rPr>
          <w:rFonts w:ascii="Times New Roman" w:hAnsi="Times New Roman"/>
          <w:color w:val="auto"/>
          <w:sz w:val="24"/>
          <w:highlight w:val="none"/>
        </w:rPr>
        <w:t>近2年（含申报年），公园绿地、道路绿化建设或改、扩建中未曾发生大规模、未经专家论证及社会公示认可而更换行道树树种等现象。</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w:t>
      </w:r>
      <w:r>
        <w:rPr>
          <w:rFonts w:hint="default" w:ascii="Times New Roman" w:hAnsi="Times New Roman" w:cs="Times New Roman"/>
          <w:color w:val="auto"/>
          <w:sz w:val="24"/>
          <w:highlight w:val="none"/>
        </w:rPr>
        <w:t>①</w:t>
      </w:r>
      <w:r>
        <w:rPr>
          <w:rFonts w:ascii="Times New Roman" w:hAnsi="Times New Roman"/>
          <w:color w:val="auto"/>
          <w:sz w:val="24"/>
          <w:highlight w:val="none"/>
        </w:rPr>
        <w:t>近2年（含申报年），海丰县在公园绿地、道路绿化建设或改、扩建中未曾发生大规模、未经专家论证及社会公示认可而更换行道树树种等现象。</w:t>
      </w:r>
      <w:r>
        <w:rPr>
          <w:rFonts w:hint="default" w:ascii="Times New Roman" w:hAnsi="Times New Roman" w:cs="Times New Roman"/>
          <w:color w:val="auto"/>
          <w:sz w:val="24"/>
          <w:highlight w:val="none"/>
        </w:rPr>
        <w:t>②</w:t>
      </w:r>
      <w:r>
        <w:rPr>
          <w:rFonts w:ascii="Times New Roman" w:hAnsi="Times New Roman"/>
          <w:color w:val="auto"/>
          <w:sz w:val="24"/>
          <w:highlight w:val="none"/>
        </w:rPr>
        <w:t>海丰县未制定严格的大树移植及随意更换行道树树种的制度或管控措施，</w:t>
      </w:r>
      <w:r>
        <w:rPr>
          <w:rFonts w:ascii="Times New Roman" w:hAnsi="Times New Roman"/>
          <w:b/>
          <w:bCs/>
          <w:color w:val="auto"/>
          <w:sz w:val="24"/>
          <w:highlight w:val="none"/>
        </w:rPr>
        <w:t>为缺失性指标</w:t>
      </w:r>
      <w:r>
        <w:rPr>
          <w:rFonts w:ascii="Times New Roman" w:hAnsi="Times New Roman"/>
          <w:color w:val="auto"/>
          <w:sz w:val="24"/>
          <w:highlight w:val="none"/>
        </w:rPr>
        <w:t>。</w:t>
      </w:r>
    </w:p>
    <w:p>
      <w:pPr>
        <w:spacing w:line="360" w:lineRule="auto"/>
        <w:rPr>
          <w:rFonts w:ascii="Times New Roman" w:hAnsi="Times New Roman"/>
          <w:color w:val="auto"/>
          <w:sz w:val="24"/>
          <w:highlight w:val="none"/>
        </w:rPr>
      </w:pPr>
    </w:p>
    <w:p>
      <w:pPr>
        <w:pStyle w:val="6"/>
        <w:rPr>
          <w:rFonts w:ascii="Times New Roman" w:hAnsi="Times New Roman"/>
          <w:color w:val="auto"/>
          <w:highlight w:val="none"/>
        </w:rPr>
      </w:pPr>
      <w:bookmarkStart w:id="400" w:name="_Toc19096"/>
      <w:bookmarkStart w:id="401" w:name="_Toc54451073"/>
      <w:bookmarkStart w:id="402" w:name="_Toc60776400"/>
      <w:bookmarkStart w:id="403" w:name="_Toc60499709"/>
      <w:r>
        <w:rPr>
          <w:rFonts w:ascii="Times New Roman" w:hAnsi="Times New Roman"/>
          <w:color w:val="auto"/>
          <w:highlight w:val="none"/>
        </w:rPr>
        <w:t>22、公园规范化管理</w:t>
      </w:r>
      <w:bookmarkEnd w:id="400"/>
      <w:bookmarkEnd w:id="401"/>
      <w:bookmarkEnd w:id="402"/>
      <w:bookmarkEnd w:id="403"/>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w:t>
      </w:r>
      <w:r>
        <w:rPr>
          <w:rFonts w:hint="default" w:ascii="Times New Roman" w:hAnsi="Times New Roman" w:cs="Times New Roman"/>
          <w:color w:val="auto"/>
          <w:sz w:val="24"/>
          <w:highlight w:val="none"/>
        </w:rPr>
        <w:t>①</w:t>
      </w:r>
      <w:r>
        <w:rPr>
          <w:rFonts w:ascii="Times New Roman" w:hAnsi="Times New Roman"/>
          <w:color w:val="auto"/>
          <w:sz w:val="24"/>
          <w:highlight w:val="none"/>
        </w:rPr>
        <w:t>公园免费开放率100%；</w:t>
      </w:r>
      <w:r>
        <w:rPr>
          <w:rFonts w:hint="default" w:ascii="Times New Roman" w:hAnsi="Times New Roman" w:cs="Times New Roman"/>
          <w:color w:val="auto"/>
          <w:sz w:val="24"/>
          <w:highlight w:val="none"/>
        </w:rPr>
        <w:t>②</w:t>
      </w:r>
      <w:r>
        <w:rPr>
          <w:rFonts w:ascii="Times New Roman" w:hAnsi="Times New Roman"/>
          <w:color w:val="auto"/>
          <w:sz w:val="24"/>
          <w:highlight w:val="none"/>
        </w:rPr>
        <w:t>公园设计符合《公园设计规范》等相关标准规范要求，公园功能完善，设施完好,安全运行；</w:t>
      </w:r>
      <w:r>
        <w:rPr>
          <w:rFonts w:hint="default" w:ascii="Times New Roman" w:hAnsi="Times New Roman" w:cs="Times New Roman"/>
          <w:color w:val="auto"/>
          <w:sz w:val="24"/>
          <w:highlight w:val="none"/>
        </w:rPr>
        <w:t>③</w:t>
      </w:r>
      <w:r>
        <w:rPr>
          <w:rFonts w:ascii="Times New Roman" w:hAnsi="Times New Roman"/>
          <w:color w:val="auto"/>
          <w:sz w:val="24"/>
          <w:highlight w:val="none"/>
        </w:rPr>
        <w:t>公园配套服务设施经营管理符合《城市公园配套服务项目经营管理暂行办法》等要求，保障公园的公益属性。</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计算方法：公园免费开放率（%）=城市建成区内免费开放的公园数量（个）/城市建成区内公园总数量（个）×100%</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城市建成区内免费开放的公园数量8个，城市建成区内公园总数量8个，公园免费开放率100%，公园设计符合《公园设计规范》等，配套服务设施经营管理符合《城市公园配套服务项目经营管理暂行办法》等，</w:t>
      </w:r>
      <w:r>
        <w:rPr>
          <w:rFonts w:ascii="Times New Roman" w:hAnsi="Times New Roman"/>
          <w:b/>
          <w:color w:val="auto"/>
          <w:sz w:val="24"/>
          <w:highlight w:val="none"/>
        </w:rPr>
        <w:t>该项达标</w:t>
      </w:r>
      <w:r>
        <w:rPr>
          <w:rFonts w:ascii="Times New Roman" w:hAnsi="Times New Roman"/>
          <w:color w:val="auto"/>
          <w:sz w:val="24"/>
          <w:highlight w:val="none"/>
        </w:rPr>
        <w:t>。</w:t>
      </w:r>
    </w:p>
    <w:p>
      <w:pPr>
        <w:spacing w:line="360" w:lineRule="auto"/>
        <w:jc w:val="center"/>
        <w:rPr>
          <w:rFonts w:ascii="Times New Roman" w:hAnsi="Times New Roman"/>
          <w:b/>
          <w:color w:val="auto"/>
          <w:sz w:val="24"/>
          <w:highlight w:val="none"/>
        </w:rPr>
      </w:pPr>
      <w:r>
        <w:rPr>
          <w:rFonts w:ascii="Times New Roman" w:hAnsi="Times New Roman"/>
          <w:b/>
          <w:color w:val="auto"/>
          <w:sz w:val="24"/>
          <w:highlight w:val="none"/>
        </w:rPr>
        <w:t>表3-1</w:t>
      </w:r>
      <w:r>
        <w:rPr>
          <w:rFonts w:ascii="Times New Roman" w:hAnsi="Times New Roman"/>
          <w:b/>
          <w:color w:val="auto"/>
          <w:sz w:val="24"/>
          <w:highlight w:val="none"/>
        </w:rPr>
        <w:tab/>
      </w:r>
      <w:r>
        <w:rPr>
          <w:rFonts w:ascii="Times New Roman" w:hAnsi="Times New Roman"/>
          <w:b/>
          <w:color w:val="auto"/>
          <w:sz w:val="24"/>
          <w:highlight w:val="none"/>
        </w:rPr>
        <w:t>海丰县免费开放公园统计表</w:t>
      </w:r>
    </w:p>
    <w:tbl>
      <w:tblPr>
        <w:tblStyle w:val="20"/>
        <w:tblW w:w="8327" w:type="dxa"/>
        <w:tblInd w:w="98" w:type="dxa"/>
        <w:tblLayout w:type="fixed"/>
        <w:tblCellMar>
          <w:top w:w="0" w:type="dxa"/>
          <w:left w:w="0" w:type="dxa"/>
          <w:bottom w:w="0" w:type="dxa"/>
          <w:right w:w="0" w:type="dxa"/>
        </w:tblCellMar>
      </w:tblPr>
      <w:tblGrid>
        <w:gridCol w:w="633"/>
        <w:gridCol w:w="1506"/>
        <w:gridCol w:w="2161"/>
        <w:gridCol w:w="2333"/>
        <w:gridCol w:w="1033"/>
        <w:gridCol w:w="661"/>
      </w:tblGrid>
      <w:tr>
        <w:tblPrEx>
          <w:tblCellMar>
            <w:top w:w="0" w:type="dxa"/>
            <w:left w:w="0" w:type="dxa"/>
            <w:bottom w:w="0" w:type="dxa"/>
            <w:right w:w="0" w:type="dxa"/>
          </w:tblCellMar>
        </w:tblPrEx>
        <w:trPr>
          <w:trHeight w:val="883" w:hRule="exact"/>
          <w:tblHeader/>
        </w:trPr>
        <w:tc>
          <w:tcPr>
            <w:tcW w:w="633"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color w:val="auto"/>
                <w:highlight w:val="none"/>
              </w:rPr>
            </w:pPr>
            <w:r>
              <w:rPr>
                <w:rFonts w:ascii="Times New Roman" w:hAnsi="Times New Roman"/>
                <w:b/>
                <w:color w:val="auto"/>
                <w:highlight w:val="none"/>
              </w:rPr>
              <w:t>序号</w:t>
            </w:r>
          </w:p>
        </w:tc>
        <w:tc>
          <w:tcPr>
            <w:tcW w:w="1506"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color w:val="auto"/>
                <w:highlight w:val="none"/>
              </w:rPr>
            </w:pPr>
            <w:r>
              <w:rPr>
                <w:rFonts w:ascii="Times New Roman" w:hAnsi="Times New Roman"/>
                <w:b/>
                <w:color w:val="auto"/>
                <w:highlight w:val="none"/>
              </w:rPr>
              <w:t>行政区</w:t>
            </w:r>
          </w:p>
        </w:tc>
        <w:tc>
          <w:tcPr>
            <w:tcW w:w="2161"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color w:val="auto"/>
                <w:highlight w:val="none"/>
              </w:rPr>
            </w:pPr>
            <w:r>
              <w:rPr>
                <w:rFonts w:ascii="Times New Roman" w:hAnsi="Times New Roman"/>
                <w:b/>
                <w:color w:val="auto"/>
                <w:highlight w:val="none"/>
              </w:rPr>
              <w:t>名称</w:t>
            </w:r>
          </w:p>
        </w:tc>
        <w:tc>
          <w:tcPr>
            <w:tcW w:w="2333"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color w:val="auto"/>
                <w:highlight w:val="none"/>
              </w:rPr>
            </w:pPr>
            <w:r>
              <w:rPr>
                <w:rFonts w:ascii="Times New Roman" w:hAnsi="Times New Roman"/>
                <w:b/>
                <w:color w:val="auto"/>
                <w:highlight w:val="none"/>
              </w:rPr>
              <w:t>位置</w:t>
            </w:r>
          </w:p>
        </w:tc>
        <w:tc>
          <w:tcPr>
            <w:tcW w:w="1033"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color w:val="auto"/>
                <w:highlight w:val="none"/>
              </w:rPr>
            </w:pPr>
            <w:r>
              <w:rPr>
                <w:rFonts w:ascii="Times New Roman" w:hAnsi="Times New Roman"/>
                <w:b/>
                <w:color w:val="auto"/>
                <w:highlight w:val="none"/>
              </w:rPr>
              <w:t>面积</w:t>
            </w:r>
          </w:p>
          <w:p>
            <w:pPr>
              <w:jc w:val="center"/>
              <w:rPr>
                <w:rFonts w:ascii="Times New Roman" w:hAnsi="Times New Roman"/>
                <w:b/>
                <w:color w:val="auto"/>
                <w:highlight w:val="none"/>
              </w:rPr>
            </w:pPr>
            <w:r>
              <w:rPr>
                <w:rFonts w:ascii="Times New Roman" w:hAnsi="Times New Roman"/>
                <w:b/>
                <w:color w:val="auto"/>
                <w:highlight w:val="none"/>
              </w:rPr>
              <w:t>（hm）</w:t>
            </w:r>
          </w:p>
        </w:tc>
        <w:tc>
          <w:tcPr>
            <w:tcW w:w="661"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color w:val="auto"/>
                <w:highlight w:val="none"/>
              </w:rPr>
            </w:pPr>
            <w:r>
              <w:rPr>
                <w:rFonts w:ascii="Times New Roman" w:hAnsi="Times New Roman"/>
                <w:b/>
                <w:color w:val="auto"/>
                <w:highlight w:val="none"/>
              </w:rPr>
              <w:t>是否 免费</w:t>
            </w:r>
          </w:p>
        </w:tc>
      </w:tr>
      <w:tr>
        <w:tblPrEx>
          <w:tblCellMar>
            <w:top w:w="0" w:type="dxa"/>
            <w:left w:w="0" w:type="dxa"/>
            <w:bottom w:w="0" w:type="dxa"/>
            <w:right w:w="0" w:type="dxa"/>
          </w:tblCellMar>
        </w:tblPrEx>
        <w:trPr>
          <w:trHeight w:val="717" w:hRule="exact"/>
        </w:trPr>
        <w:tc>
          <w:tcPr>
            <w:tcW w:w="633"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1</w:t>
            </w:r>
          </w:p>
        </w:tc>
        <w:tc>
          <w:tcPr>
            <w:tcW w:w="1506"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海丰县</w:t>
            </w:r>
          </w:p>
        </w:tc>
        <w:tc>
          <w:tcPr>
            <w:tcW w:w="2161"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文天祥公园</w:t>
            </w:r>
          </w:p>
        </w:tc>
        <w:tc>
          <w:tcPr>
            <w:tcW w:w="2333"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海城镇新新园社区二环西路</w:t>
            </w:r>
          </w:p>
        </w:tc>
        <w:tc>
          <w:tcPr>
            <w:tcW w:w="1033"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3.50</w:t>
            </w:r>
          </w:p>
        </w:tc>
        <w:tc>
          <w:tcPr>
            <w:tcW w:w="661"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是</w:t>
            </w:r>
          </w:p>
        </w:tc>
      </w:tr>
      <w:tr>
        <w:tblPrEx>
          <w:tblCellMar>
            <w:top w:w="0" w:type="dxa"/>
            <w:left w:w="0" w:type="dxa"/>
            <w:bottom w:w="0" w:type="dxa"/>
            <w:right w:w="0" w:type="dxa"/>
          </w:tblCellMar>
        </w:tblPrEx>
        <w:trPr>
          <w:trHeight w:val="426" w:hRule="exact"/>
        </w:trPr>
        <w:tc>
          <w:tcPr>
            <w:tcW w:w="633"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2</w:t>
            </w:r>
          </w:p>
        </w:tc>
        <w:tc>
          <w:tcPr>
            <w:tcW w:w="1506"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海丰县</w:t>
            </w:r>
          </w:p>
        </w:tc>
        <w:tc>
          <w:tcPr>
            <w:tcW w:w="2161"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青年公园</w:t>
            </w:r>
          </w:p>
        </w:tc>
        <w:tc>
          <w:tcPr>
            <w:tcW w:w="2333"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海丰县海城镇永福路</w:t>
            </w:r>
          </w:p>
        </w:tc>
        <w:tc>
          <w:tcPr>
            <w:tcW w:w="1033"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11.90</w:t>
            </w:r>
          </w:p>
        </w:tc>
        <w:tc>
          <w:tcPr>
            <w:tcW w:w="661"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是</w:t>
            </w:r>
          </w:p>
        </w:tc>
      </w:tr>
      <w:tr>
        <w:tblPrEx>
          <w:tblCellMar>
            <w:top w:w="0" w:type="dxa"/>
            <w:left w:w="0" w:type="dxa"/>
            <w:bottom w:w="0" w:type="dxa"/>
            <w:right w:w="0" w:type="dxa"/>
          </w:tblCellMar>
        </w:tblPrEx>
        <w:trPr>
          <w:trHeight w:val="421" w:hRule="exact"/>
        </w:trPr>
        <w:tc>
          <w:tcPr>
            <w:tcW w:w="633"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3</w:t>
            </w:r>
          </w:p>
        </w:tc>
        <w:tc>
          <w:tcPr>
            <w:tcW w:w="1506"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海丰县</w:t>
            </w:r>
          </w:p>
        </w:tc>
        <w:tc>
          <w:tcPr>
            <w:tcW w:w="2161"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烈士陵园</w:t>
            </w:r>
          </w:p>
        </w:tc>
        <w:tc>
          <w:tcPr>
            <w:tcW w:w="2333"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海城红城大道西</w:t>
            </w:r>
          </w:p>
        </w:tc>
        <w:tc>
          <w:tcPr>
            <w:tcW w:w="1033"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11.00</w:t>
            </w:r>
          </w:p>
        </w:tc>
        <w:tc>
          <w:tcPr>
            <w:tcW w:w="661"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是</w:t>
            </w:r>
          </w:p>
        </w:tc>
      </w:tr>
      <w:tr>
        <w:tblPrEx>
          <w:tblCellMar>
            <w:top w:w="0" w:type="dxa"/>
            <w:left w:w="0" w:type="dxa"/>
            <w:bottom w:w="0" w:type="dxa"/>
            <w:right w:w="0" w:type="dxa"/>
          </w:tblCellMar>
        </w:tblPrEx>
        <w:trPr>
          <w:trHeight w:val="428" w:hRule="exact"/>
        </w:trPr>
        <w:tc>
          <w:tcPr>
            <w:tcW w:w="633"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4</w:t>
            </w:r>
          </w:p>
        </w:tc>
        <w:tc>
          <w:tcPr>
            <w:tcW w:w="1506"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海丰县</w:t>
            </w:r>
          </w:p>
        </w:tc>
        <w:tc>
          <w:tcPr>
            <w:tcW w:w="2161"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红宫红场旧址纪念馆</w:t>
            </w:r>
          </w:p>
        </w:tc>
        <w:tc>
          <w:tcPr>
            <w:tcW w:w="2333"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海城镇南门社区红场路</w:t>
            </w:r>
          </w:p>
        </w:tc>
        <w:tc>
          <w:tcPr>
            <w:tcW w:w="1033"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2.42</w:t>
            </w:r>
          </w:p>
        </w:tc>
        <w:tc>
          <w:tcPr>
            <w:tcW w:w="661"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是</w:t>
            </w:r>
          </w:p>
        </w:tc>
      </w:tr>
      <w:tr>
        <w:tblPrEx>
          <w:tblCellMar>
            <w:top w:w="0" w:type="dxa"/>
            <w:left w:w="0" w:type="dxa"/>
            <w:bottom w:w="0" w:type="dxa"/>
            <w:right w:w="0" w:type="dxa"/>
          </w:tblCellMar>
        </w:tblPrEx>
        <w:trPr>
          <w:trHeight w:val="420" w:hRule="exact"/>
        </w:trPr>
        <w:tc>
          <w:tcPr>
            <w:tcW w:w="633"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5</w:t>
            </w:r>
          </w:p>
        </w:tc>
        <w:tc>
          <w:tcPr>
            <w:tcW w:w="1506"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海丰县</w:t>
            </w:r>
          </w:p>
        </w:tc>
        <w:tc>
          <w:tcPr>
            <w:tcW w:w="2161"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南门湖小游园</w:t>
            </w:r>
          </w:p>
        </w:tc>
        <w:tc>
          <w:tcPr>
            <w:tcW w:w="2333"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海丽大道</w:t>
            </w:r>
          </w:p>
        </w:tc>
        <w:tc>
          <w:tcPr>
            <w:tcW w:w="1033"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3.30</w:t>
            </w:r>
          </w:p>
        </w:tc>
        <w:tc>
          <w:tcPr>
            <w:tcW w:w="661"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是</w:t>
            </w:r>
          </w:p>
        </w:tc>
      </w:tr>
      <w:tr>
        <w:tblPrEx>
          <w:tblCellMar>
            <w:top w:w="0" w:type="dxa"/>
            <w:left w:w="0" w:type="dxa"/>
            <w:bottom w:w="0" w:type="dxa"/>
            <w:right w:w="0" w:type="dxa"/>
          </w:tblCellMar>
        </w:tblPrEx>
        <w:trPr>
          <w:trHeight w:val="426" w:hRule="exact"/>
        </w:trPr>
        <w:tc>
          <w:tcPr>
            <w:tcW w:w="633"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6</w:t>
            </w:r>
          </w:p>
        </w:tc>
        <w:tc>
          <w:tcPr>
            <w:tcW w:w="1506"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海丰县</w:t>
            </w:r>
          </w:p>
        </w:tc>
        <w:tc>
          <w:tcPr>
            <w:tcW w:w="2161"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龙山公园</w:t>
            </w:r>
          </w:p>
        </w:tc>
        <w:tc>
          <w:tcPr>
            <w:tcW w:w="2333"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龙山新邨二巷南</w:t>
            </w:r>
          </w:p>
        </w:tc>
        <w:tc>
          <w:tcPr>
            <w:tcW w:w="1033"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2.12</w:t>
            </w:r>
          </w:p>
        </w:tc>
        <w:tc>
          <w:tcPr>
            <w:tcW w:w="661"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是</w:t>
            </w:r>
          </w:p>
        </w:tc>
      </w:tr>
      <w:tr>
        <w:tblPrEx>
          <w:tblCellMar>
            <w:top w:w="0" w:type="dxa"/>
            <w:left w:w="0" w:type="dxa"/>
            <w:bottom w:w="0" w:type="dxa"/>
            <w:right w:w="0" w:type="dxa"/>
          </w:tblCellMar>
        </w:tblPrEx>
        <w:trPr>
          <w:trHeight w:val="431" w:hRule="exact"/>
        </w:trPr>
        <w:tc>
          <w:tcPr>
            <w:tcW w:w="633"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7</w:t>
            </w:r>
          </w:p>
        </w:tc>
        <w:tc>
          <w:tcPr>
            <w:tcW w:w="1506"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海丰县</w:t>
            </w:r>
          </w:p>
        </w:tc>
        <w:tc>
          <w:tcPr>
            <w:tcW w:w="2161"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龙津西二路小游园</w:t>
            </w:r>
          </w:p>
        </w:tc>
        <w:tc>
          <w:tcPr>
            <w:tcW w:w="2333"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龙津西二路</w:t>
            </w:r>
          </w:p>
        </w:tc>
        <w:tc>
          <w:tcPr>
            <w:tcW w:w="1033"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0.26</w:t>
            </w:r>
          </w:p>
        </w:tc>
        <w:tc>
          <w:tcPr>
            <w:tcW w:w="661"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是</w:t>
            </w:r>
          </w:p>
        </w:tc>
      </w:tr>
      <w:tr>
        <w:tblPrEx>
          <w:tblCellMar>
            <w:top w:w="0" w:type="dxa"/>
            <w:left w:w="0" w:type="dxa"/>
            <w:bottom w:w="0" w:type="dxa"/>
            <w:right w:w="0" w:type="dxa"/>
          </w:tblCellMar>
        </w:tblPrEx>
        <w:trPr>
          <w:trHeight w:val="424" w:hRule="exact"/>
        </w:trPr>
        <w:tc>
          <w:tcPr>
            <w:tcW w:w="633"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8</w:t>
            </w:r>
          </w:p>
        </w:tc>
        <w:tc>
          <w:tcPr>
            <w:tcW w:w="1506"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海丰县</w:t>
            </w:r>
          </w:p>
        </w:tc>
        <w:tc>
          <w:tcPr>
            <w:tcW w:w="2161"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金山公园</w:t>
            </w:r>
          </w:p>
        </w:tc>
        <w:tc>
          <w:tcPr>
            <w:tcW w:w="2333"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二环北路</w:t>
            </w:r>
          </w:p>
        </w:tc>
        <w:tc>
          <w:tcPr>
            <w:tcW w:w="1033"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2.86</w:t>
            </w:r>
          </w:p>
        </w:tc>
        <w:tc>
          <w:tcPr>
            <w:tcW w:w="661"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是</w:t>
            </w:r>
          </w:p>
        </w:tc>
      </w:tr>
    </w:tbl>
    <w:p>
      <w:pPr>
        <w:rPr>
          <w:rFonts w:ascii="Times New Roman" w:hAnsi="Times New Roman"/>
          <w:color w:val="auto"/>
          <w:highlight w:val="none"/>
        </w:rPr>
      </w:pPr>
      <w:bookmarkStart w:id="404" w:name="_Toc60499710"/>
      <w:bookmarkStart w:id="405" w:name="_Toc54451074"/>
    </w:p>
    <w:p>
      <w:pPr>
        <w:pStyle w:val="6"/>
        <w:rPr>
          <w:rFonts w:ascii="Times New Roman" w:hAnsi="Times New Roman"/>
          <w:color w:val="auto"/>
          <w:highlight w:val="none"/>
        </w:rPr>
      </w:pPr>
      <w:bookmarkStart w:id="406" w:name="_Toc60776401"/>
      <w:bookmarkStart w:id="407" w:name="_Toc16173"/>
      <w:r>
        <w:rPr>
          <w:rFonts w:ascii="Times New Roman" w:hAnsi="Times New Roman"/>
          <w:color w:val="auto"/>
          <w:highlight w:val="none"/>
        </w:rPr>
        <w:t>23、公园绿地应急避险功能完善建设</w:t>
      </w:r>
      <w:bookmarkEnd w:id="404"/>
      <w:bookmarkEnd w:id="405"/>
      <w:bookmarkEnd w:id="406"/>
      <w:bookmarkEnd w:id="407"/>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w:t>
      </w:r>
      <w:r>
        <w:rPr>
          <w:rFonts w:hint="default" w:ascii="Times New Roman" w:hAnsi="Times New Roman" w:cs="Times New Roman"/>
          <w:color w:val="auto"/>
          <w:sz w:val="24"/>
          <w:highlight w:val="none"/>
        </w:rPr>
        <w:t>①</w:t>
      </w:r>
      <w:r>
        <w:rPr>
          <w:rFonts w:ascii="Times New Roman" w:hAnsi="Times New Roman"/>
          <w:color w:val="auto"/>
          <w:sz w:val="24"/>
          <w:highlight w:val="none"/>
        </w:rPr>
        <w:t>在全面摸底评估的基础上，编制《绿地系统防灾避险规划》或在《绿地系统规划》中有专章；</w:t>
      </w:r>
      <w:r>
        <w:rPr>
          <w:rFonts w:hint="default" w:ascii="Times New Roman" w:hAnsi="Times New Roman" w:cs="Times New Roman"/>
          <w:color w:val="auto"/>
          <w:sz w:val="24"/>
          <w:highlight w:val="none"/>
        </w:rPr>
        <w:t>②</w:t>
      </w:r>
      <w:r>
        <w:rPr>
          <w:rFonts w:ascii="Times New Roman" w:hAnsi="Times New Roman"/>
          <w:color w:val="auto"/>
          <w:sz w:val="24"/>
          <w:highlight w:val="none"/>
        </w:rPr>
        <w:t>承担防灾避险功能的公园绿地中水、电、通讯、标识等设施符合相关标准规范要求。</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w:t>
      </w:r>
      <w:r>
        <w:rPr>
          <w:rFonts w:hint="default" w:ascii="Times New Roman" w:hAnsi="Times New Roman" w:cs="Times New Roman"/>
          <w:color w:val="auto"/>
          <w:sz w:val="24"/>
          <w:highlight w:val="none"/>
        </w:rPr>
        <w:t>①</w:t>
      </w:r>
      <w:r>
        <w:rPr>
          <w:rFonts w:ascii="Times New Roman" w:hAnsi="Times New Roman"/>
          <w:color w:val="auto"/>
          <w:sz w:val="24"/>
          <w:highlight w:val="none"/>
        </w:rPr>
        <w:t>在编制的《绿地系统规划》中有《绿地系统防灾避险规划》专章；</w:t>
      </w:r>
      <w:r>
        <w:rPr>
          <w:rFonts w:hint="default" w:ascii="Times New Roman" w:hAnsi="Times New Roman" w:cs="Times New Roman"/>
          <w:color w:val="auto"/>
          <w:sz w:val="24"/>
          <w:highlight w:val="none"/>
        </w:rPr>
        <w:t>②</w:t>
      </w:r>
      <w:r>
        <w:rPr>
          <w:rFonts w:ascii="Times New Roman" w:hAnsi="Times New Roman"/>
          <w:color w:val="auto"/>
          <w:sz w:val="24"/>
          <w:highlight w:val="none"/>
        </w:rPr>
        <w:t>承担防灾避险功能的公园绿地中水、电、通讯、标识等设施符合相关标准规范要求。</w:t>
      </w:r>
      <w:r>
        <w:rPr>
          <w:rFonts w:ascii="Times New Roman" w:hAnsi="Times New Roman"/>
          <w:b/>
          <w:bCs/>
          <w:color w:val="auto"/>
          <w:sz w:val="24"/>
          <w:highlight w:val="none"/>
        </w:rPr>
        <w:t>该项</w:t>
      </w:r>
      <w:r>
        <w:rPr>
          <w:rFonts w:hint="eastAsia" w:ascii="Times New Roman" w:hAnsi="Times New Roman"/>
          <w:b/>
          <w:bCs/>
          <w:color w:val="auto"/>
          <w:sz w:val="24"/>
          <w:highlight w:val="none"/>
        </w:rPr>
        <w:t>暂未达标</w:t>
      </w:r>
      <w:r>
        <w:rPr>
          <w:rFonts w:ascii="Times New Roman" w:hAnsi="Times New Roman"/>
          <w:color w:val="auto"/>
          <w:sz w:val="24"/>
          <w:highlight w:val="none"/>
        </w:rPr>
        <w:t>。</w:t>
      </w:r>
    </w:p>
    <w:p>
      <w:pPr>
        <w:pStyle w:val="6"/>
        <w:rPr>
          <w:rFonts w:ascii="Times New Roman" w:hAnsi="Times New Roman"/>
          <w:color w:val="auto"/>
          <w:highlight w:val="none"/>
        </w:rPr>
      </w:pPr>
      <w:bookmarkStart w:id="408" w:name="_Toc60499711"/>
      <w:bookmarkStart w:id="409" w:name="_Toc60776402"/>
      <w:bookmarkStart w:id="410" w:name="_Toc54451075"/>
      <w:bookmarkStart w:id="411" w:name="_Toc14214"/>
      <w:r>
        <w:rPr>
          <w:rFonts w:ascii="Times New Roman" w:hAnsi="Times New Roman"/>
          <w:color w:val="auto"/>
          <w:highlight w:val="none"/>
        </w:rPr>
        <w:t>24、绿道建设管理</w:t>
      </w:r>
      <w:bookmarkEnd w:id="408"/>
      <w:bookmarkEnd w:id="409"/>
      <w:bookmarkEnd w:id="410"/>
      <w:bookmarkEnd w:id="411"/>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w:t>
      </w:r>
      <w:r>
        <w:rPr>
          <w:rFonts w:hint="default" w:ascii="Times New Roman" w:hAnsi="Times New Roman" w:cs="Times New Roman"/>
          <w:color w:val="auto"/>
          <w:sz w:val="24"/>
          <w:highlight w:val="none"/>
        </w:rPr>
        <w:t>①</w:t>
      </w:r>
      <w:r>
        <w:rPr>
          <w:rFonts w:ascii="Times New Roman" w:hAnsi="Times New Roman"/>
          <w:color w:val="auto"/>
          <w:sz w:val="24"/>
          <w:highlight w:val="none"/>
        </w:rPr>
        <w:t>绿道建设符合《绿道规划设计导则》、《广东省绿道建设管理规定》（粤府令第191号）、《广东省城市绿道规划设计指引》的函（粤建规函〔2011〕460号）等相关标准规范要求等相关标准规范要求；</w:t>
      </w:r>
      <w:r>
        <w:rPr>
          <w:rFonts w:hint="default" w:ascii="Times New Roman" w:hAnsi="Times New Roman" w:cs="Times New Roman"/>
          <w:color w:val="auto"/>
          <w:sz w:val="24"/>
          <w:highlight w:val="none"/>
        </w:rPr>
        <w:t>②</w:t>
      </w:r>
      <w:r>
        <w:rPr>
          <w:rFonts w:ascii="Times New Roman" w:hAnsi="Times New Roman"/>
          <w:color w:val="auto"/>
          <w:sz w:val="24"/>
          <w:highlight w:val="none"/>
        </w:rPr>
        <w:t>绿道及配套设施维护管理良好。</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调查结果：青年水库河绿道，880m，</w:t>
      </w:r>
      <w:r>
        <w:rPr>
          <w:rFonts w:ascii="Times New Roman" w:hAnsi="Times New Roman"/>
          <w:b/>
          <w:bCs/>
          <w:color w:val="auto"/>
          <w:sz w:val="24"/>
          <w:highlight w:val="none"/>
        </w:rPr>
        <w:t>已达标</w:t>
      </w:r>
      <w:r>
        <w:rPr>
          <w:rFonts w:ascii="Times New Roman" w:hAnsi="Times New Roman"/>
          <w:color w:val="auto"/>
          <w:sz w:val="24"/>
          <w:highlight w:val="none"/>
        </w:rPr>
        <w:t>。</w:t>
      </w:r>
    </w:p>
    <w:p>
      <w:pPr>
        <w:pStyle w:val="6"/>
        <w:rPr>
          <w:rFonts w:ascii="Times New Roman" w:hAnsi="Times New Roman"/>
          <w:color w:val="auto"/>
          <w:highlight w:val="none"/>
        </w:rPr>
      </w:pPr>
      <w:bookmarkStart w:id="412" w:name="_Toc60776403"/>
      <w:bookmarkStart w:id="413" w:name="_Toc54451076"/>
      <w:bookmarkStart w:id="414" w:name="_Toc27363"/>
      <w:bookmarkStart w:id="415" w:name="_Toc60499712"/>
      <w:r>
        <w:rPr>
          <w:rFonts w:ascii="Times New Roman" w:hAnsi="Times New Roman"/>
          <w:color w:val="auto"/>
          <w:highlight w:val="none"/>
        </w:rPr>
        <w:t>25、古树名木及后备资源保护</w:t>
      </w:r>
      <w:bookmarkEnd w:id="412"/>
      <w:bookmarkEnd w:id="413"/>
      <w:bookmarkEnd w:id="414"/>
      <w:bookmarkEnd w:id="415"/>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w:t>
      </w:r>
      <w:r>
        <w:rPr>
          <w:rFonts w:hint="default" w:ascii="Times New Roman" w:hAnsi="Times New Roman" w:cs="Times New Roman"/>
          <w:color w:val="auto"/>
          <w:sz w:val="24"/>
          <w:highlight w:val="none"/>
        </w:rPr>
        <w:t>①</w:t>
      </w:r>
      <w:r>
        <w:rPr>
          <w:rFonts w:ascii="Times New Roman" w:hAnsi="Times New Roman"/>
          <w:color w:val="auto"/>
          <w:sz w:val="24"/>
          <w:highlight w:val="none"/>
        </w:rPr>
        <w:t>严禁移植古树名木，古树名木保护率100%；</w:t>
      </w:r>
      <w:r>
        <w:rPr>
          <w:rFonts w:hint="default" w:ascii="Times New Roman" w:hAnsi="Times New Roman" w:cs="Times New Roman"/>
          <w:color w:val="auto"/>
          <w:sz w:val="24"/>
          <w:highlight w:val="none"/>
        </w:rPr>
        <w:t>②</w:t>
      </w:r>
      <w:r>
        <w:rPr>
          <w:rFonts w:ascii="Times New Roman" w:hAnsi="Times New Roman"/>
          <w:color w:val="auto"/>
          <w:sz w:val="24"/>
          <w:highlight w:val="none"/>
        </w:rPr>
        <w:t>完成树龄超过50年（含）以上古树后备资源普查、建档、挂牌并确定保护责任单位或责任人。</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w:t>
      </w:r>
      <w:r>
        <w:rPr>
          <w:rFonts w:hint="default" w:ascii="Times New Roman" w:hAnsi="Times New Roman" w:cs="Times New Roman"/>
          <w:color w:val="auto"/>
          <w:sz w:val="24"/>
          <w:highlight w:val="none"/>
        </w:rPr>
        <w:t>①</w:t>
      </w:r>
      <w:r>
        <w:rPr>
          <w:rFonts w:ascii="Times New Roman" w:hAnsi="Times New Roman"/>
          <w:color w:val="auto"/>
          <w:sz w:val="24"/>
          <w:highlight w:val="none"/>
        </w:rPr>
        <w:t>海丰县严禁移植古树名木，古树名木保护率100%；</w:t>
      </w:r>
      <w:r>
        <w:rPr>
          <w:rFonts w:hint="default" w:ascii="Times New Roman" w:hAnsi="Times New Roman" w:cs="Times New Roman"/>
          <w:color w:val="auto"/>
          <w:sz w:val="24"/>
          <w:highlight w:val="none"/>
        </w:rPr>
        <w:t>②</w:t>
      </w:r>
      <w:r>
        <w:rPr>
          <w:rFonts w:ascii="Times New Roman" w:hAnsi="Times New Roman"/>
          <w:color w:val="auto"/>
          <w:sz w:val="24"/>
          <w:highlight w:val="none"/>
        </w:rPr>
        <w:t>已完成全县树龄100年以上古树名木普查工作，现存古树名木共计10科14属14种，144株。一级古树0株，占总数的0%，二级古树14株，占总数9.72%，三级古树130株，占总数90.28%。所有古树均已建档、挂牌并确定保护责任单位或责任人。由于树龄50-99年古树后备资源未进行普查、建档、挂牌并确定保护责任单位或责任人工作，</w:t>
      </w:r>
      <w:r>
        <w:rPr>
          <w:rFonts w:ascii="Times New Roman" w:hAnsi="Times New Roman"/>
          <w:b/>
          <w:color w:val="auto"/>
          <w:sz w:val="24"/>
          <w:highlight w:val="none"/>
        </w:rPr>
        <w:t>该项</w:t>
      </w:r>
      <w:r>
        <w:rPr>
          <w:rFonts w:hint="eastAsia" w:ascii="Times New Roman" w:hAnsi="Times New Roman"/>
          <w:b/>
          <w:color w:val="auto"/>
          <w:sz w:val="24"/>
          <w:highlight w:val="none"/>
        </w:rPr>
        <w:t>暂未达标</w:t>
      </w:r>
      <w:r>
        <w:rPr>
          <w:rFonts w:ascii="Times New Roman" w:hAnsi="Times New Roman"/>
          <w:b/>
          <w:color w:val="auto"/>
          <w:sz w:val="24"/>
          <w:highlight w:val="none"/>
        </w:rPr>
        <w:t>。</w:t>
      </w:r>
    </w:p>
    <w:p>
      <w:pPr>
        <w:pStyle w:val="6"/>
        <w:rPr>
          <w:rFonts w:ascii="Times New Roman" w:hAnsi="Times New Roman"/>
          <w:color w:val="auto"/>
          <w:highlight w:val="none"/>
        </w:rPr>
      </w:pPr>
      <w:bookmarkStart w:id="416" w:name="_Toc24451"/>
      <w:bookmarkStart w:id="417" w:name="_Toc60499713"/>
      <w:bookmarkStart w:id="418" w:name="_Toc54451077"/>
      <w:bookmarkStart w:id="419" w:name="_Toc60776404"/>
      <w:r>
        <w:rPr>
          <w:rFonts w:ascii="Times New Roman" w:hAnsi="Times New Roman"/>
          <w:color w:val="auto"/>
          <w:highlight w:val="none"/>
        </w:rPr>
        <w:t>26、节约型园林绿化建设</w:t>
      </w:r>
      <w:bookmarkEnd w:id="416"/>
      <w:bookmarkEnd w:id="417"/>
      <w:bookmarkEnd w:id="418"/>
      <w:bookmarkEnd w:id="419"/>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w:t>
      </w:r>
      <w:r>
        <w:rPr>
          <w:rFonts w:hint="default" w:ascii="Times New Roman" w:hAnsi="Times New Roman" w:cs="Times New Roman"/>
          <w:color w:val="auto"/>
          <w:sz w:val="24"/>
          <w:highlight w:val="none"/>
        </w:rPr>
        <w:t>①</w:t>
      </w:r>
      <w:r>
        <w:rPr>
          <w:rFonts w:ascii="Times New Roman" w:hAnsi="Times New Roman"/>
          <w:color w:val="auto"/>
          <w:sz w:val="24"/>
          <w:highlight w:val="none"/>
        </w:rPr>
        <w:t>园林绿化建设以植物造景为主，以栽植全冠苗木为主，采取有效措施严格控制大树移植、大广场、喷泉、水景、人工大水面、大草坪、大色块、假树假花、雕塑、灯具造景、过度亮化等；</w:t>
      </w:r>
      <w:r>
        <w:rPr>
          <w:rFonts w:hint="default" w:ascii="Times New Roman" w:hAnsi="Times New Roman" w:cs="Times New Roman"/>
          <w:color w:val="auto"/>
          <w:sz w:val="24"/>
          <w:highlight w:val="none"/>
        </w:rPr>
        <w:t>②</w:t>
      </w:r>
      <w:r>
        <w:rPr>
          <w:rFonts w:ascii="Times New Roman" w:hAnsi="Times New Roman"/>
          <w:color w:val="auto"/>
          <w:sz w:val="24"/>
          <w:highlight w:val="none"/>
        </w:rPr>
        <w:t>合理选择应用乡土、适生植物，严格控制反季节种植等。</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w:t>
      </w:r>
      <w:r>
        <w:rPr>
          <w:rFonts w:hint="default" w:ascii="Times New Roman" w:hAnsi="Times New Roman" w:cs="Times New Roman"/>
          <w:color w:val="auto"/>
          <w:sz w:val="24"/>
          <w:highlight w:val="none"/>
        </w:rPr>
        <w:t>①</w:t>
      </w:r>
      <w:r>
        <w:rPr>
          <w:rFonts w:ascii="Times New Roman" w:hAnsi="Times New Roman"/>
          <w:color w:val="auto"/>
          <w:sz w:val="24"/>
          <w:highlight w:val="none"/>
        </w:rPr>
        <w:t>海丰县园林绿化建设以植物造景为主，以栽植全冠苗木为主，采取了有效措施严格控制大树移植、大广场、喷泉、水景、人工大水面、大草坪、大色块、假树假花、雕塑、灯具造景、过度亮化等；</w:t>
      </w:r>
      <w:r>
        <w:rPr>
          <w:rFonts w:hint="default" w:ascii="Times New Roman" w:hAnsi="Times New Roman" w:cs="Times New Roman"/>
          <w:color w:val="auto"/>
          <w:sz w:val="24"/>
          <w:highlight w:val="none"/>
        </w:rPr>
        <w:t>②</w:t>
      </w:r>
      <w:r>
        <w:rPr>
          <w:rFonts w:ascii="Times New Roman" w:hAnsi="Times New Roman"/>
          <w:color w:val="auto"/>
          <w:sz w:val="24"/>
          <w:highlight w:val="none"/>
        </w:rPr>
        <w:t>经过调查，海丰县本地树种比例约0.82，乡土树种丰富，</w:t>
      </w:r>
      <w:r>
        <w:rPr>
          <w:rFonts w:ascii="Times New Roman" w:hAnsi="Times New Roman"/>
          <w:b/>
          <w:color w:val="auto"/>
          <w:sz w:val="24"/>
          <w:highlight w:val="none"/>
        </w:rPr>
        <w:t>已达标</w:t>
      </w:r>
      <w:r>
        <w:rPr>
          <w:rFonts w:ascii="Times New Roman" w:hAnsi="Times New Roman"/>
          <w:color w:val="auto"/>
          <w:sz w:val="24"/>
          <w:highlight w:val="none"/>
        </w:rPr>
        <w:t>。</w:t>
      </w:r>
    </w:p>
    <w:p>
      <w:pPr>
        <w:pStyle w:val="6"/>
        <w:rPr>
          <w:rFonts w:ascii="Times New Roman" w:hAnsi="Times New Roman"/>
          <w:color w:val="auto"/>
          <w:highlight w:val="none"/>
        </w:rPr>
      </w:pPr>
      <w:bookmarkStart w:id="420" w:name="_Toc54451078"/>
      <w:bookmarkStart w:id="421" w:name="_Toc60776405"/>
      <w:bookmarkStart w:id="422" w:name="_Toc60499714"/>
      <w:bookmarkStart w:id="423" w:name="_Toc27051"/>
      <w:r>
        <w:rPr>
          <w:rFonts w:ascii="Times New Roman" w:hAnsi="Times New Roman"/>
          <w:color w:val="auto"/>
          <w:highlight w:val="none"/>
        </w:rPr>
        <w:t>27、立体绿化推广</w:t>
      </w:r>
      <w:bookmarkEnd w:id="420"/>
      <w:bookmarkEnd w:id="421"/>
      <w:bookmarkEnd w:id="422"/>
      <w:bookmarkEnd w:id="423"/>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指标要求：因地制宜制定立体绿化推广的鼓励政策、技术措施和实施方案，且效果明显。</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调查结果：海丰县未制定立体绿化相关鼓励政策、技术措施和实施方案，县城未有立体绿化项目，</w:t>
      </w:r>
      <w:r>
        <w:rPr>
          <w:rFonts w:ascii="Times New Roman" w:hAnsi="Times New Roman"/>
          <w:b/>
          <w:bCs/>
          <w:color w:val="auto"/>
          <w:sz w:val="24"/>
          <w:highlight w:val="none"/>
        </w:rPr>
        <w:t>该项为缺失性指标</w:t>
      </w:r>
      <w:r>
        <w:rPr>
          <w:rFonts w:ascii="Times New Roman" w:hAnsi="Times New Roman"/>
          <w:color w:val="auto"/>
          <w:sz w:val="24"/>
          <w:highlight w:val="none"/>
        </w:rPr>
        <w:t>。</w:t>
      </w:r>
    </w:p>
    <w:p>
      <w:pPr>
        <w:pStyle w:val="6"/>
        <w:rPr>
          <w:rFonts w:ascii="Times New Roman" w:hAnsi="Times New Roman"/>
          <w:color w:val="auto"/>
          <w:highlight w:val="none"/>
        </w:rPr>
      </w:pPr>
      <w:bookmarkStart w:id="424" w:name="_Toc60776406"/>
      <w:bookmarkStart w:id="425" w:name="_Toc60499715"/>
      <w:bookmarkStart w:id="426" w:name="_Toc54451079"/>
      <w:bookmarkStart w:id="427" w:name="_Toc5766"/>
      <w:r>
        <w:rPr>
          <w:rFonts w:ascii="Times New Roman" w:hAnsi="Times New Roman"/>
          <w:color w:val="auto"/>
          <w:highlight w:val="none"/>
        </w:rPr>
        <w:t>28、历史风貌保护</w:t>
      </w:r>
      <w:bookmarkEnd w:id="424"/>
      <w:bookmarkEnd w:id="425"/>
      <w:bookmarkEnd w:id="426"/>
      <w:bookmarkEnd w:id="427"/>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w:t>
      </w:r>
      <w:r>
        <w:rPr>
          <w:rFonts w:hint="default" w:ascii="Times New Roman" w:hAnsi="Times New Roman" w:cs="Times New Roman"/>
          <w:color w:val="auto"/>
          <w:sz w:val="24"/>
          <w:highlight w:val="none"/>
        </w:rPr>
        <w:t>①</w:t>
      </w:r>
      <w:r>
        <w:rPr>
          <w:rFonts w:ascii="Times New Roman" w:hAnsi="Times New Roman"/>
          <w:color w:val="auto"/>
          <w:sz w:val="24"/>
          <w:highlight w:val="none"/>
        </w:rPr>
        <w:t>制订县域内历史文化风貌保护规划及实施方案，并已获批准，实施效果良好；</w:t>
      </w:r>
      <w:r>
        <w:rPr>
          <w:rFonts w:hint="default" w:ascii="Times New Roman" w:hAnsi="Times New Roman" w:cs="Times New Roman"/>
          <w:color w:val="auto"/>
          <w:sz w:val="24"/>
          <w:highlight w:val="none"/>
        </w:rPr>
        <w:t>②</w:t>
      </w:r>
      <w:r>
        <w:rPr>
          <w:rFonts w:ascii="Times New Roman" w:hAnsi="Times New Roman"/>
          <w:color w:val="auto"/>
          <w:sz w:val="24"/>
          <w:highlight w:val="none"/>
        </w:rPr>
        <w:t>县城发展历史印迹清晰，老县城形态保存基本完好，县城历史文化街区、历史建筑得到有效保护；</w:t>
      </w:r>
      <w:r>
        <w:rPr>
          <w:rFonts w:hint="default" w:ascii="Times New Roman" w:hAnsi="Times New Roman" w:cs="Times New Roman"/>
          <w:color w:val="auto"/>
          <w:sz w:val="24"/>
          <w:highlight w:val="none"/>
        </w:rPr>
        <w:t>③</w:t>
      </w:r>
      <w:r>
        <w:rPr>
          <w:rFonts w:ascii="Times New Roman" w:hAnsi="Times New Roman"/>
          <w:color w:val="auto"/>
          <w:sz w:val="24"/>
          <w:highlight w:val="none"/>
        </w:rPr>
        <w:t>规划区内道路格局符合县城形态特征,尺度宜人,不盲目拓宽取直；</w:t>
      </w:r>
      <w:r>
        <w:rPr>
          <w:rFonts w:hint="default" w:ascii="Times New Roman" w:hAnsi="Times New Roman" w:cs="Times New Roman"/>
          <w:color w:val="auto"/>
          <w:sz w:val="24"/>
          <w:highlight w:val="none"/>
        </w:rPr>
        <w:t>④</w:t>
      </w:r>
      <w:r>
        <w:rPr>
          <w:rFonts w:ascii="Times New Roman" w:hAnsi="Times New Roman"/>
          <w:color w:val="auto"/>
          <w:sz w:val="24"/>
          <w:highlight w:val="none"/>
        </w:rPr>
        <w:t>不同历史发展阶段的代表性建筑保存完好，新建建筑具有地域特色和民族文化特征，风格协调统一。</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w:t>
      </w:r>
      <w:r>
        <w:rPr>
          <w:rFonts w:hint="default" w:ascii="Times New Roman" w:hAnsi="Times New Roman" w:cs="Times New Roman"/>
          <w:color w:val="auto"/>
          <w:sz w:val="24"/>
          <w:highlight w:val="none"/>
        </w:rPr>
        <w:t>①</w:t>
      </w:r>
      <w:r>
        <w:rPr>
          <w:rFonts w:ascii="Times New Roman" w:hAnsi="Times New Roman"/>
          <w:color w:val="auto"/>
          <w:sz w:val="24"/>
          <w:highlight w:val="none"/>
        </w:rPr>
        <w:t>《海丰县县城总体规划》已划定城市紫线，包括3处历史文化街区的核心保护范围和建设控制地带，总面积27.1公顷；国家级重点文物保护单位1处，省级文物保护单位4处；其余市、县级文物保护单位具体范围由下层次规划或专项规划划定后统一纳入紫线管控。城市紫线严格按照《城市紫线管理办法》实施管理。</w:t>
      </w:r>
      <w:r>
        <w:rPr>
          <w:rFonts w:hint="default" w:ascii="Times New Roman" w:hAnsi="Times New Roman" w:cs="Times New Roman"/>
          <w:color w:val="auto"/>
          <w:sz w:val="24"/>
          <w:highlight w:val="none"/>
        </w:rPr>
        <w:t>②</w:t>
      </w:r>
      <w:r>
        <w:rPr>
          <w:rFonts w:ascii="Times New Roman" w:hAnsi="Times New Roman"/>
          <w:color w:val="auto"/>
          <w:sz w:val="24"/>
          <w:highlight w:val="none"/>
        </w:rPr>
        <w:t>海丰县</w:t>
      </w:r>
      <w:r>
        <w:rPr>
          <w:rFonts w:hint="eastAsia" w:ascii="Times New Roman" w:hAnsi="Times New Roman"/>
          <w:color w:val="auto"/>
          <w:sz w:val="24"/>
          <w:highlight w:val="none"/>
        </w:rPr>
        <w:t>共</w:t>
      </w:r>
      <w:r>
        <w:rPr>
          <w:rFonts w:ascii="Times New Roman" w:hAnsi="Times New Roman"/>
          <w:color w:val="auto"/>
          <w:sz w:val="24"/>
          <w:highlight w:val="none"/>
        </w:rPr>
        <w:t>有3处历史文化街区，分别为红宫红场历史文化街区、人民南路-红场路历史文化街区、中山西路-中山中路历史文化街区，核心保护范围7.95公顷；</w:t>
      </w:r>
      <w:r>
        <w:rPr>
          <w:rFonts w:hint="default" w:ascii="Times New Roman" w:hAnsi="Times New Roman" w:cs="Times New Roman"/>
          <w:color w:val="auto"/>
          <w:sz w:val="24"/>
          <w:highlight w:val="none"/>
        </w:rPr>
        <w:t>③</w:t>
      </w:r>
      <w:r>
        <w:rPr>
          <w:rFonts w:ascii="Times New Roman" w:hAnsi="Times New Roman"/>
          <w:color w:val="auto"/>
          <w:sz w:val="24"/>
          <w:highlight w:val="none"/>
        </w:rPr>
        <w:t>海丰县有国重点、省级、市级和县级文物保护单位40处，其中国重点文物保护单位1处，省级文物保护单位4处，市级文物保护单位8处，县级文物保护单位27处。具体保护办法根据《中华人民共和国文物保护法》执行。</w:t>
      </w:r>
      <w:r>
        <w:rPr>
          <w:rFonts w:ascii="Times New Roman" w:hAnsi="Times New Roman"/>
          <w:bCs/>
          <w:color w:val="auto"/>
          <w:sz w:val="24"/>
          <w:highlight w:val="none"/>
        </w:rPr>
        <w:t>但由于未制定《海丰县（县域）历史文化风貌保护规划》及实施方案，</w:t>
      </w:r>
      <w:r>
        <w:rPr>
          <w:rFonts w:ascii="Times New Roman" w:hAnsi="Times New Roman"/>
          <w:b/>
          <w:color w:val="auto"/>
          <w:sz w:val="24"/>
          <w:highlight w:val="none"/>
        </w:rPr>
        <w:t>该项尚未达标。</w:t>
      </w:r>
    </w:p>
    <w:p>
      <w:pPr>
        <w:spacing w:line="360" w:lineRule="auto"/>
        <w:jc w:val="center"/>
        <w:rPr>
          <w:rFonts w:ascii="Times New Roman" w:hAnsi="Times New Roman"/>
          <w:b/>
          <w:color w:val="auto"/>
          <w:sz w:val="24"/>
          <w:highlight w:val="none"/>
        </w:rPr>
      </w:pPr>
      <w:r>
        <w:rPr>
          <w:rFonts w:ascii="Times New Roman" w:hAnsi="Times New Roman"/>
          <w:b/>
          <w:color w:val="auto"/>
          <w:sz w:val="24"/>
          <w:highlight w:val="none"/>
          <w:lang w:bidi="ar"/>
        </w:rPr>
        <w:t>表3-2 海丰县文物保护单位</w:t>
      </w:r>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5"/>
        <w:gridCol w:w="2705"/>
        <w:gridCol w:w="1236"/>
        <w:gridCol w:w="1440"/>
        <w:gridCol w:w="24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blHeader/>
        </w:trPr>
        <w:tc>
          <w:tcPr>
            <w:tcW w:w="705" w:type="dxa"/>
            <w:noWrap/>
            <w:vAlign w:val="center"/>
          </w:tcPr>
          <w:p>
            <w:pPr>
              <w:jc w:val="center"/>
              <w:rPr>
                <w:rFonts w:ascii="Times New Roman" w:hAnsi="Times New Roman"/>
                <w:b/>
                <w:color w:val="auto"/>
                <w:szCs w:val="21"/>
                <w:highlight w:val="none"/>
              </w:rPr>
            </w:pPr>
            <w:r>
              <w:rPr>
                <w:rFonts w:ascii="Times New Roman" w:hAnsi="Times New Roman"/>
                <w:b/>
                <w:color w:val="auto"/>
                <w:szCs w:val="21"/>
                <w:highlight w:val="none"/>
              </w:rPr>
              <w:t>序号</w:t>
            </w:r>
          </w:p>
        </w:tc>
        <w:tc>
          <w:tcPr>
            <w:tcW w:w="2705" w:type="dxa"/>
            <w:noWrap/>
            <w:vAlign w:val="center"/>
          </w:tcPr>
          <w:p>
            <w:pPr>
              <w:jc w:val="center"/>
              <w:rPr>
                <w:rFonts w:ascii="Times New Roman" w:hAnsi="Times New Roman"/>
                <w:b/>
                <w:color w:val="auto"/>
                <w:szCs w:val="21"/>
                <w:highlight w:val="none"/>
              </w:rPr>
            </w:pPr>
            <w:r>
              <w:rPr>
                <w:rFonts w:ascii="Times New Roman" w:hAnsi="Times New Roman"/>
                <w:b/>
                <w:color w:val="auto"/>
                <w:szCs w:val="21"/>
                <w:highlight w:val="none"/>
              </w:rPr>
              <w:t>名  称</w:t>
            </w:r>
          </w:p>
        </w:tc>
        <w:tc>
          <w:tcPr>
            <w:tcW w:w="1236" w:type="dxa"/>
            <w:noWrap/>
            <w:vAlign w:val="center"/>
          </w:tcPr>
          <w:p>
            <w:pPr>
              <w:jc w:val="center"/>
              <w:rPr>
                <w:rFonts w:ascii="Times New Roman" w:hAnsi="Times New Roman"/>
                <w:b/>
                <w:color w:val="auto"/>
                <w:szCs w:val="21"/>
                <w:highlight w:val="none"/>
              </w:rPr>
            </w:pPr>
            <w:r>
              <w:rPr>
                <w:rFonts w:ascii="Times New Roman" w:hAnsi="Times New Roman"/>
                <w:b/>
                <w:color w:val="auto"/>
                <w:szCs w:val="21"/>
                <w:highlight w:val="none"/>
              </w:rPr>
              <w:t>年  代</w:t>
            </w:r>
          </w:p>
        </w:tc>
        <w:tc>
          <w:tcPr>
            <w:tcW w:w="1440" w:type="dxa"/>
            <w:noWrap/>
            <w:vAlign w:val="center"/>
          </w:tcPr>
          <w:p>
            <w:pPr>
              <w:jc w:val="center"/>
              <w:rPr>
                <w:rFonts w:ascii="Times New Roman" w:hAnsi="Times New Roman"/>
                <w:b/>
                <w:color w:val="auto"/>
                <w:szCs w:val="21"/>
                <w:highlight w:val="none"/>
              </w:rPr>
            </w:pPr>
            <w:r>
              <w:rPr>
                <w:rFonts w:ascii="Times New Roman" w:hAnsi="Times New Roman"/>
                <w:b/>
                <w:color w:val="auto"/>
                <w:szCs w:val="21"/>
                <w:highlight w:val="none"/>
              </w:rPr>
              <w:t>保护级别</w:t>
            </w:r>
          </w:p>
        </w:tc>
        <w:tc>
          <w:tcPr>
            <w:tcW w:w="2436" w:type="dxa"/>
            <w:noWrap/>
            <w:vAlign w:val="center"/>
          </w:tcPr>
          <w:p>
            <w:pPr>
              <w:jc w:val="center"/>
              <w:rPr>
                <w:rFonts w:ascii="Times New Roman" w:hAnsi="Times New Roman"/>
                <w:b/>
                <w:color w:val="auto"/>
                <w:szCs w:val="21"/>
                <w:highlight w:val="none"/>
              </w:rPr>
            </w:pPr>
            <w:r>
              <w:rPr>
                <w:rFonts w:ascii="Times New Roman" w:hAnsi="Times New Roman"/>
                <w:b/>
                <w:color w:val="auto"/>
                <w:szCs w:val="21"/>
                <w:highlight w:val="none"/>
              </w:rPr>
              <w:t>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w:t>
            </w:r>
          </w:p>
        </w:tc>
        <w:tc>
          <w:tcPr>
            <w:tcW w:w="2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海丰红宫红场旧址</w:t>
            </w:r>
          </w:p>
        </w:tc>
        <w:tc>
          <w:tcPr>
            <w:tcW w:w="12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1927年</w:t>
            </w:r>
          </w:p>
        </w:tc>
        <w:tc>
          <w:tcPr>
            <w:tcW w:w="1440"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全国重点文物保护单位</w:t>
            </w:r>
          </w:p>
        </w:tc>
        <w:tc>
          <w:tcPr>
            <w:tcW w:w="24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海城镇南门社区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w:t>
            </w:r>
          </w:p>
        </w:tc>
        <w:tc>
          <w:tcPr>
            <w:tcW w:w="2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得趣书室</w:t>
            </w:r>
          </w:p>
        </w:tc>
        <w:tc>
          <w:tcPr>
            <w:tcW w:w="12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中华民国</w:t>
            </w:r>
          </w:p>
        </w:tc>
        <w:tc>
          <w:tcPr>
            <w:tcW w:w="1440"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省级文物保护单位</w:t>
            </w:r>
          </w:p>
        </w:tc>
        <w:tc>
          <w:tcPr>
            <w:tcW w:w="24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城东镇桥东社区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w:t>
            </w:r>
          </w:p>
        </w:tc>
        <w:tc>
          <w:tcPr>
            <w:tcW w:w="2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赤山约农会旧址</w:t>
            </w:r>
          </w:p>
        </w:tc>
        <w:tc>
          <w:tcPr>
            <w:tcW w:w="12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1922年</w:t>
            </w:r>
          </w:p>
        </w:tc>
        <w:tc>
          <w:tcPr>
            <w:tcW w:w="1440"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省级文物保护单位</w:t>
            </w:r>
          </w:p>
        </w:tc>
        <w:tc>
          <w:tcPr>
            <w:tcW w:w="24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城东镇桥东社区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w:t>
            </w:r>
          </w:p>
        </w:tc>
        <w:tc>
          <w:tcPr>
            <w:tcW w:w="2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彭湃烈士故居</w:t>
            </w:r>
          </w:p>
        </w:tc>
        <w:tc>
          <w:tcPr>
            <w:tcW w:w="12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中华民国</w:t>
            </w:r>
          </w:p>
        </w:tc>
        <w:tc>
          <w:tcPr>
            <w:tcW w:w="1440"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省级文物保护单位</w:t>
            </w:r>
          </w:p>
        </w:tc>
        <w:tc>
          <w:tcPr>
            <w:tcW w:w="24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城东镇桥东社区龙津河边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w:t>
            </w:r>
          </w:p>
        </w:tc>
        <w:tc>
          <w:tcPr>
            <w:tcW w:w="2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方饭亭</w:t>
            </w:r>
          </w:p>
        </w:tc>
        <w:tc>
          <w:tcPr>
            <w:tcW w:w="12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明代</w:t>
            </w:r>
          </w:p>
        </w:tc>
        <w:tc>
          <w:tcPr>
            <w:tcW w:w="1440"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省级文物保护单位</w:t>
            </w:r>
          </w:p>
        </w:tc>
        <w:tc>
          <w:tcPr>
            <w:tcW w:w="24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海城镇城北社区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w:t>
            </w:r>
          </w:p>
        </w:tc>
        <w:tc>
          <w:tcPr>
            <w:tcW w:w="2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海丰县总农会旧址</w:t>
            </w:r>
          </w:p>
        </w:tc>
        <w:tc>
          <w:tcPr>
            <w:tcW w:w="12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1923年</w:t>
            </w:r>
          </w:p>
        </w:tc>
        <w:tc>
          <w:tcPr>
            <w:tcW w:w="1440"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市级文物保护单位</w:t>
            </w:r>
          </w:p>
        </w:tc>
        <w:tc>
          <w:tcPr>
            <w:tcW w:w="24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城东镇桥东社区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7</w:t>
            </w:r>
          </w:p>
        </w:tc>
        <w:tc>
          <w:tcPr>
            <w:tcW w:w="2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新厝林古寨</w:t>
            </w:r>
          </w:p>
        </w:tc>
        <w:tc>
          <w:tcPr>
            <w:tcW w:w="12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清乾隆</w:t>
            </w:r>
          </w:p>
        </w:tc>
        <w:tc>
          <w:tcPr>
            <w:tcW w:w="1440"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市文物保护单位</w:t>
            </w:r>
          </w:p>
        </w:tc>
        <w:tc>
          <w:tcPr>
            <w:tcW w:w="24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赤石镇赤石村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w:t>
            </w:r>
          </w:p>
        </w:tc>
        <w:tc>
          <w:tcPr>
            <w:tcW w:w="2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彭孝女墓</w:t>
            </w:r>
          </w:p>
        </w:tc>
        <w:tc>
          <w:tcPr>
            <w:tcW w:w="12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明嘉靖</w:t>
            </w:r>
          </w:p>
        </w:tc>
        <w:tc>
          <w:tcPr>
            <w:tcW w:w="1440"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市级文物保护单位</w:t>
            </w:r>
          </w:p>
        </w:tc>
        <w:tc>
          <w:tcPr>
            <w:tcW w:w="24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附城镇联西村西屯佛子岭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9</w:t>
            </w:r>
          </w:p>
        </w:tc>
        <w:tc>
          <w:tcPr>
            <w:tcW w:w="2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海丰县农民协会旧址</w:t>
            </w:r>
          </w:p>
        </w:tc>
        <w:tc>
          <w:tcPr>
            <w:tcW w:w="12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1925-1927年</w:t>
            </w:r>
          </w:p>
        </w:tc>
        <w:tc>
          <w:tcPr>
            <w:tcW w:w="1440"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市级文物保护单位</w:t>
            </w:r>
          </w:p>
        </w:tc>
        <w:tc>
          <w:tcPr>
            <w:tcW w:w="24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海城镇海珠社区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10</w:t>
            </w:r>
          </w:p>
        </w:tc>
        <w:tc>
          <w:tcPr>
            <w:tcW w:w="2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马思聪故居</w:t>
            </w:r>
          </w:p>
        </w:tc>
        <w:tc>
          <w:tcPr>
            <w:tcW w:w="12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中华民国</w:t>
            </w:r>
          </w:p>
        </w:tc>
        <w:tc>
          <w:tcPr>
            <w:tcW w:w="1440"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市级文物保护单位</w:t>
            </w:r>
          </w:p>
        </w:tc>
        <w:tc>
          <w:tcPr>
            <w:tcW w:w="24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海城镇龙门社区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11</w:t>
            </w:r>
          </w:p>
        </w:tc>
        <w:tc>
          <w:tcPr>
            <w:tcW w:w="2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黄守谦府第旧址</w:t>
            </w:r>
          </w:p>
        </w:tc>
        <w:tc>
          <w:tcPr>
            <w:tcW w:w="12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明代</w:t>
            </w:r>
          </w:p>
        </w:tc>
        <w:tc>
          <w:tcPr>
            <w:tcW w:w="1440"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市级文物保护单位</w:t>
            </w:r>
          </w:p>
        </w:tc>
        <w:tc>
          <w:tcPr>
            <w:tcW w:w="24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海城镇龙门社区寨仔埔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2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陈炯明都督府旧址</w:t>
            </w:r>
          </w:p>
        </w:tc>
        <w:tc>
          <w:tcPr>
            <w:tcW w:w="12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1920年</w:t>
            </w:r>
          </w:p>
        </w:tc>
        <w:tc>
          <w:tcPr>
            <w:tcW w:w="1440"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市级文物保护单位</w:t>
            </w:r>
          </w:p>
        </w:tc>
        <w:tc>
          <w:tcPr>
            <w:tcW w:w="24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海城镇南门社区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2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壮帝居石刻</w:t>
            </w:r>
          </w:p>
        </w:tc>
        <w:tc>
          <w:tcPr>
            <w:tcW w:w="12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明代</w:t>
            </w:r>
          </w:p>
        </w:tc>
        <w:tc>
          <w:tcPr>
            <w:tcW w:w="1440"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市级文物保护单位</w:t>
            </w:r>
          </w:p>
        </w:tc>
        <w:tc>
          <w:tcPr>
            <w:tcW w:w="24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鮜门镇朝面山村的后面山腰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2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赤山宝塔</w:t>
            </w:r>
          </w:p>
        </w:tc>
        <w:tc>
          <w:tcPr>
            <w:tcW w:w="12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明代</w:t>
            </w:r>
          </w:p>
        </w:tc>
        <w:tc>
          <w:tcPr>
            <w:tcW w:w="1440"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城东镇安东村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2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黄正文烈士纪念碑</w:t>
            </w:r>
          </w:p>
        </w:tc>
        <w:tc>
          <w:tcPr>
            <w:tcW w:w="12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1953年</w:t>
            </w:r>
          </w:p>
        </w:tc>
        <w:tc>
          <w:tcPr>
            <w:tcW w:w="1440"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城东镇安东村赤山宝塔西北侧100米处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16</w:t>
            </w:r>
          </w:p>
        </w:tc>
        <w:tc>
          <w:tcPr>
            <w:tcW w:w="2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海丰县农民运动讲习所、妇女解放协会旧址</w:t>
            </w:r>
          </w:p>
        </w:tc>
        <w:tc>
          <w:tcPr>
            <w:tcW w:w="12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1925年</w:t>
            </w:r>
          </w:p>
        </w:tc>
        <w:tc>
          <w:tcPr>
            <w:tcW w:w="1440"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城东镇龙山村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17</w:t>
            </w:r>
          </w:p>
        </w:tc>
        <w:tc>
          <w:tcPr>
            <w:tcW w:w="2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海丰县第一个农村党支部旧址</w:t>
            </w:r>
          </w:p>
        </w:tc>
        <w:tc>
          <w:tcPr>
            <w:tcW w:w="12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1926年</w:t>
            </w:r>
          </w:p>
        </w:tc>
        <w:tc>
          <w:tcPr>
            <w:tcW w:w="1440"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城东镇龙山村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18</w:t>
            </w:r>
          </w:p>
        </w:tc>
        <w:tc>
          <w:tcPr>
            <w:tcW w:w="2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彭湃同志宣传农运遗址</w:t>
            </w:r>
          </w:p>
        </w:tc>
        <w:tc>
          <w:tcPr>
            <w:tcW w:w="12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1922年</w:t>
            </w:r>
          </w:p>
        </w:tc>
        <w:tc>
          <w:tcPr>
            <w:tcW w:w="1440"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城东镇桥东社区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19</w:t>
            </w:r>
          </w:p>
        </w:tc>
        <w:tc>
          <w:tcPr>
            <w:tcW w:w="2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秋塘古寨</w:t>
            </w:r>
          </w:p>
        </w:tc>
        <w:tc>
          <w:tcPr>
            <w:tcW w:w="12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明-清</w:t>
            </w:r>
          </w:p>
        </w:tc>
        <w:tc>
          <w:tcPr>
            <w:tcW w:w="1440"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赤石镇新里村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20</w:t>
            </w:r>
          </w:p>
        </w:tc>
        <w:tc>
          <w:tcPr>
            <w:tcW w:w="2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陈其尤故居</w:t>
            </w:r>
          </w:p>
        </w:tc>
        <w:tc>
          <w:tcPr>
            <w:tcW w:w="12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清代光绪年间</w:t>
            </w:r>
          </w:p>
        </w:tc>
        <w:tc>
          <w:tcPr>
            <w:tcW w:w="1440"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附城镇城南社区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21</w:t>
            </w:r>
          </w:p>
        </w:tc>
        <w:tc>
          <w:tcPr>
            <w:tcW w:w="2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谢道山宝塔</w:t>
            </w:r>
          </w:p>
        </w:tc>
        <w:tc>
          <w:tcPr>
            <w:tcW w:w="12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清康熙</w:t>
            </w:r>
          </w:p>
        </w:tc>
        <w:tc>
          <w:tcPr>
            <w:tcW w:w="1440"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附城镇道山村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22</w:t>
            </w:r>
          </w:p>
        </w:tc>
        <w:tc>
          <w:tcPr>
            <w:tcW w:w="2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柯麟故居</w:t>
            </w:r>
          </w:p>
        </w:tc>
        <w:tc>
          <w:tcPr>
            <w:tcW w:w="12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中华民国</w:t>
            </w:r>
          </w:p>
        </w:tc>
        <w:tc>
          <w:tcPr>
            <w:tcW w:w="1440"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附城镇中河社区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23</w:t>
            </w:r>
          </w:p>
        </w:tc>
        <w:tc>
          <w:tcPr>
            <w:tcW w:w="2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海城社会主义研究社旧址</w:t>
            </w:r>
          </w:p>
        </w:tc>
        <w:tc>
          <w:tcPr>
            <w:tcW w:w="12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1921年</w:t>
            </w:r>
          </w:p>
        </w:tc>
        <w:tc>
          <w:tcPr>
            <w:tcW w:w="1440"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海城镇海珠社区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24</w:t>
            </w:r>
          </w:p>
        </w:tc>
        <w:tc>
          <w:tcPr>
            <w:tcW w:w="2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龙舌埔海丰总农会活动旧址</w:t>
            </w:r>
          </w:p>
        </w:tc>
        <w:tc>
          <w:tcPr>
            <w:tcW w:w="12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1923-1928年</w:t>
            </w:r>
          </w:p>
        </w:tc>
        <w:tc>
          <w:tcPr>
            <w:tcW w:w="1440"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海城镇海珠社区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25</w:t>
            </w:r>
          </w:p>
        </w:tc>
        <w:tc>
          <w:tcPr>
            <w:tcW w:w="2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埔仔村红四师师部旧址</w:t>
            </w:r>
          </w:p>
        </w:tc>
        <w:tc>
          <w:tcPr>
            <w:tcW w:w="12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1928年</w:t>
            </w:r>
          </w:p>
        </w:tc>
        <w:tc>
          <w:tcPr>
            <w:tcW w:w="1440"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海城镇莲光村浮潭自然村内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26</w:t>
            </w:r>
          </w:p>
        </w:tc>
        <w:tc>
          <w:tcPr>
            <w:tcW w:w="2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海丰县总工会旧址</w:t>
            </w:r>
          </w:p>
        </w:tc>
        <w:tc>
          <w:tcPr>
            <w:tcW w:w="12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1926年</w:t>
            </w:r>
          </w:p>
        </w:tc>
        <w:tc>
          <w:tcPr>
            <w:tcW w:w="1440"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海城镇龙津社区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27</w:t>
            </w:r>
          </w:p>
        </w:tc>
        <w:tc>
          <w:tcPr>
            <w:tcW w:w="2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农民药房旧址</w:t>
            </w:r>
          </w:p>
        </w:tc>
        <w:tc>
          <w:tcPr>
            <w:tcW w:w="12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1922年</w:t>
            </w:r>
          </w:p>
        </w:tc>
        <w:tc>
          <w:tcPr>
            <w:tcW w:w="1440"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海城镇龙津社区中山中路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28</w:t>
            </w:r>
          </w:p>
        </w:tc>
        <w:tc>
          <w:tcPr>
            <w:tcW w:w="2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海丰县第一区苏维埃政府旧址</w:t>
            </w:r>
          </w:p>
        </w:tc>
        <w:tc>
          <w:tcPr>
            <w:tcW w:w="12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1927年</w:t>
            </w:r>
          </w:p>
        </w:tc>
        <w:tc>
          <w:tcPr>
            <w:tcW w:w="1440"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海城镇龙门社区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29</w:t>
            </w:r>
          </w:p>
        </w:tc>
        <w:tc>
          <w:tcPr>
            <w:tcW w:w="2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海丰县少年先锋队队部旧址</w:t>
            </w:r>
          </w:p>
        </w:tc>
        <w:tc>
          <w:tcPr>
            <w:tcW w:w="12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1925年</w:t>
            </w:r>
          </w:p>
        </w:tc>
        <w:tc>
          <w:tcPr>
            <w:tcW w:w="1440"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海城镇龙门社区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30</w:t>
            </w:r>
          </w:p>
        </w:tc>
        <w:tc>
          <w:tcPr>
            <w:tcW w:w="2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中共海陆丰地方委员会旧址</w:t>
            </w:r>
          </w:p>
        </w:tc>
        <w:tc>
          <w:tcPr>
            <w:tcW w:w="12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1925-1926年</w:t>
            </w:r>
          </w:p>
        </w:tc>
        <w:tc>
          <w:tcPr>
            <w:tcW w:w="1440"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海城镇南门社区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31</w:t>
            </w:r>
          </w:p>
        </w:tc>
        <w:tc>
          <w:tcPr>
            <w:tcW w:w="2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共青团海陆丰地方委员会旧址</w:t>
            </w:r>
          </w:p>
        </w:tc>
        <w:tc>
          <w:tcPr>
            <w:tcW w:w="12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1925年</w:t>
            </w:r>
          </w:p>
        </w:tc>
        <w:tc>
          <w:tcPr>
            <w:tcW w:w="1440"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海城镇南门社区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32</w:t>
            </w:r>
          </w:p>
        </w:tc>
        <w:tc>
          <w:tcPr>
            <w:tcW w:w="2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海丰工农革命军团队部旧址</w:t>
            </w:r>
          </w:p>
        </w:tc>
        <w:tc>
          <w:tcPr>
            <w:tcW w:w="12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1925年</w:t>
            </w:r>
          </w:p>
        </w:tc>
        <w:tc>
          <w:tcPr>
            <w:tcW w:w="1440"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海城镇南门社区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33</w:t>
            </w:r>
          </w:p>
        </w:tc>
        <w:tc>
          <w:tcPr>
            <w:tcW w:w="2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海丰县工农兵代表住宿地旧址</w:t>
            </w:r>
          </w:p>
        </w:tc>
        <w:tc>
          <w:tcPr>
            <w:tcW w:w="12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1927年</w:t>
            </w:r>
          </w:p>
        </w:tc>
        <w:tc>
          <w:tcPr>
            <w:tcW w:w="1440"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海城镇南门社区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34</w:t>
            </w:r>
          </w:p>
        </w:tc>
        <w:tc>
          <w:tcPr>
            <w:tcW w:w="2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平民医院旧址</w:t>
            </w:r>
          </w:p>
        </w:tc>
        <w:tc>
          <w:tcPr>
            <w:tcW w:w="12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1925 -1929年</w:t>
            </w:r>
          </w:p>
        </w:tc>
        <w:tc>
          <w:tcPr>
            <w:tcW w:w="1440"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海城镇南门社区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35</w:t>
            </w:r>
          </w:p>
        </w:tc>
        <w:tc>
          <w:tcPr>
            <w:tcW w:w="2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黄鼎臣故居</w:t>
            </w:r>
          </w:p>
        </w:tc>
        <w:tc>
          <w:tcPr>
            <w:tcW w:w="12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清末</w:t>
            </w:r>
          </w:p>
        </w:tc>
        <w:tc>
          <w:tcPr>
            <w:tcW w:w="1440"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海城镇南门社区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36</w:t>
            </w:r>
          </w:p>
        </w:tc>
        <w:tc>
          <w:tcPr>
            <w:tcW w:w="2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海丰县城隍庙</w:t>
            </w:r>
          </w:p>
        </w:tc>
        <w:tc>
          <w:tcPr>
            <w:tcW w:w="12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明代</w:t>
            </w:r>
          </w:p>
        </w:tc>
        <w:tc>
          <w:tcPr>
            <w:tcW w:w="1440"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海城镇新城社区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37</w:t>
            </w:r>
          </w:p>
        </w:tc>
        <w:tc>
          <w:tcPr>
            <w:tcW w:w="2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丘东平故居</w:t>
            </w:r>
          </w:p>
        </w:tc>
        <w:tc>
          <w:tcPr>
            <w:tcW w:w="12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中华民国</w:t>
            </w:r>
          </w:p>
        </w:tc>
        <w:tc>
          <w:tcPr>
            <w:tcW w:w="1440"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梅陇镇东风村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38</w:t>
            </w:r>
          </w:p>
        </w:tc>
        <w:tc>
          <w:tcPr>
            <w:tcW w:w="2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金盘围</w:t>
            </w:r>
          </w:p>
        </w:tc>
        <w:tc>
          <w:tcPr>
            <w:tcW w:w="12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清</w:t>
            </w:r>
          </w:p>
        </w:tc>
        <w:tc>
          <w:tcPr>
            <w:tcW w:w="1440"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县文物保护单位</w:t>
            </w:r>
          </w:p>
        </w:tc>
        <w:tc>
          <w:tcPr>
            <w:tcW w:w="24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梅陇镇永红村金盘围自然村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39</w:t>
            </w:r>
          </w:p>
        </w:tc>
        <w:tc>
          <w:tcPr>
            <w:tcW w:w="2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大茂楼</w:t>
            </w:r>
          </w:p>
        </w:tc>
        <w:tc>
          <w:tcPr>
            <w:tcW w:w="12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1942年</w:t>
            </w:r>
          </w:p>
        </w:tc>
        <w:tc>
          <w:tcPr>
            <w:tcW w:w="1440"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县级文物保护单位</w:t>
            </w:r>
          </w:p>
        </w:tc>
        <w:tc>
          <w:tcPr>
            <w:tcW w:w="24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平东镇谷兜村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40</w:t>
            </w:r>
          </w:p>
        </w:tc>
        <w:tc>
          <w:tcPr>
            <w:tcW w:w="270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樑美楼</w:t>
            </w:r>
          </w:p>
        </w:tc>
        <w:tc>
          <w:tcPr>
            <w:tcW w:w="12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清乾隆年间</w:t>
            </w:r>
          </w:p>
        </w:tc>
        <w:tc>
          <w:tcPr>
            <w:tcW w:w="1440"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县文物保护单位</w:t>
            </w:r>
          </w:p>
        </w:tc>
        <w:tc>
          <w:tcPr>
            <w:tcW w:w="2436"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陶河镇陶北村港口自然村</w:t>
            </w:r>
          </w:p>
        </w:tc>
      </w:tr>
    </w:tbl>
    <w:p>
      <w:pPr>
        <w:spacing w:line="360" w:lineRule="auto"/>
        <w:rPr>
          <w:rFonts w:ascii="Times New Roman" w:hAnsi="Times New Roman"/>
          <w:color w:val="auto"/>
          <w:sz w:val="24"/>
          <w:highlight w:val="none"/>
        </w:rPr>
      </w:pPr>
    </w:p>
    <w:p>
      <w:pPr>
        <w:pStyle w:val="6"/>
        <w:rPr>
          <w:rFonts w:ascii="Times New Roman" w:hAnsi="Times New Roman"/>
          <w:color w:val="auto"/>
          <w:highlight w:val="none"/>
        </w:rPr>
      </w:pPr>
      <w:bookmarkStart w:id="428" w:name="_Toc54451080"/>
      <w:bookmarkStart w:id="429" w:name="_Toc25519"/>
      <w:bookmarkStart w:id="430" w:name="_Toc60776407"/>
      <w:bookmarkStart w:id="431" w:name="_Toc60499716"/>
      <w:r>
        <w:rPr>
          <w:rFonts w:ascii="Times New Roman" w:hAnsi="Times New Roman"/>
          <w:color w:val="auto"/>
          <w:highlight w:val="none"/>
        </w:rPr>
        <w:t>29、风景名胜区、文化与自然遗产保护与管理</w:t>
      </w:r>
      <w:bookmarkEnd w:id="428"/>
      <w:bookmarkEnd w:id="429"/>
      <w:bookmarkEnd w:id="430"/>
      <w:bookmarkEnd w:id="431"/>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w:t>
      </w:r>
      <w:r>
        <w:rPr>
          <w:rFonts w:hint="default" w:ascii="Times New Roman" w:hAnsi="Times New Roman" w:cs="Times New Roman"/>
          <w:color w:val="auto"/>
          <w:sz w:val="24"/>
          <w:highlight w:val="none"/>
        </w:rPr>
        <w:t>①</w:t>
      </w:r>
      <w:r>
        <w:rPr>
          <w:rFonts w:ascii="Times New Roman" w:hAnsi="Times New Roman"/>
          <w:color w:val="auto"/>
          <w:sz w:val="24"/>
          <w:highlight w:val="none"/>
        </w:rPr>
        <w:t>依法设立风景名胜区管理机构，职能明确，并正常行使职能；</w:t>
      </w:r>
      <w:r>
        <w:rPr>
          <w:rFonts w:hint="default" w:ascii="Times New Roman" w:hAnsi="Times New Roman" w:cs="Times New Roman"/>
          <w:color w:val="auto"/>
          <w:sz w:val="24"/>
          <w:highlight w:val="none"/>
        </w:rPr>
        <w:t>②</w:t>
      </w:r>
      <w:r>
        <w:rPr>
          <w:rFonts w:ascii="Times New Roman" w:hAnsi="Times New Roman"/>
          <w:color w:val="auto"/>
          <w:sz w:val="24"/>
          <w:highlight w:val="none"/>
        </w:rPr>
        <w:t>省级、省级风景名胜区或列入世界遗产名录的文化或自然遗产严格依据《风景名胜区条例》和相关法律法规与国际公约进行保护管理；</w:t>
      </w:r>
      <w:r>
        <w:rPr>
          <w:rFonts w:hint="default" w:ascii="Times New Roman" w:hAnsi="Times New Roman" w:cs="Times New Roman"/>
          <w:color w:val="auto"/>
          <w:sz w:val="24"/>
          <w:highlight w:val="none"/>
        </w:rPr>
        <w:t>③</w:t>
      </w:r>
      <w:r>
        <w:rPr>
          <w:rFonts w:ascii="Times New Roman" w:hAnsi="Times New Roman"/>
          <w:color w:val="auto"/>
          <w:sz w:val="24"/>
          <w:highlight w:val="none"/>
        </w:rPr>
        <w:t>具有经批准的《风景名胜区总体规划》等规划，风景名胜区建设项目依法办理选址审批手续。</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调查结果：海丰县没有风景名胜区、文化与自然遗产，</w:t>
      </w:r>
      <w:r>
        <w:rPr>
          <w:rFonts w:ascii="Times New Roman" w:hAnsi="Times New Roman"/>
          <w:b/>
          <w:color w:val="auto"/>
          <w:sz w:val="24"/>
          <w:highlight w:val="none"/>
        </w:rPr>
        <w:t>该项不参与考核</w:t>
      </w:r>
      <w:r>
        <w:rPr>
          <w:rFonts w:ascii="Times New Roman" w:hAnsi="Times New Roman"/>
          <w:color w:val="auto"/>
          <w:sz w:val="24"/>
          <w:highlight w:val="none"/>
        </w:rPr>
        <w:t>。</w:t>
      </w:r>
    </w:p>
    <w:p>
      <w:pPr>
        <w:pStyle w:val="5"/>
        <w:rPr>
          <w:rFonts w:ascii="Times New Roman" w:hAnsi="Times New Roman" w:eastAsia="宋体"/>
          <w:color w:val="auto"/>
          <w:highlight w:val="none"/>
        </w:rPr>
      </w:pPr>
      <w:bookmarkStart w:id="432" w:name="_Toc22688"/>
      <w:bookmarkStart w:id="433" w:name="_Toc11695"/>
      <w:bookmarkStart w:id="434" w:name="_Toc60499717"/>
      <w:bookmarkStart w:id="435" w:name="_Toc25048"/>
      <w:bookmarkStart w:id="436" w:name="_Toc29835"/>
      <w:bookmarkStart w:id="437" w:name="_Toc8179"/>
      <w:bookmarkStart w:id="438" w:name="_Toc54451081"/>
      <w:bookmarkStart w:id="439" w:name="_Toc11758"/>
      <w:bookmarkStart w:id="440" w:name="_Toc60776408"/>
      <w:r>
        <w:rPr>
          <w:rFonts w:ascii="Times New Roman" w:hAnsi="Times New Roman" w:eastAsia="宋体"/>
          <w:color w:val="auto"/>
          <w:highlight w:val="none"/>
        </w:rPr>
        <w:t>四、生态环境</w:t>
      </w:r>
      <w:bookmarkEnd w:id="432"/>
      <w:bookmarkEnd w:id="433"/>
      <w:bookmarkEnd w:id="434"/>
      <w:bookmarkEnd w:id="435"/>
      <w:bookmarkEnd w:id="436"/>
      <w:bookmarkEnd w:id="437"/>
      <w:bookmarkEnd w:id="438"/>
      <w:bookmarkEnd w:id="439"/>
      <w:bookmarkEnd w:id="440"/>
    </w:p>
    <w:p>
      <w:pPr>
        <w:pStyle w:val="6"/>
        <w:rPr>
          <w:rFonts w:ascii="Times New Roman" w:hAnsi="Times New Roman"/>
          <w:color w:val="auto"/>
          <w:highlight w:val="none"/>
        </w:rPr>
      </w:pPr>
      <w:bookmarkStart w:id="441" w:name="_Toc60776409"/>
      <w:bookmarkStart w:id="442" w:name="_Toc60499718"/>
      <w:bookmarkStart w:id="443" w:name="_Toc25370"/>
      <w:bookmarkStart w:id="444" w:name="_Toc54451082"/>
      <w:r>
        <w:rPr>
          <w:rFonts w:ascii="Times New Roman" w:hAnsi="Times New Roman"/>
          <w:color w:val="auto"/>
          <w:highlight w:val="none"/>
        </w:rPr>
        <w:t>30、生态保护与修复</w:t>
      </w:r>
      <w:bookmarkEnd w:id="441"/>
      <w:bookmarkEnd w:id="442"/>
      <w:bookmarkEnd w:id="443"/>
      <w:bookmarkEnd w:id="444"/>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w:t>
      </w:r>
      <w:r>
        <w:rPr>
          <w:rFonts w:hint="default" w:ascii="Times New Roman" w:hAnsi="Times New Roman" w:cs="Times New Roman"/>
          <w:color w:val="auto"/>
          <w:sz w:val="24"/>
          <w:highlight w:val="none"/>
        </w:rPr>
        <w:t>①</w:t>
      </w:r>
      <w:r>
        <w:rPr>
          <w:rFonts w:ascii="Times New Roman" w:hAnsi="Times New Roman"/>
          <w:color w:val="auto"/>
          <w:sz w:val="24"/>
          <w:highlight w:val="none"/>
        </w:rPr>
        <w:t>县域原有山水格局及自然生态系统得到较好保护，显山露水，确保其原貌性、完整性和功能完好性；</w:t>
      </w:r>
      <w:r>
        <w:rPr>
          <w:rFonts w:hint="default" w:ascii="Times New Roman" w:hAnsi="Times New Roman" w:cs="Times New Roman"/>
          <w:color w:val="auto"/>
          <w:sz w:val="24"/>
          <w:highlight w:val="none"/>
        </w:rPr>
        <w:t>②</w:t>
      </w:r>
      <w:r>
        <w:rPr>
          <w:rFonts w:ascii="Times New Roman" w:hAnsi="Times New Roman"/>
          <w:color w:val="auto"/>
          <w:sz w:val="24"/>
          <w:highlight w:val="none"/>
        </w:rPr>
        <w:t>水体岸线绿化遵循生态学原则，自然河流水系无裁弯取直、筑坝截流、违法取砂等现象，水体岸线自然化率≥80%；</w:t>
      </w:r>
      <w:r>
        <w:rPr>
          <w:rFonts w:hint="default" w:ascii="Times New Roman" w:hAnsi="Times New Roman" w:cs="Times New Roman"/>
          <w:color w:val="auto"/>
          <w:sz w:val="24"/>
          <w:highlight w:val="none"/>
        </w:rPr>
        <w:t>③</w:t>
      </w:r>
      <w:r>
        <w:rPr>
          <w:rFonts w:ascii="Times New Roman" w:hAnsi="Times New Roman"/>
          <w:color w:val="auto"/>
          <w:sz w:val="24"/>
          <w:highlight w:val="none"/>
        </w:rPr>
        <w:t>自然山体保护完好，无违法违规开山采石、取土以及随意推山取平等现象；</w:t>
      </w:r>
      <w:r>
        <w:rPr>
          <w:rFonts w:hint="default" w:ascii="Times New Roman" w:hAnsi="Times New Roman" w:cs="Times New Roman"/>
          <w:color w:val="auto"/>
          <w:sz w:val="24"/>
          <w:highlight w:val="none"/>
        </w:rPr>
        <w:t>④</w:t>
      </w:r>
      <w:r>
        <w:rPr>
          <w:rFonts w:ascii="Times New Roman" w:hAnsi="Times New Roman"/>
          <w:color w:val="auto"/>
          <w:sz w:val="24"/>
          <w:highlight w:val="none"/>
        </w:rPr>
        <w:t>按照县城卫生、安全、防灾、环保等要求建设防护绿地；</w:t>
      </w:r>
      <w:r>
        <w:rPr>
          <w:rFonts w:hint="default" w:ascii="Times New Roman" w:hAnsi="Times New Roman" w:cs="Times New Roman"/>
          <w:color w:val="auto"/>
          <w:sz w:val="24"/>
          <w:highlight w:val="none"/>
        </w:rPr>
        <w:t>⑤</w:t>
      </w:r>
      <w:r>
        <w:rPr>
          <w:rFonts w:ascii="Times New Roman" w:hAnsi="Times New Roman"/>
          <w:color w:val="auto"/>
          <w:sz w:val="24"/>
          <w:highlight w:val="none"/>
        </w:rPr>
        <w:t>依据规划推进环境整治和生态修复。</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计算方法：水体岸线自然化率(%)=符合自然岸线要求的水体岸线长度(km)/水体岸线总长度(km)×100%</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w:t>
      </w:r>
      <w:r>
        <w:rPr>
          <w:rFonts w:hint="eastAsia" w:ascii="Times New Roman" w:hAnsi="Times New Roman"/>
          <w:color w:val="auto"/>
          <w:sz w:val="24"/>
          <w:highlight w:val="none"/>
        </w:rPr>
        <w:t>①③</w:t>
      </w:r>
      <w:r>
        <w:rPr>
          <w:rFonts w:ascii="Times New Roman" w:hAnsi="Times New Roman"/>
          <w:color w:val="auto"/>
          <w:sz w:val="24"/>
          <w:highlight w:val="none"/>
        </w:rPr>
        <w:t>海丰县显山露水</w:t>
      </w:r>
      <w:r>
        <w:rPr>
          <w:rFonts w:hint="eastAsia" w:ascii="Times New Roman" w:hAnsi="Times New Roman"/>
          <w:color w:val="auto"/>
          <w:sz w:val="24"/>
          <w:highlight w:val="none"/>
        </w:rPr>
        <w:t>，</w:t>
      </w:r>
      <w:r>
        <w:rPr>
          <w:rFonts w:ascii="Times New Roman" w:hAnsi="Times New Roman"/>
          <w:color w:val="auto"/>
          <w:sz w:val="24"/>
          <w:highlight w:val="none"/>
        </w:rPr>
        <w:t>自然山体</w:t>
      </w:r>
      <w:r>
        <w:rPr>
          <w:rFonts w:hint="eastAsia" w:ascii="Times New Roman" w:hAnsi="Times New Roman"/>
          <w:color w:val="auto"/>
          <w:sz w:val="24"/>
          <w:highlight w:val="none"/>
        </w:rPr>
        <w:t>、</w:t>
      </w:r>
      <w:r>
        <w:rPr>
          <w:rFonts w:ascii="Times New Roman" w:hAnsi="Times New Roman"/>
          <w:color w:val="auto"/>
          <w:sz w:val="24"/>
          <w:highlight w:val="none"/>
        </w:rPr>
        <w:t>水系保护相对完好</w:t>
      </w:r>
      <w:r>
        <w:rPr>
          <w:rFonts w:hint="eastAsia" w:ascii="Times New Roman" w:hAnsi="Times New Roman"/>
          <w:color w:val="auto"/>
          <w:sz w:val="24"/>
          <w:highlight w:val="none"/>
        </w:rPr>
        <w:t>；②</w:t>
      </w:r>
      <w:r>
        <w:rPr>
          <w:rFonts w:ascii="Times New Roman" w:hAnsi="Times New Roman"/>
          <w:color w:val="auto"/>
          <w:sz w:val="24"/>
          <w:highlight w:val="none"/>
        </w:rPr>
        <w:t>主要水系为河流和水库类型，水岸总长度964.97 公里，适宜绿化长度659.38公里，已绿化长度611.12公里，全市主要水系绿化率 92.68%</w:t>
      </w:r>
      <w:r>
        <w:rPr>
          <w:rFonts w:hint="eastAsia" w:ascii="Times New Roman" w:hAnsi="Times New Roman"/>
          <w:color w:val="auto"/>
          <w:sz w:val="24"/>
          <w:highlight w:val="none"/>
        </w:rPr>
        <w:t>；④已按照要求建设防护绿地制定并推进环境整治和生态修复工程。</w:t>
      </w:r>
      <w:r>
        <w:rPr>
          <w:rFonts w:hint="eastAsia" w:ascii="Times New Roman" w:hAnsi="Times New Roman"/>
          <w:b/>
          <w:bCs/>
          <w:color w:val="auto"/>
          <w:sz w:val="24"/>
          <w:highlight w:val="none"/>
        </w:rPr>
        <w:t>该项达标。</w:t>
      </w:r>
    </w:p>
    <w:p>
      <w:pPr>
        <w:pStyle w:val="2"/>
        <w:ind w:left="0" w:leftChars="0" w:firstLine="0" w:firstLineChars="0"/>
        <w:jc w:val="center"/>
        <w:rPr>
          <w:rFonts w:ascii="Times New Roman" w:hAnsi="Times New Roman" w:eastAsia="宋体"/>
          <w:b/>
          <w:color w:val="auto"/>
          <w:kern w:val="0"/>
          <w:sz w:val="24"/>
          <w:highlight w:val="none"/>
        </w:rPr>
      </w:pPr>
      <w:r>
        <w:rPr>
          <w:rFonts w:ascii="Times New Roman" w:hAnsi="Times New Roman" w:eastAsia="宋体"/>
          <w:b/>
          <w:color w:val="auto"/>
          <w:kern w:val="0"/>
          <w:position w:val="-4"/>
          <w:sz w:val="24"/>
          <w:highlight w:val="none"/>
        </w:rPr>
        <w:t xml:space="preserve">表4-1 </w:t>
      </w:r>
      <w:r>
        <w:rPr>
          <w:rFonts w:hint="default" w:ascii="Times New Roman" w:hAnsi="Times New Roman" w:eastAsia="宋体"/>
          <w:b/>
          <w:color w:val="auto"/>
          <w:kern w:val="0"/>
          <w:position w:val="-4"/>
          <w:sz w:val="24"/>
          <w:highlight w:val="none"/>
        </w:rPr>
        <w:t xml:space="preserve"> </w:t>
      </w:r>
      <w:r>
        <w:rPr>
          <w:rFonts w:ascii="Times New Roman" w:hAnsi="Times New Roman" w:eastAsia="宋体"/>
          <w:b/>
          <w:color w:val="auto"/>
          <w:kern w:val="0"/>
          <w:position w:val="-4"/>
          <w:sz w:val="24"/>
          <w:highlight w:val="none"/>
        </w:rPr>
        <w:t>海丰县主</w:t>
      </w:r>
      <w:r>
        <w:rPr>
          <w:rFonts w:ascii="Times New Roman" w:hAnsi="Times New Roman" w:eastAsia="宋体"/>
          <w:b/>
          <w:color w:val="auto"/>
          <w:spacing w:val="-3"/>
          <w:kern w:val="0"/>
          <w:position w:val="-4"/>
          <w:sz w:val="24"/>
          <w:highlight w:val="none"/>
        </w:rPr>
        <w:t>要</w:t>
      </w:r>
      <w:r>
        <w:rPr>
          <w:rFonts w:ascii="Times New Roman" w:hAnsi="Times New Roman" w:eastAsia="宋体"/>
          <w:b/>
          <w:color w:val="auto"/>
          <w:kern w:val="0"/>
          <w:position w:val="-4"/>
          <w:sz w:val="24"/>
          <w:highlight w:val="none"/>
        </w:rPr>
        <w:t>水岸</w:t>
      </w:r>
      <w:r>
        <w:rPr>
          <w:rFonts w:ascii="Times New Roman" w:hAnsi="Times New Roman" w:eastAsia="宋体"/>
          <w:b/>
          <w:color w:val="auto"/>
          <w:spacing w:val="-3"/>
          <w:kern w:val="0"/>
          <w:position w:val="-4"/>
          <w:sz w:val="24"/>
          <w:highlight w:val="none"/>
        </w:rPr>
        <w:t>绿</w:t>
      </w:r>
      <w:r>
        <w:rPr>
          <w:rFonts w:ascii="Times New Roman" w:hAnsi="Times New Roman" w:eastAsia="宋体"/>
          <w:b/>
          <w:color w:val="auto"/>
          <w:kern w:val="0"/>
          <w:position w:val="-4"/>
          <w:sz w:val="24"/>
          <w:highlight w:val="none"/>
        </w:rPr>
        <w:t>化状</w:t>
      </w:r>
      <w:r>
        <w:rPr>
          <w:rFonts w:ascii="Times New Roman" w:hAnsi="Times New Roman" w:eastAsia="宋体"/>
          <w:b/>
          <w:color w:val="auto"/>
          <w:spacing w:val="-3"/>
          <w:kern w:val="0"/>
          <w:position w:val="-4"/>
          <w:sz w:val="24"/>
          <w:highlight w:val="none"/>
        </w:rPr>
        <w:t>况</w:t>
      </w:r>
      <w:r>
        <w:rPr>
          <w:rFonts w:ascii="Times New Roman" w:hAnsi="Times New Roman" w:eastAsia="宋体"/>
          <w:b/>
          <w:color w:val="auto"/>
          <w:kern w:val="0"/>
          <w:position w:val="-4"/>
          <w:sz w:val="24"/>
          <w:highlight w:val="none"/>
        </w:rPr>
        <w:t>统计表</w:t>
      </w:r>
    </w:p>
    <w:tbl>
      <w:tblPr>
        <w:tblStyle w:val="20"/>
        <w:tblW w:w="8473" w:type="dxa"/>
        <w:jc w:val="center"/>
        <w:tblLayout w:type="fixed"/>
        <w:tblCellMar>
          <w:top w:w="0" w:type="dxa"/>
          <w:left w:w="0" w:type="dxa"/>
          <w:bottom w:w="0" w:type="dxa"/>
          <w:right w:w="0" w:type="dxa"/>
        </w:tblCellMar>
      </w:tblPr>
      <w:tblGrid>
        <w:gridCol w:w="840"/>
        <w:gridCol w:w="1152"/>
        <w:gridCol w:w="1620"/>
        <w:gridCol w:w="1620"/>
        <w:gridCol w:w="1620"/>
        <w:gridCol w:w="1621"/>
      </w:tblGrid>
      <w:tr>
        <w:tblPrEx>
          <w:tblCellMar>
            <w:top w:w="0" w:type="dxa"/>
            <w:left w:w="0" w:type="dxa"/>
            <w:bottom w:w="0" w:type="dxa"/>
            <w:right w:w="0" w:type="dxa"/>
          </w:tblCellMar>
        </w:tblPrEx>
        <w:trPr>
          <w:trHeight w:val="885" w:hRule="exact"/>
          <w:jc w:val="center"/>
        </w:trPr>
        <w:tc>
          <w:tcPr>
            <w:tcW w:w="840" w:type="dxa"/>
            <w:tcBorders>
              <w:top w:val="single" w:color="000000" w:sz="2" w:space="0"/>
              <w:left w:val="single" w:color="000000" w:sz="2" w:space="0"/>
              <w:bottom w:val="single" w:color="000000" w:sz="2" w:space="0"/>
              <w:right w:val="single" w:color="000000" w:sz="2" w:space="0"/>
            </w:tcBorders>
            <w:vAlign w:val="center"/>
          </w:tcPr>
          <w:p>
            <w:pPr>
              <w:ind w:left="175" w:right="-20"/>
              <w:jc w:val="center"/>
              <w:rPr>
                <w:rFonts w:ascii="Times New Roman" w:hAnsi="Times New Roman"/>
                <w:b/>
                <w:color w:val="auto"/>
                <w:kern w:val="0"/>
                <w:szCs w:val="21"/>
                <w:highlight w:val="none"/>
                <w:lang w:eastAsia="en-US"/>
              </w:rPr>
            </w:pPr>
            <w:r>
              <w:rPr>
                <w:rFonts w:ascii="Times New Roman" w:hAnsi="Times New Roman"/>
                <w:b/>
                <w:color w:val="auto"/>
                <w:kern w:val="0"/>
                <w:szCs w:val="21"/>
                <w:highlight w:val="none"/>
                <w:lang w:eastAsia="en-US"/>
              </w:rPr>
              <w:t>序号</w:t>
            </w:r>
          </w:p>
        </w:tc>
        <w:tc>
          <w:tcPr>
            <w:tcW w:w="1152" w:type="dxa"/>
            <w:tcBorders>
              <w:top w:val="single" w:color="000000" w:sz="2" w:space="0"/>
              <w:left w:val="single" w:color="000000" w:sz="2" w:space="0"/>
              <w:bottom w:val="single" w:color="000000" w:sz="2" w:space="0"/>
              <w:right w:val="single" w:color="000000" w:sz="2" w:space="0"/>
            </w:tcBorders>
            <w:vAlign w:val="center"/>
          </w:tcPr>
          <w:p>
            <w:pPr>
              <w:ind w:left="211" w:right="-20"/>
              <w:jc w:val="center"/>
              <w:rPr>
                <w:rFonts w:ascii="Times New Roman" w:hAnsi="Times New Roman"/>
                <w:b/>
                <w:color w:val="auto"/>
                <w:kern w:val="0"/>
                <w:szCs w:val="21"/>
                <w:highlight w:val="none"/>
                <w:lang w:eastAsia="en-US"/>
              </w:rPr>
            </w:pPr>
            <w:r>
              <w:rPr>
                <w:rFonts w:ascii="Times New Roman" w:hAnsi="Times New Roman"/>
                <w:b/>
                <w:color w:val="auto"/>
                <w:kern w:val="0"/>
                <w:szCs w:val="21"/>
                <w:highlight w:val="none"/>
                <w:lang w:eastAsia="en-US"/>
              </w:rPr>
              <w:t>行</w:t>
            </w:r>
            <w:r>
              <w:rPr>
                <w:rFonts w:ascii="Times New Roman" w:hAnsi="Times New Roman"/>
                <w:b/>
                <w:color w:val="auto"/>
                <w:spacing w:val="2"/>
                <w:kern w:val="0"/>
                <w:szCs w:val="21"/>
                <w:highlight w:val="none"/>
                <w:lang w:eastAsia="en-US"/>
              </w:rPr>
              <w:t>政</w:t>
            </w:r>
            <w:r>
              <w:rPr>
                <w:rFonts w:ascii="Times New Roman" w:hAnsi="Times New Roman"/>
                <w:b/>
                <w:color w:val="auto"/>
                <w:kern w:val="0"/>
                <w:szCs w:val="21"/>
                <w:highlight w:val="none"/>
                <w:lang w:eastAsia="en-US"/>
              </w:rPr>
              <w:t>区</w:t>
            </w:r>
          </w:p>
        </w:tc>
        <w:tc>
          <w:tcPr>
            <w:tcW w:w="1620" w:type="dxa"/>
            <w:tcBorders>
              <w:top w:val="single" w:color="000000" w:sz="2" w:space="0"/>
              <w:left w:val="single" w:color="000000" w:sz="2" w:space="0"/>
              <w:bottom w:val="single" w:color="000000" w:sz="2" w:space="0"/>
              <w:right w:val="single" w:color="000000" w:sz="2" w:space="0"/>
            </w:tcBorders>
            <w:vAlign w:val="center"/>
          </w:tcPr>
          <w:p>
            <w:pPr>
              <w:ind w:left="166" w:right="144"/>
              <w:jc w:val="center"/>
              <w:rPr>
                <w:rFonts w:ascii="Times New Roman" w:hAnsi="Times New Roman"/>
                <w:b/>
                <w:color w:val="auto"/>
                <w:kern w:val="0"/>
                <w:szCs w:val="21"/>
                <w:highlight w:val="none"/>
                <w:lang w:eastAsia="en-US"/>
              </w:rPr>
            </w:pPr>
            <w:r>
              <w:rPr>
                <w:rFonts w:ascii="Times New Roman" w:hAnsi="Times New Roman"/>
                <w:b/>
                <w:color w:val="auto"/>
                <w:kern w:val="0"/>
                <w:position w:val="-1"/>
                <w:szCs w:val="21"/>
                <w:highlight w:val="none"/>
                <w:lang w:eastAsia="en-US"/>
              </w:rPr>
              <w:t>水</w:t>
            </w:r>
            <w:r>
              <w:rPr>
                <w:rFonts w:ascii="Times New Roman" w:hAnsi="Times New Roman"/>
                <w:b/>
                <w:color w:val="auto"/>
                <w:spacing w:val="2"/>
                <w:kern w:val="0"/>
                <w:position w:val="-1"/>
                <w:szCs w:val="21"/>
                <w:highlight w:val="none"/>
                <w:lang w:eastAsia="en-US"/>
              </w:rPr>
              <w:t>岸</w:t>
            </w:r>
            <w:r>
              <w:rPr>
                <w:rFonts w:ascii="Times New Roman" w:hAnsi="Times New Roman"/>
                <w:b/>
                <w:color w:val="auto"/>
                <w:kern w:val="0"/>
                <w:position w:val="-1"/>
                <w:szCs w:val="21"/>
                <w:highlight w:val="none"/>
                <w:lang w:eastAsia="en-US"/>
              </w:rPr>
              <w:t>总</w:t>
            </w:r>
            <w:r>
              <w:rPr>
                <w:rFonts w:ascii="Times New Roman" w:hAnsi="Times New Roman"/>
                <w:b/>
                <w:color w:val="auto"/>
                <w:spacing w:val="2"/>
                <w:kern w:val="0"/>
                <w:position w:val="-1"/>
                <w:szCs w:val="21"/>
                <w:highlight w:val="none"/>
                <w:lang w:eastAsia="en-US"/>
              </w:rPr>
              <w:t>长</w:t>
            </w:r>
            <w:r>
              <w:rPr>
                <w:rFonts w:ascii="Times New Roman" w:hAnsi="Times New Roman"/>
                <w:b/>
                <w:color w:val="auto"/>
                <w:kern w:val="0"/>
                <w:position w:val="-1"/>
                <w:szCs w:val="21"/>
                <w:highlight w:val="none"/>
                <w:lang w:eastAsia="en-US"/>
              </w:rPr>
              <w:t>度</w:t>
            </w:r>
          </w:p>
          <w:p>
            <w:pPr>
              <w:ind w:left="286" w:right="266"/>
              <w:jc w:val="center"/>
              <w:rPr>
                <w:rFonts w:ascii="Times New Roman" w:hAnsi="Times New Roman"/>
                <w:b/>
                <w:color w:val="auto"/>
                <w:kern w:val="0"/>
                <w:szCs w:val="21"/>
                <w:highlight w:val="none"/>
                <w:lang w:eastAsia="en-US"/>
              </w:rPr>
            </w:pPr>
            <w:r>
              <w:rPr>
                <w:rFonts w:ascii="Times New Roman" w:hAnsi="Times New Roman"/>
                <w:b/>
                <w:color w:val="auto"/>
                <w:kern w:val="0"/>
                <w:szCs w:val="21"/>
                <w:highlight w:val="none"/>
                <w:lang w:eastAsia="en-US"/>
              </w:rPr>
              <w:t>（</w:t>
            </w:r>
            <w:r>
              <w:rPr>
                <w:rFonts w:ascii="Times New Roman" w:hAnsi="Times New Roman"/>
                <w:b/>
                <w:color w:val="auto"/>
                <w:spacing w:val="2"/>
                <w:kern w:val="0"/>
                <w:szCs w:val="21"/>
                <w:highlight w:val="none"/>
                <w:lang w:eastAsia="en-US"/>
              </w:rPr>
              <w:t>公</w:t>
            </w:r>
            <w:r>
              <w:rPr>
                <w:rFonts w:ascii="Times New Roman" w:hAnsi="Times New Roman"/>
                <w:b/>
                <w:color w:val="auto"/>
                <w:kern w:val="0"/>
                <w:szCs w:val="21"/>
                <w:highlight w:val="none"/>
                <w:lang w:eastAsia="en-US"/>
              </w:rPr>
              <w:t>里）</w:t>
            </w:r>
          </w:p>
        </w:tc>
        <w:tc>
          <w:tcPr>
            <w:tcW w:w="1620" w:type="dxa"/>
            <w:tcBorders>
              <w:top w:val="single" w:color="000000" w:sz="2" w:space="0"/>
              <w:left w:val="single" w:color="000000" w:sz="2" w:space="0"/>
              <w:bottom w:val="single" w:color="000000" w:sz="2" w:space="0"/>
              <w:right w:val="single" w:color="000000" w:sz="2" w:space="0"/>
            </w:tcBorders>
            <w:vAlign w:val="center"/>
          </w:tcPr>
          <w:p>
            <w:pPr>
              <w:ind w:left="46" w:right="24"/>
              <w:jc w:val="center"/>
              <w:rPr>
                <w:rFonts w:ascii="Times New Roman" w:hAnsi="Times New Roman"/>
                <w:b/>
                <w:color w:val="auto"/>
                <w:kern w:val="0"/>
                <w:szCs w:val="21"/>
                <w:highlight w:val="none"/>
              </w:rPr>
            </w:pPr>
            <w:r>
              <w:rPr>
                <w:rFonts w:ascii="Times New Roman" w:hAnsi="Times New Roman"/>
                <w:b/>
                <w:color w:val="auto"/>
                <w:kern w:val="0"/>
                <w:position w:val="-1"/>
                <w:szCs w:val="21"/>
                <w:highlight w:val="none"/>
              </w:rPr>
              <w:t>适</w:t>
            </w:r>
            <w:r>
              <w:rPr>
                <w:rFonts w:ascii="Times New Roman" w:hAnsi="Times New Roman"/>
                <w:b/>
                <w:color w:val="auto"/>
                <w:spacing w:val="2"/>
                <w:kern w:val="0"/>
                <w:position w:val="-1"/>
                <w:szCs w:val="21"/>
                <w:highlight w:val="none"/>
              </w:rPr>
              <w:t>宜</w:t>
            </w:r>
            <w:r>
              <w:rPr>
                <w:rFonts w:ascii="Times New Roman" w:hAnsi="Times New Roman"/>
                <w:b/>
                <w:color w:val="auto"/>
                <w:kern w:val="0"/>
                <w:position w:val="-1"/>
                <w:szCs w:val="21"/>
                <w:highlight w:val="none"/>
              </w:rPr>
              <w:t>绿</w:t>
            </w:r>
            <w:r>
              <w:rPr>
                <w:rFonts w:ascii="Times New Roman" w:hAnsi="Times New Roman"/>
                <w:b/>
                <w:color w:val="auto"/>
                <w:spacing w:val="2"/>
                <w:kern w:val="0"/>
                <w:position w:val="-1"/>
                <w:szCs w:val="21"/>
                <w:highlight w:val="none"/>
              </w:rPr>
              <w:t>化</w:t>
            </w:r>
            <w:r>
              <w:rPr>
                <w:rFonts w:ascii="Times New Roman" w:hAnsi="Times New Roman"/>
                <w:b/>
                <w:color w:val="auto"/>
                <w:kern w:val="0"/>
                <w:position w:val="-1"/>
                <w:szCs w:val="21"/>
                <w:highlight w:val="none"/>
              </w:rPr>
              <w:t>长度</w:t>
            </w:r>
          </w:p>
          <w:p>
            <w:pPr>
              <w:ind w:left="286" w:right="266"/>
              <w:jc w:val="center"/>
              <w:rPr>
                <w:rFonts w:ascii="Times New Roman" w:hAnsi="Times New Roman"/>
                <w:b/>
                <w:color w:val="auto"/>
                <w:kern w:val="0"/>
                <w:szCs w:val="21"/>
                <w:highlight w:val="none"/>
              </w:rPr>
            </w:pPr>
            <w:r>
              <w:rPr>
                <w:rFonts w:ascii="Times New Roman" w:hAnsi="Times New Roman"/>
                <w:b/>
                <w:color w:val="auto"/>
                <w:kern w:val="0"/>
                <w:szCs w:val="21"/>
                <w:highlight w:val="none"/>
              </w:rPr>
              <w:t>（</w:t>
            </w:r>
            <w:r>
              <w:rPr>
                <w:rFonts w:ascii="Times New Roman" w:hAnsi="Times New Roman"/>
                <w:b/>
                <w:color w:val="auto"/>
                <w:spacing w:val="2"/>
                <w:kern w:val="0"/>
                <w:szCs w:val="21"/>
                <w:highlight w:val="none"/>
              </w:rPr>
              <w:t>公</w:t>
            </w:r>
            <w:r>
              <w:rPr>
                <w:rFonts w:ascii="Times New Roman" w:hAnsi="Times New Roman"/>
                <w:b/>
                <w:color w:val="auto"/>
                <w:kern w:val="0"/>
                <w:szCs w:val="21"/>
                <w:highlight w:val="none"/>
              </w:rPr>
              <w:t>里）</w:t>
            </w:r>
          </w:p>
        </w:tc>
        <w:tc>
          <w:tcPr>
            <w:tcW w:w="1620" w:type="dxa"/>
            <w:tcBorders>
              <w:top w:val="single" w:color="000000" w:sz="2" w:space="0"/>
              <w:left w:val="single" w:color="000000" w:sz="2" w:space="0"/>
              <w:bottom w:val="single" w:color="000000" w:sz="2" w:space="0"/>
              <w:right w:val="single" w:color="000000" w:sz="2" w:space="0"/>
            </w:tcBorders>
            <w:vAlign w:val="center"/>
          </w:tcPr>
          <w:p>
            <w:pPr>
              <w:spacing w:before="47"/>
              <w:ind w:left="204" w:hanging="120"/>
              <w:jc w:val="center"/>
              <w:rPr>
                <w:rFonts w:ascii="Times New Roman" w:hAnsi="Times New Roman"/>
                <w:b/>
                <w:color w:val="auto"/>
                <w:kern w:val="0"/>
                <w:szCs w:val="21"/>
                <w:highlight w:val="none"/>
              </w:rPr>
            </w:pPr>
            <w:r>
              <w:rPr>
                <w:rFonts w:ascii="Times New Roman" w:hAnsi="Times New Roman"/>
                <w:b/>
                <w:color w:val="auto"/>
                <w:kern w:val="0"/>
                <w:szCs w:val="21"/>
                <w:highlight w:val="none"/>
              </w:rPr>
              <w:t>已</w:t>
            </w:r>
            <w:r>
              <w:rPr>
                <w:rFonts w:ascii="Times New Roman" w:hAnsi="Times New Roman"/>
                <w:b/>
                <w:color w:val="auto"/>
                <w:spacing w:val="2"/>
                <w:kern w:val="0"/>
                <w:szCs w:val="21"/>
                <w:highlight w:val="none"/>
              </w:rPr>
              <w:t>绿</w:t>
            </w:r>
            <w:r>
              <w:rPr>
                <w:rFonts w:ascii="Times New Roman" w:hAnsi="Times New Roman"/>
                <w:b/>
                <w:color w:val="auto"/>
                <w:kern w:val="0"/>
                <w:szCs w:val="21"/>
                <w:highlight w:val="none"/>
              </w:rPr>
              <w:t>化</w:t>
            </w:r>
            <w:r>
              <w:rPr>
                <w:rFonts w:ascii="Times New Roman" w:hAnsi="Times New Roman"/>
                <w:b/>
                <w:color w:val="auto"/>
                <w:spacing w:val="2"/>
                <w:kern w:val="0"/>
                <w:szCs w:val="21"/>
                <w:highlight w:val="none"/>
              </w:rPr>
              <w:t>长</w:t>
            </w:r>
            <w:r>
              <w:rPr>
                <w:rFonts w:ascii="Times New Roman" w:hAnsi="Times New Roman"/>
                <w:b/>
                <w:color w:val="auto"/>
                <w:kern w:val="0"/>
                <w:szCs w:val="21"/>
                <w:highlight w:val="none"/>
              </w:rPr>
              <w:t>度长 度</w:t>
            </w:r>
            <w:r>
              <w:rPr>
                <w:rFonts w:ascii="Times New Roman" w:hAnsi="Times New Roman"/>
                <w:b/>
                <w:color w:val="auto"/>
                <w:spacing w:val="2"/>
                <w:kern w:val="0"/>
                <w:szCs w:val="21"/>
                <w:highlight w:val="none"/>
              </w:rPr>
              <w:t>（</w:t>
            </w:r>
            <w:r>
              <w:rPr>
                <w:rFonts w:ascii="Times New Roman" w:hAnsi="Times New Roman"/>
                <w:b/>
                <w:color w:val="auto"/>
                <w:kern w:val="0"/>
                <w:szCs w:val="21"/>
                <w:highlight w:val="none"/>
              </w:rPr>
              <w:t>公</w:t>
            </w:r>
            <w:r>
              <w:rPr>
                <w:rFonts w:ascii="Times New Roman" w:hAnsi="Times New Roman"/>
                <w:b/>
                <w:color w:val="auto"/>
                <w:spacing w:val="2"/>
                <w:kern w:val="0"/>
                <w:szCs w:val="21"/>
                <w:highlight w:val="none"/>
              </w:rPr>
              <w:t>里</w:t>
            </w:r>
            <w:r>
              <w:rPr>
                <w:rFonts w:ascii="Times New Roman" w:hAnsi="Times New Roman"/>
                <w:b/>
                <w:color w:val="auto"/>
                <w:kern w:val="0"/>
                <w:szCs w:val="21"/>
                <w:highlight w:val="none"/>
              </w:rPr>
              <w:t>）</w:t>
            </w:r>
          </w:p>
        </w:tc>
        <w:tc>
          <w:tcPr>
            <w:tcW w:w="1621" w:type="dxa"/>
            <w:tcBorders>
              <w:top w:val="single" w:color="000000" w:sz="2" w:space="0"/>
              <w:left w:val="single" w:color="000000" w:sz="2" w:space="0"/>
              <w:bottom w:val="single" w:color="000000" w:sz="2" w:space="0"/>
              <w:right w:val="single" w:color="000000" w:sz="2" w:space="0"/>
            </w:tcBorders>
            <w:vAlign w:val="center"/>
          </w:tcPr>
          <w:p>
            <w:pPr>
              <w:ind w:left="154" w:right="133"/>
              <w:jc w:val="center"/>
              <w:rPr>
                <w:rFonts w:ascii="Times New Roman" w:hAnsi="Times New Roman"/>
                <w:b/>
                <w:color w:val="auto"/>
                <w:kern w:val="0"/>
                <w:szCs w:val="21"/>
                <w:highlight w:val="none"/>
                <w:lang w:eastAsia="en-US"/>
              </w:rPr>
            </w:pPr>
            <w:r>
              <w:rPr>
                <w:rFonts w:ascii="Times New Roman" w:hAnsi="Times New Roman"/>
                <w:b/>
                <w:color w:val="auto"/>
                <w:kern w:val="0"/>
                <w:position w:val="-1"/>
                <w:szCs w:val="21"/>
                <w:highlight w:val="none"/>
                <w:lang w:eastAsia="en-US"/>
              </w:rPr>
              <w:t>水</w:t>
            </w:r>
            <w:r>
              <w:rPr>
                <w:rFonts w:ascii="Times New Roman" w:hAnsi="Times New Roman"/>
                <w:b/>
                <w:color w:val="auto"/>
                <w:spacing w:val="2"/>
                <w:kern w:val="0"/>
                <w:position w:val="-1"/>
                <w:szCs w:val="21"/>
                <w:highlight w:val="none"/>
                <w:lang w:eastAsia="en-US"/>
              </w:rPr>
              <w:t>岸</w:t>
            </w:r>
            <w:r>
              <w:rPr>
                <w:rFonts w:ascii="Times New Roman" w:hAnsi="Times New Roman"/>
                <w:b/>
                <w:color w:val="auto"/>
                <w:kern w:val="0"/>
                <w:position w:val="-1"/>
                <w:szCs w:val="21"/>
                <w:highlight w:val="none"/>
                <w:lang w:eastAsia="en-US"/>
              </w:rPr>
              <w:t>绿</w:t>
            </w:r>
            <w:r>
              <w:rPr>
                <w:rFonts w:ascii="Times New Roman" w:hAnsi="Times New Roman"/>
                <w:b/>
                <w:color w:val="auto"/>
                <w:spacing w:val="2"/>
                <w:kern w:val="0"/>
                <w:position w:val="-1"/>
                <w:szCs w:val="21"/>
                <w:highlight w:val="none"/>
                <w:lang w:eastAsia="en-US"/>
              </w:rPr>
              <w:t>化</w:t>
            </w:r>
            <w:r>
              <w:rPr>
                <w:rFonts w:ascii="Times New Roman" w:hAnsi="Times New Roman"/>
                <w:b/>
                <w:color w:val="auto"/>
                <w:kern w:val="0"/>
                <w:position w:val="-1"/>
                <w:szCs w:val="21"/>
                <w:highlight w:val="none"/>
                <w:lang w:eastAsia="en-US"/>
              </w:rPr>
              <w:t>率</w:t>
            </w:r>
          </w:p>
          <w:p>
            <w:pPr>
              <w:ind w:left="405" w:right="388"/>
              <w:jc w:val="center"/>
              <w:rPr>
                <w:rFonts w:ascii="Times New Roman" w:hAnsi="Times New Roman"/>
                <w:b/>
                <w:color w:val="auto"/>
                <w:kern w:val="0"/>
                <w:szCs w:val="21"/>
                <w:highlight w:val="none"/>
                <w:lang w:eastAsia="en-US"/>
              </w:rPr>
            </w:pPr>
            <w:r>
              <w:rPr>
                <w:rFonts w:ascii="Times New Roman" w:hAnsi="Times New Roman"/>
                <w:b/>
                <w:color w:val="auto"/>
                <w:kern w:val="0"/>
                <w:szCs w:val="21"/>
                <w:highlight w:val="none"/>
                <w:lang w:eastAsia="en-US"/>
              </w:rPr>
              <w:t>（</w:t>
            </w:r>
            <w:r>
              <w:rPr>
                <w:rFonts w:ascii="Times New Roman" w:hAnsi="Times New Roman"/>
                <w:b/>
                <w:bCs/>
                <w:color w:val="auto"/>
                <w:kern w:val="0"/>
                <w:szCs w:val="21"/>
                <w:highlight w:val="none"/>
                <w:lang w:eastAsia="en-US"/>
              </w:rPr>
              <w:t>%</w:t>
            </w:r>
            <w:r>
              <w:rPr>
                <w:rFonts w:ascii="Times New Roman" w:hAnsi="Times New Roman"/>
                <w:b/>
                <w:color w:val="auto"/>
                <w:kern w:val="0"/>
                <w:szCs w:val="21"/>
                <w:highlight w:val="none"/>
                <w:lang w:eastAsia="en-US"/>
              </w:rPr>
              <w:t>）</w:t>
            </w:r>
          </w:p>
        </w:tc>
      </w:tr>
      <w:tr>
        <w:tblPrEx>
          <w:tblCellMar>
            <w:top w:w="0" w:type="dxa"/>
            <w:left w:w="0" w:type="dxa"/>
            <w:bottom w:w="0" w:type="dxa"/>
            <w:right w:w="0" w:type="dxa"/>
          </w:tblCellMar>
        </w:tblPrEx>
        <w:trPr>
          <w:trHeight w:val="502" w:hRule="exact"/>
          <w:jc w:val="center"/>
        </w:trPr>
        <w:tc>
          <w:tcPr>
            <w:tcW w:w="840" w:type="dxa"/>
            <w:tcBorders>
              <w:top w:val="single" w:color="000000" w:sz="2" w:space="0"/>
              <w:left w:val="single" w:color="000000" w:sz="2" w:space="0"/>
              <w:bottom w:val="single" w:color="000000" w:sz="2" w:space="0"/>
              <w:right w:val="single" w:color="000000" w:sz="2" w:space="0"/>
            </w:tcBorders>
            <w:vAlign w:val="center"/>
          </w:tcPr>
          <w:p>
            <w:pPr>
              <w:ind w:left="317" w:right="297"/>
              <w:rPr>
                <w:rFonts w:ascii="Times New Roman" w:hAnsi="Times New Roman"/>
                <w:color w:val="auto"/>
                <w:kern w:val="0"/>
                <w:szCs w:val="21"/>
                <w:highlight w:val="none"/>
                <w:lang w:eastAsia="en-US"/>
              </w:rPr>
            </w:pPr>
            <w:r>
              <w:rPr>
                <w:rFonts w:ascii="Times New Roman" w:hAnsi="Times New Roman"/>
                <w:color w:val="auto"/>
                <w:kern w:val="0"/>
                <w:szCs w:val="21"/>
                <w:highlight w:val="none"/>
                <w:lang w:eastAsia="en-US"/>
              </w:rPr>
              <w:t>1</w:t>
            </w:r>
          </w:p>
        </w:tc>
        <w:tc>
          <w:tcPr>
            <w:tcW w:w="1152" w:type="dxa"/>
            <w:tcBorders>
              <w:top w:val="single" w:color="000000" w:sz="2" w:space="0"/>
              <w:left w:val="single" w:color="000000" w:sz="2" w:space="0"/>
              <w:bottom w:val="single" w:color="000000" w:sz="2" w:space="0"/>
              <w:right w:val="single" w:color="000000" w:sz="2" w:space="0"/>
            </w:tcBorders>
            <w:vAlign w:val="center"/>
          </w:tcPr>
          <w:p>
            <w:pPr>
              <w:ind w:left="211" w:right="-20"/>
              <w:rPr>
                <w:rFonts w:ascii="Times New Roman" w:hAnsi="Times New Roman"/>
                <w:color w:val="auto"/>
                <w:kern w:val="0"/>
                <w:szCs w:val="21"/>
                <w:highlight w:val="none"/>
                <w:lang w:eastAsia="en-US"/>
              </w:rPr>
            </w:pPr>
            <w:r>
              <w:rPr>
                <w:rFonts w:ascii="Times New Roman" w:hAnsi="Times New Roman"/>
                <w:color w:val="auto"/>
                <w:kern w:val="0"/>
                <w:position w:val="-2"/>
                <w:szCs w:val="21"/>
                <w:highlight w:val="none"/>
                <w:lang w:eastAsia="en-US"/>
              </w:rPr>
              <w:t>海丰县</w:t>
            </w:r>
          </w:p>
        </w:tc>
        <w:tc>
          <w:tcPr>
            <w:tcW w:w="1620" w:type="dxa"/>
            <w:tcBorders>
              <w:top w:val="single" w:color="000000" w:sz="2" w:space="0"/>
              <w:left w:val="single" w:color="000000" w:sz="2" w:space="0"/>
              <w:bottom w:val="single" w:color="000000" w:sz="2" w:space="0"/>
              <w:right w:val="single" w:color="000000" w:sz="2" w:space="0"/>
            </w:tcBorders>
            <w:vAlign w:val="center"/>
          </w:tcPr>
          <w:p>
            <w:pPr>
              <w:ind w:left="475" w:right="-20"/>
              <w:rPr>
                <w:rFonts w:ascii="Times New Roman" w:hAnsi="Times New Roman"/>
                <w:color w:val="auto"/>
                <w:kern w:val="0"/>
                <w:szCs w:val="21"/>
                <w:highlight w:val="none"/>
                <w:lang w:eastAsia="en-US"/>
              </w:rPr>
            </w:pPr>
            <w:r>
              <w:rPr>
                <w:rFonts w:ascii="Times New Roman" w:hAnsi="Times New Roman"/>
                <w:color w:val="auto"/>
                <w:kern w:val="0"/>
                <w:szCs w:val="21"/>
                <w:highlight w:val="none"/>
                <w:lang w:eastAsia="en-US"/>
              </w:rPr>
              <w:t>864.97</w:t>
            </w:r>
          </w:p>
        </w:tc>
        <w:tc>
          <w:tcPr>
            <w:tcW w:w="1620" w:type="dxa"/>
            <w:tcBorders>
              <w:top w:val="single" w:color="000000" w:sz="2" w:space="0"/>
              <w:left w:val="single" w:color="000000" w:sz="2" w:space="0"/>
              <w:bottom w:val="single" w:color="000000" w:sz="2" w:space="0"/>
              <w:right w:val="single" w:color="000000" w:sz="2" w:space="0"/>
            </w:tcBorders>
            <w:vAlign w:val="center"/>
          </w:tcPr>
          <w:p>
            <w:pPr>
              <w:ind w:left="475" w:right="-20"/>
              <w:rPr>
                <w:rFonts w:ascii="Times New Roman" w:hAnsi="Times New Roman"/>
                <w:color w:val="auto"/>
                <w:kern w:val="0"/>
                <w:szCs w:val="21"/>
                <w:highlight w:val="none"/>
                <w:lang w:eastAsia="en-US"/>
              </w:rPr>
            </w:pPr>
            <w:r>
              <w:rPr>
                <w:rFonts w:ascii="Times New Roman" w:hAnsi="Times New Roman"/>
                <w:color w:val="auto"/>
                <w:kern w:val="0"/>
                <w:szCs w:val="21"/>
                <w:highlight w:val="none"/>
                <w:lang w:eastAsia="en-US"/>
              </w:rPr>
              <w:t>659.38</w:t>
            </w:r>
          </w:p>
        </w:tc>
        <w:tc>
          <w:tcPr>
            <w:tcW w:w="1620" w:type="dxa"/>
            <w:tcBorders>
              <w:top w:val="single" w:color="000000" w:sz="2" w:space="0"/>
              <w:left w:val="single" w:color="000000" w:sz="2" w:space="0"/>
              <w:bottom w:val="single" w:color="000000" w:sz="2" w:space="0"/>
              <w:right w:val="single" w:color="000000" w:sz="2" w:space="0"/>
            </w:tcBorders>
            <w:vAlign w:val="center"/>
          </w:tcPr>
          <w:p>
            <w:pPr>
              <w:ind w:left="475" w:right="-20"/>
              <w:rPr>
                <w:rFonts w:ascii="Times New Roman" w:hAnsi="Times New Roman"/>
                <w:color w:val="auto"/>
                <w:kern w:val="0"/>
                <w:szCs w:val="21"/>
                <w:highlight w:val="none"/>
                <w:lang w:eastAsia="en-US"/>
              </w:rPr>
            </w:pPr>
            <w:r>
              <w:rPr>
                <w:rFonts w:ascii="Times New Roman" w:hAnsi="Times New Roman"/>
                <w:color w:val="auto"/>
                <w:kern w:val="0"/>
                <w:szCs w:val="21"/>
                <w:highlight w:val="none"/>
                <w:lang w:eastAsia="en-US"/>
              </w:rPr>
              <w:t>61 1.12</w:t>
            </w:r>
          </w:p>
        </w:tc>
        <w:tc>
          <w:tcPr>
            <w:tcW w:w="1621" w:type="dxa"/>
            <w:tcBorders>
              <w:top w:val="single" w:color="000000" w:sz="2" w:space="0"/>
              <w:left w:val="single" w:color="000000" w:sz="2" w:space="0"/>
              <w:bottom w:val="single" w:color="000000" w:sz="2" w:space="0"/>
              <w:right w:val="single" w:color="000000" w:sz="2" w:space="0"/>
            </w:tcBorders>
            <w:vAlign w:val="center"/>
          </w:tcPr>
          <w:p>
            <w:pPr>
              <w:ind w:left="535" w:right="-20"/>
              <w:rPr>
                <w:rFonts w:ascii="Times New Roman" w:hAnsi="Times New Roman"/>
                <w:color w:val="auto"/>
                <w:kern w:val="0"/>
                <w:szCs w:val="21"/>
                <w:highlight w:val="none"/>
                <w:lang w:eastAsia="en-US"/>
              </w:rPr>
            </w:pPr>
            <w:r>
              <w:rPr>
                <w:rFonts w:ascii="Times New Roman" w:hAnsi="Times New Roman"/>
                <w:color w:val="auto"/>
                <w:kern w:val="0"/>
                <w:szCs w:val="21"/>
                <w:highlight w:val="none"/>
                <w:lang w:eastAsia="en-US"/>
              </w:rPr>
              <w:t>92 .68</w:t>
            </w:r>
          </w:p>
        </w:tc>
      </w:tr>
    </w:tbl>
    <w:p>
      <w:pPr>
        <w:spacing w:before="7" w:line="360" w:lineRule="auto"/>
        <w:jc w:val="left"/>
        <w:rPr>
          <w:rFonts w:ascii="Times New Roman" w:hAnsi="Times New Roman"/>
          <w:color w:val="auto"/>
          <w:kern w:val="0"/>
          <w:sz w:val="24"/>
          <w:highlight w:val="none"/>
          <w:lang w:eastAsia="en-US"/>
        </w:rPr>
      </w:pPr>
    </w:p>
    <w:p>
      <w:pPr>
        <w:tabs>
          <w:tab w:val="left" w:pos="2800"/>
        </w:tabs>
        <w:spacing w:line="360" w:lineRule="auto"/>
        <w:ind w:left="1812" w:right="-20"/>
        <w:jc w:val="left"/>
        <w:rPr>
          <w:rFonts w:ascii="Times New Roman" w:hAnsi="Times New Roman"/>
          <w:b/>
          <w:color w:val="auto"/>
          <w:kern w:val="0"/>
          <w:sz w:val="24"/>
          <w:highlight w:val="none"/>
        </w:rPr>
      </w:pPr>
      <w:r>
        <w:rPr>
          <w:rFonts w:ascii="Times New Roman" w:hAnsi="Times New Roman"/>
          <w:b/>
          <w:color w:val="auto"/>
          <w:kern w:val="0"/>
          <w:sz w:val="24"/>
          <w:highlight w:val="none"/>
        </w:rPr>
        <w:t>表</w:t>
      </w:r>
      <w:r>
        <w:rPr>
          <w:rFonts w:ascii="Times New Roman" w:hAnsi="Times New Roman"/>
          <w:b/>
          <w:color w:val="auto"/>
          <w:spacing w:val="1"/>
          <w:kern w:val="0"/>
          <w:sz w:val="24"/>
          <w:highlight w:val="none"/>
        </w:rPr>
        <w:t>4</w:t>
      </w:r>
      <w:r>
        <w:rPr>
          <w:rFonts w:ascii="Times New Roman" w:hAnsi="Times New Roman"/>
          <w:b/>
          <w:color w:val="auto"/>
          <w:kern w:val="0"/>
          <w:sz w:val="24"/>
          <w:highlight w:val="none"/>
        </w:rPr>
        <w:t>-2</w:t>
      </w:r>
      <w:r>
        <w:rPr>
          <w:rFonts w:ascii="Times New Roman" w:hAnsi="Times New Roman"/>
          <w:b/>
          <w:color w:val="auto"/>
          <w:kern w:val="0"/>
          <w:sz w:val="24"/>
          <w:highlight w:val="none"/>
        </w:rPr>
        <w:tab/>
      </w:r>
      <w:r>
        <w:rPr>
          <w:rFonts w:ascii="Times New Roman" w:hAnsi="Times New Roman"/>
          <w:b/>
          <w:color w:val="auto"/>
          <w:kern w:val="0"/>
          <w:sz w:val="24"/>
          <w:highlight w:val="none"/>
        </w:rPr>
        <w:t>海丰县主</w:t>
      </w:r>
      <w:r>
        <w:rPr>
          <w:rFonts w:ascii="Times New Roman" w:hAnsi="Times New Roman"/>
          <w:b/>
          <w:color w:val="auto"/>
          <w:spacing w:val="-3"/>
          <w:kern w:val="0"/>
          <w:sz w:val="24"/>
          <w:highlight w:val="none"/>
        </w:rPr>
        <w:t>要</w:t>
      </w:r>
      <w:r>
        <w:rPr>
          <w:rFonts w:ascii="Times New Roman" w:hAnsi="Times New Roman"/>
          <w:b/>
          <w:color w:val="auto"/>
          <w:kern w:val="0"/>
          <w:sz w:val="24"/>
          <w:highlight w:val="none"/>
        </w:rPr>
        <w:t>水岸</w:t>
      </w:r>
      <w:r>
        <w:rPr>
          <w:rFonts w:ascii="Times New Roman" w:hAnsi="Times New Roman"/>
          <w:b/>
          <w:color w:val="auto"/>
          <w:spacing w:val="-3"/>
          <w:kern w:val="0"/>
          <w:sz w:val="24"/>
          <w:highlight w:val="none"/>
        </w:rPr>
        <w:t>绿</w:t>
      </w:r>
      <w:r>
        <w:rPr>
          <w:rFonts w:ascii="Times New Roman" w:hAnsi="Times New Roman"/>
          <w:b/>
          <w:color w:val="auto"/>
          <w:kern w:val="0"/>
          <w:sz w:val="24"/>
          <w:highlight w:val="none"/>
        </w:rPr>
        <w:t>化状</w:t>
      </w:r>
      <w:r>
        <w:rPr>
          <w:rFonts w:ascii="Times New Roman" w:hAnsi="Times New Roman"/>
          <w:b/>
          <w:color w:val="auto"/>
          <w:spacing w:val="-3"/>
          <w:kern w:val="0"/>
          <w:sz w:val="24"/>
          <w:highlight w:val="none"/>
        </w:rPr>
        <w:t>况</w:t>
      </w:r>
      <w:r>
        <w:rPr>
          <w:rFonts w:ascii="Times New Roman" w:hAnsi="Times New Roman"/>
          <w:b/>
          <w:color w:val="auto"/>
          <w:kern w:val="0"/>
          <w:sz w:val="24"/>
          <w:highlight w:val="none"/>
        </w:rPr>
        <w:t>明细表</w:t>
      </w:r>
    </w:p>
    <w:tbl>
      <w:tblPr>
        <w:tblStyle w:val="20"/>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1"/>
        <w:gridCol w:w="1506"/>
        <w:gridCol w:w="1276"/>
        <w:gridCol w:w="1276"/>
        <w:gridCol w:w="1276"/>
        <w:gridCol w:w="1276"/>
        <w:gridCol w:w="12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jc w:val="center"/>
        </w:trPr>
        <w:tc>
          <w:tcPr>
            <w:tcW w:w="631" w:type="dxa"/>
            <w:vAlign w:val="center"/>
          </w:tcPr>
          <w:p>
            <w:pPr>
              <w:tabs>
                <w:tab w:val="left" w:pos="2800"/>
              </w:tabs>
              <w:spacing w:line="360" w:lineRule="auto"/>
              <w:ind w:right="-20"/>
              <w:jc w:val="center"/>
              <w:rPr>
                <w:rFonts w:ascii="Times New Roman" w:hAnsi="Times New Roman"/>
                <w:b/>
                <w:color w:val="auto"/>
                <w:kern w:val="0"/>
                <w:szCs w:val="21"/>
                <w:highlight w:val="none"/>
              </w:rPr>
            </w:pPr>
            <w:r>
              <w:rPr>
                <w:rFonts w:ascii="Times New Roman" w:hAnsi="Times New Roman"/>
                <w:b/>
                <w:color w:val="auto"/>
                <w:kern w:val="0"/>
                <w:szCs w:val="21"/>
                <w:highlight w:val="none"/>
              </w:rPr>
              <w:t>序号</w:t>
            </w:r>
          </w:p>
        </w:tc>
        <w:tc>
          <w:tcPr>
            <w:tcW w:w="1506" w:type="dxa"/>
            <w:vAlign w:val="center"/>
          </w:tcPr>
          <w:p>
            <w:pPr>
              <w:tabs>
                <w:tab w:val="left" w:pos="2800"/>
              </w:tabs>
              <w:spacing w:line="360" w:lineRule="auto"/>
              <w:ind w:right="-20"/>
              <w:jc w:val="center"/>
              <w:rPr>
                <w:rFonts w:ascii="Times New Roman" w:hAnsi="Times New Roman"/>
                <w:b/>
                <w:color w:val="auto"/>
                <w:kern w:val="0"/>
                <w:szCs w:val="21"/>
                <w:highlight w:val="none"/>
              </w:rPr>
            </w:pPr>
            <w:r>
              <w:rPr>
                <w:rFonts w:ascii="Times New Roman" w:hAnsi="Times New Roman"/>
                <w:b/>
                <w:color w:val="auto"/>
                <w:kern w:val="0"/>
                <w:szCs w:val="21"/>
                <w:highlight w:val="none"/>
              </w:rPr>
              <w:t>名称</w:t>
            </w:r>
          </w:p>
        </w:tc>
        <w:tc>
          <w:tcPr>
            <w:tcW w:w="1276" w:type="dxa"/>
            <w:vAlign w:val="center"/>
          </w:tcPr>
          <w:p>
            <w:pPr>
              <w:tabs>
                <w:tab w:val="left" w:pos="2800"/>
              </w:tabs>
              <w:spacing w:line="360" w:lineRule="auto"/>
              <w:ind w:right="-20"/>
              <w:jc w:val="center"/>
              <w:rPr>
                <w:rFonts w:ascii="Times New Roman" w:hAnsi="Times New Roman"/>
                <w:b/>
                <w:color w:val="auto"/>
                <w:kern w:val="0"/>
                <w:szCs w:val="21"/>
                <w:highlight w:val="none"/>
              </w:rPr>
            </w:pPr>
            <w:r>
              <w:rPr>
                <w:rFonts w:ascii="Times New Roman" w:hAnsi="Times New Roman"/>
                <w:b/>
                <w:color w:val="auto"/>
                <w:kern w:val="0"/>
                <w:szCs w:val="21"/>
                <w:highlight w:val="none"/>
              </w:rPr>
              <w:t>类型</w:t>
            </w:r>
          </w:p>
        </w:tc>
        <w:tc>
          <w:tcPr>
            <w:tcW w:w="1276" w:type="dxa"/>
            <w:vAlign w:val="center"/>
          </w:tcPr>
          <w:p>
            <w:pPr>
              <w:tabs>
                <w:tab w:val="left" w:pos="2800"/>
              </w:tabs>
              <w:spacing w:line="360" w:lineRule="auto"/>
              <w:ind w:right="-20"/>
              <w:jc w:val="center"/>
              <w:rPr>
                <w:rFonts w:ascii="Times New Roman" w:hAnsi="Times New Roman"/>
                <w:b/>
                <w:color w:val="auto"/>
                <w:kern w:val="0"/>
                <w:szCs w:val="21"/>
                <w:highlight w:val="none"/>
              </w:rPr>
            </w:pPr>
            <w:r>
              <w:rPr>
                <w:rFonts w:ascii="Times New Roman" w:hAnsi="Times New Roman"/>
                <w:b/>
                <w:color w:val="auto"/>
                <w:kern w:val="0"/>
                <w:szCs w:val="21"/>
                <w:highlight w:val="none"/>
              </w:rPr>
              <w:t>长度（公里）</w:t>
            </w:r>
          </w:p>
        </w:tc>
        <w:tc>
          <w:tcPr>
            <w:tcW w:w="1276" w:type="dxa"/>
            <w:vAlign w:val="center"/>
          </w:tcPr>
          <w:p>
            <w:pPr>
              <w:tabs>
                <w:tab w:val="left" w:pos="2800"/>
              </w:tabs>
              <w:spacing w:line="360" w:lineRule="auto"/>
              <w:ind w:right="-20"/>
              <w:jc w:val="center"/>
              <w:rPr>
                <w:rFonts w:ascii="Times New Roman" w:hAnsi="Times New Roman"/>
                <w:b/>
                <w:color w:val="auto"/>
                <w:kern w:val="0"/>
                <w:szCs w:val="21"/>
                <w:highlight w:val="none"/>
              </w:rPr>
            </w:pPr>
            <w:r>
              <w:rPr>
                <w:rFonts w:ascii="Times New Roman" w:hAnsi="Times New Roman"/>
                <w:b/>
                <w:color w:val="auto"/>
                <w:kern w:val="0"/>
                <w:szCs w:val="21"/>
                <w:highlight w:val="none"/>
              </w:rPr>
              <w:t>适宜绿化长度（公里）</w:t>
            </w:r>
          </w:p>
        </w:tc>
        <w:tc>
          <w:tcPr>
            <w:tcW w:w="1276" w:type="dxa"/>
            <w:vAlign w:val="center"/>
          </w:tcPr>
          <w:p>
            <w:pPr>
              <w:tabs>
                <w:tab w:val="left" w:pos="2800"/>
              </w:tabs>
              <w:spacing w:line="360" w:lineRule="auto"/>
              <w:ind w:right="-20"/>
              <w:jc w:val="center"/>
              <w:rPr>
                <w:rFonts w:ascii="Times New Roman" w:hAnsi="Times New Roman"/>
                <w:b/>
                <w:color w:val="auto"/>
                <w:kern w:val="0"/>
                <w:szCs w:val="21"/>
                <w:highlight w:val="none"/>
              </w:rPr>
            </w:pPr>
            <w:r>
              <w:rPr>
                <w:rFonts w:ascii="Times New Roman" w:hAnsi="Times New Roman"/>
                <w:b/>
                <w:color w:val="auto"/>
                <w:kern w:val="0"/>
                <w:szCs w:val="21"/>
                <w:highlight w:val="none"/>
              </w:rPr>
              <w:t>已绿化长度（公里）</w:t>
            </w:r>
          </w:p>
        </w:tc>
        <w:tc>
          <w:tcPr>
            <w:tcW w:w="1281" w:type="dxa"/>
            <w:vAlign w:val="center"/>
          </w:tcPr>
          <w:p>
            <w:pPr>
              <w:tabs>
                <w:tab w:val="left" w:pos="2800"/>
              </w:tabs>
              <w:spacing w:line="360" w:lineRule="auto"/>
              <w:ind w:right="-20"/>
              <w:jc w:val="center"/>
              <w:rPr>
                <w:rFonts w:ascii="Times New Roman" w:hAnsi="Times New Roman"/>
                <w:b/>
                <w:color w:val="auto"/>
                <w:kern w:val="0"/>
                <w:szCs w:val="21"/>
                <w:highlight w:val="none"/>
              </w:rPr>
            </w:pPr>
            <w:r>
              <w:rPr>
                <w:rFonts w:ascii="Times New Roman" w:hAnsi="Times New Roman"/>
                <w:b/>
                <w:color w:val="auto"/>
                <w:kern w:val="0"/>
                <w:szCs w:val="21"/>
                <w:highlight w:val="none"/>
              </w:rPr>
              <w:t>水岸绿化率（%）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黄江</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70.160</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24.56</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18.53</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74.48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大液河</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29.487</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26.54</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25.62</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96.55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龙津河</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19.351</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12.58</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11.75</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93.45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吊贡水</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11.030</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8.27</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8.27</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西坑水</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12.376</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11.76</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10.50</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89.34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6</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南门水</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12.531</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3.13</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3.13</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松林水</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14.503</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14.50</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11.81</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81.46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高沙水</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10.915</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10.92</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9.43</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86.43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银坑水</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14.827</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12.56</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12.25</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97.53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平龙水</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17.091</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12.82</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11.83</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92.31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11</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安步溪</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14.287</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12.82</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12.65</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98.67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12</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浅沙河</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14.788</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11.09</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10.74</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96.82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13</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小液河</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18.210</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13.66</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11.41</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83.54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14</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硫酸河</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8.346</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3.76</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3.76</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15</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羊牯岭截山洪</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12.081</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11.08</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10.85</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97.92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16</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龙船溪</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11.745</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9.98</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9.98</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17</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湖埔截洪渠道</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10.379</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8.95</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8.62</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96.31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18</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柴格陂</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3.750</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1.13</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1.13</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19</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荫湖溪</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1.886</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1.35</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1.28</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94.81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20</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后底溪河</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8.478</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7.21</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7.21</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21</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梅联河（干流）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12.217</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2.44</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2.44</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22</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浅沙河（马围船路段）</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2.461</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2.35</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2.15</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91.49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23</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浅沙河（南山闸段）</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1.309</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1.25</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1.15</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24</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十字岗河</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7.099</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3.90</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3.21</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82.15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25</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陆安河（支流）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2.200</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2.18</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2.18</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26</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陆安河（干流）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5.041</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4.89</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4.78</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97.75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27</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公平河</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4.930</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4.52</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4.36</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96.46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28</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官陂塘河</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2.561</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2.35</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2.31</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98.30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29</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水龙河</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2.786</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2.79</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2.79</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30</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谷刀河</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5.048</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1.01</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1.01</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31</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东坑河</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5.165</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1.29</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1.29</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32</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东塘河</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1.355</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0.27</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0.27</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33</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下田心河</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4.512</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2.71</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2.71</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34</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圆山岭河（支流）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0.753</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0.75</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0.57</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75.83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35</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圆山岭河（干流）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7.014</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3.61</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2.61</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82.63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36</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大德坑河</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4.413</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4.25</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4.15</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97.65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37</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金锡河</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6.205</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2.17</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2.17</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38</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雅卿排洪</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2.774</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2.61</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2.58</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98.85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39</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西排洪</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1.549</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1.46</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1.37</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93.62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40</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霞西排洪</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4.485</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0.90</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0.90</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41</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笏仔排洪</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1.874</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1.68</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1.59</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94.64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42</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溪仔排洪（干流）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4.905</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4.17</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3.46</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82.96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43</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双江溪</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6.338</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3.49</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3.49</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44</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黄山洞水库环山渠道</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9.524</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9.52</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9.52</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45</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联丰溪（沟尾吴后占段）</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2.815</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0.56</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0.56</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46</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联丰溪（泗马寮上墩段）</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2.322</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2.15</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2.05</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95.35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47</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石洲溪</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1.390</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0.49</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0.36</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73.21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48</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梅联河支流（夏港段）</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2.111</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0.42</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0.42</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49</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涂头棠池溪</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2.331</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2.26</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2.16</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98.58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50</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岩前燕洲溪</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3.851</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3.51</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3.46</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98.58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51</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大港溪</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2.126</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1.98</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1.87</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94.44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52</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廖厝溪</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1.566</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0.63</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0.14</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22.23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53</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罗輋河</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5.969</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5.36</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5.26</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98.13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54</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黄江支汊</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2.584</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1.81</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1.81</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55</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竹仔坑水库灌渠</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6.701</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4.02</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4.02</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56</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布格溪（锡坑段）</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4.951</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4.95</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4.95</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57</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北斗溪（浮潭段）</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4.028</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4.03</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4.03</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58</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径仔坑（湖洋溪）</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5.442</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5.44</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5.44</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59</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红花地水库灌溉干渠</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9.723</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8.75</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8.75</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60</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关东排洪</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2.112</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0.84</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0.61</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72.15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61</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长沙河</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4.391</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1.10</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1.10</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62</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母亲河</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4.413</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3.97</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3.75</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94.31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63</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溪仔河</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2.275</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1.93</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1.93</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64</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公平干渠</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河流</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22.514</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19.14</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17.15</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89.64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65</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公平水库</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水库</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127.85</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89.72</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80.94</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66</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青年水库</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水库</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21.31</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19.96</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15.42</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77.25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67</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红花地水库</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水库</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57.13</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55.73</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49.86</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89.47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68</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朝面山水库</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水库</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7.97</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7.62</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6.97</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91.47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69</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赤沙水库</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水库</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16.15</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15.29</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14.88</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97.32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70</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平龙水库</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水库</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10.41</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10.09</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9.46</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93.76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71</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南门水库</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水库</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14.08</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13.98</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13.86</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99.14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72</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红阳水库</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水库</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11.46</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11.04</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10.87</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98.46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73</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黄山洞水库</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水库</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12.69</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12.11</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12.11</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74</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朝阳水库</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水库</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7.85</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7.62</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7.62</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75</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平安洞水库</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水库</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10.96</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10.63</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10.22</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96.14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76</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南门水库（下库）</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水库</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4.62</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4.57</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4.57</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77</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可北水库</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水库</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3.64</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3.49</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3.49</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78</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渔仔潭水库</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水库</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4.03</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3.67</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3.67</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79</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竹仔坑水库</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水库</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20.06</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18.03</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17.84</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98.95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80</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茫婆坑水库</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水库</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10.05</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9.73</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9.34</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95.99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81</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十三坑水库</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水库</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5.82</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5.51</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4.66</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84.57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3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82</w:t>
            </w:r>
          </w:p>
        </w:tc>
        <w:tc>
          <w:tcPr>
            <w:tcW w:w="150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金锡水库</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水库</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2.69</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2.48</w:t>
            </w:r>
          </w:p>
        </w:tc>
        <w:tc>
          <w:tcPr>
            <w:tcW w:w="1276"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1.69</w:t>
            </w:r>
          </w:p>
        </w:tc>
        <w:tc>
          <w:tcPr>
            <w:tcW w:w="1281" w:type="dxa"/>
            <w:vAlign w:val="center"/>
          </w:tcPr>
          <w:p>
            <w:pPr>
              <w:tabs>
                <w:tab w:val="left" w:pos="2800"/>
              </w:tabs>
              <w:spacing w:line="360" w:lineRule="auto"/>
              <w:ind w:right="-20"/>
              <w:jc w:val="center"/>
              <w:rPr>
                <w:rFonts w:ascii="Times New Roman" w:hAnsi="Times New Roman"/>
                <w:bCs/>
                <w:color w:val="auto"/>
                <w:kern w:val="0"/>
                <w:szCs w:val="21"/>
                <w:highlight w:val="none"/>
              </w:rPr>
            </w:pPr>
            <w:r>
              <w:rPr>
                <w:rFonts w:ascii="Times New Roman" w:hAnsi="Times New Roman"/>
                <w:bCs/>
                <w:color w:val="auto"/>
                <w:kern w:val="0"/>
                <w:szCs w:val="21"/>
                <w:highlight w:val="none"/>
              </w:rPr>
              <w:t>68.15</w:t>
            </w:r>
          </w:p>
        </w:tc>
      </w:tr>
    </w:tbl>
    <w:p>
      <w:pPr>
        <w:rPr>
          <w:rFonts w:ascii="Times New Roman" w:hAnsi="Times New Roman"/>
          <w:color w:val="auto"/>
          <w:szCs w:val="21"/>
          <w:highlight w:val="none"/>
        </w:rPr>
      </w:pPr>
      <w:r>
        <w:rPr>
          <w:rFonts w:ascii="Times New Roman" w:hAnsi="Times New Roman"/>
          <w:color w:val="auto"/>
          <w:szCs w:val="21"/>
          <w:highlight w:val="none"/>
        </w:rPr>
        <w:t>注：</w:t>
      </w:r>
      <w:r>
        <w:rPr>
          <w:rFonts w:hint="default" w:ascii="Times New Roman" w:hAnsi="Times New Roman" w:cs="Times New Roman"/>
          <w:color w:val="auto"/>
          <w:szCs w:val="21"/>
          <w:highlight w:val="none"/>
        </w:rPr>
        <w:t>①</w:t>
      </w:r>
      <w:r>
        <w:rPr>
          <w:rFonts w:ascii="Times New Roman" w:hAnsi="Times New Roman"/>
          <w:color w:val="auto"/>
          <w:szCs w:val="21"/>
          <w:highlight w:val="none"/>
        </w:rPr>
        <w:t>纳入统计的水体，应包括《城市总体规划》中被列入E 水域的水体；</w:t>
      </w:r>
      <w:r>
        <w:rPr>
          <w:rFonts w:hint="default" w:ascii="Times New Roman" w:hAnsi="Times New Roman" w:cs="Times New Roman"/>
          <w:color w:val="auto"/>
          <w:szCs w:val="21"/>
          <w:highlight w:val="none"/>
        </w:rPr>
        <w:t>②</w:t>
      </w:r>
      <w:r>
        <w:rPr>
          <w:rFonts w:ascii="Times New Roman" w:hAnsi="Times New Roman"/>
          <w:color w:val="auto"/>
          <w:szCs w:val="21"/>
          <w:highlight w:val="none"/>
        </w:rPr>
        <w:t>岸线形态接近自然形态，充分保护和利用滨水区域原有野生和半野生生境；</w:t>
      </w:r>
      <w:r>
        <w:rPr>
          <w:rFonts w:hint="default" w:ascii="Times New Roman" w:hAnsi="Times New Roman" w:cs="Times New Roman"/>
          <w:color w:val="auto"/>
          <w:szCs w:val="21"/>
          <w:highlight w:val="none"/>
        </w:rPr>
        <w:t>③</w:t>
      </w:r>
      <w:r>
        <w:rPr>
          <w:rFonts w:ascii="Times New Roman" w:hAnsi="Times New Roman"/>
          <w:color w:val="auto"/>
          <w:szCs w:val="21"/>
          <w:highlight w:val="none"/>
        </w:rPr>
        <w:t>岸线长度为河道两侧岸线的总长度；</w:t>
      </w:r>
      <w:r>
        <w:rPr>
          <w:rFonts w:hint="default" w:ascii="Times New Roman" w:hAnsi="Times New Roman" w:cs="Times New Roman"/>
          <w:color w:val="auto"/>
          <w:szCs w:val="21"/>
          <w:highlight w:val="none"/>
        </w:rPr>
        <w:t>④</w:t>
      </w:r>
      <w:r>
        <w:rPr>
          <w:rFonts w:ascii="Times New Roman" w:hAnsi="Times New Roman"/>
          <w:color w:val="auto"/>
          <w:szCs w:val="21"/>
          <w:highlight w:val="none"/>
        </w:rPr>
        <w:t>具有地方传统特色的水巷、码头和历史名胜公园的岸线可不计入统计范围。</w:t>
      </w:r>
    </w:p>
    <w:p>
      <w:pPr>
        <w:spacing w:line="360" w:lineRule="auto"/>
        <w:rPr>
          <w:rFonts w:ascii="Times New Roman" w:hAnsi="Times New Roman"/>
          <w:color w:val="auto"/>
          <w:sz w:val="24"/>
          <w:highlight w:val="none"/>
        </w:rPr>
      </w:pPr>
    </w:p>
    <w:p>
      <w:pPr>
        <w:pStyle w:val="6"/>
        <w:rPr>
          <w:rFonts w:ascii="Times New Roman" w:hAnsi="Times New Roman"/>
          <w:color w:val="auto"/>
          <w:highlight w:val="none"/>
        </w:rPr>
      </w:pPr>
      <w:bookmarkStart w:id="445" w:name="_Toc54451083"/>
      <w:bookmarkStart w:id="446" w:name="_Toc60499719"/>
      <w:bookmarkStart w:id="447" w:name="_Toc18495"/>
      <w:bookmarkStart w:id="448" w:name="_Toc60776410"/>
      <w:r>
        <w:rPr>
          <w:rFonts w:ascii="Times New Roman" w:hAnsi="Times New Roman"/>
          <w:color w:val="auto"/>
          <w:highlight w:val="none"/>
        </w:rPr>
        <w:t>31、生物多样性保护</w:t>
      </w:r>
      <w:bookmarkEnd w:id="445"/>
      <w:bookmarkEnd w:id="446"/>
      <w:bookmarkEnd w:id="447"/>
      <w:bookmarkEnd w:id="448"/>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w:t>
      </w:r>
      <w:r>
        <w:rPr>
          <w:rFonts w:hint="default" w:ascii="Times New Roman" w:hAnsi="Times New Roman" w:cs="Times New Roman"/>
          <w:color w:val="auto"/>
          <w:sz w:val="24"/>
          <w:highlight w:val="none"/>
        </w:rPr>
        <w:t>①</w:t>
      </w:r>
      <w:r>
        <w:rPr>
          <w:rFonts w:ascii="Times New Roman" w:hAnsi="Times New Roman"/>
          <w:color w:val="auto"/>
          <w:sz w:val="24"/>
          <w:highlight w:val="none"/>
        </w:rPr>
        <w:t>已完成不小于县域范围的生物物种资源普查；</w:t>
      </w:r>
      <w:r>
        <w:rPr>
          <w:rFonts w:hint="default" w:ascii="Times New Roman" w:hAnsi="Times New Roman" w:cs="Times New Roman"/>
          <w:color w:val="auto"/>
          <w:sz w:val="24"/>
          <w:highlight w:val="none"/>
        </w:rPr>
        <w:t>②</w:t>
      </w:r>
      <w:r>
        <w:rPr>
          <w:rFonts w:ascii="Times New Roman" w:hAnsi="Times New Roman"/>
          <w:color w:val="auto"/>
          <w:sz w:val="24"/>
          <w:highlight w:val="none"/>
        </w:rPr>
        <w:t>以生物物种普查为基础，在《绿地系统规划》中有生物多样性保护专篇；</w:t>
      </w:r>
      <w:r>
        <w:rPr>
          <w:rFonts w:hint="default" w:ascii="Times New Roman" w:hAnsi="Times New Roman" w:cs="Times New Roman"/>
          <w:color w:val="auto"/>
          <w:sz w:val="24"/>
          <w:highlight w:val="none"/>
        </w:rPr>
        <w:t>③</w:t>
      </w:r>
      <w:r>
        <w:rPr>
          <w:rFonts w:ascii="Times New Roman" w:hAnsi="Times New Roman"/>
          <w:color w:val="auto"/>
          <w:sz w:val="24"/>
          <w:highlight w:val="none"/>
        </w:rPr>
        <w:t>生物物种总量保持合理增长，重要物种及其栖息地得到有效保护。</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w:t>
      </w:r>
      <w:r>
        <w:rPr>
          <w:rFonts w:hint="default" w:ascii="Times New Roman" w:hAnsi="Times New Roman" w:cs="Times New Roman"/>
          <w:color w:val="auto"/>
          <w:sz w:val="24"/>
          <w:highlight w:val="none"/>
        </w:rPr>
        <w:t>①</w:t>
      </w:r>
      <w:r>
        <w:rPr>
          <w:rFonts w:ascii="Times New Roman" w:hAnsi="Times New Roman"/>
          <w:color w:val="auto"/>
          <w:sz w:val="24"/>
          <w:highlight w:val="none"/>
        </w:rPr>
        <w:t>未进行县域范围生物物种资源普查；</w:t>
      </w:r>
      <w:r>
        <w:rPr>
          <w:rFonts w:hint="default" w:ascii="Times New Roman" w:hAnsi="Times New Roman" w:cs="Times New Roman"/>
          <w:color w:val="auto"/>
          <w:sz w:val="24"/>
          <w:highlight w:val="none"/>
        </w:rPr>
        <w:t>②</w:t>
      </w:r>
      <w:r>
        <w:rPr>
          <w:rFonts w:ascii="Times New Roman" w:hAnsi="Times New Roman"/>
          <w:color w:val="auto"/>
          <w:sz w:val="24"/>
          <w:highlight w:val="none"/>
        </w:rPr>
        <w:t>在编的《绿地系统规划》有生物多样性保护专篇；</w:t>
      </w:r>
      <w:r>
        <w:rPr>
          <w:rFonts w:hint="default" w:ascii="Times New Roman" w:hAnsi="Times New Roman" w:cs="Times New Roman"/>
          <w:color w:val="auto"/>
          <w:sz w:val="24"/>
          <w:highlight w:val="none"/>
        </w:rPr>
        <w:t>③</w:t>
      </w:r>
      <w:r>
        <w:rPr>
          <w:rFonts w:ascii="Times New Roman" w:hAnsi="Times New Roman"/>
          <w:color w:val="auto"/>
          <w:sz w:val="24"/>
          <w:highlight w:val="none"/>
        </w:rPr>
        <w:t>海丰县共有</w:t>
      </w:r>
      <w:r>
        <w:rPr>
          <w:rFonts w:hint="eastAsia" w:ascii="Times New Roman" w:hAnsi="Times New Roman"/>
          <w:color w:val="auto"/>
          <w:sz w:val="24"/>
          <w:highlight w:val="none"/>
        </w:rPr>
        <w:t>7个县级以上自然保护地，包括广东海丰鸟类省级自然保护区、广东海丰莲花山森林公园、海丰莲花山自然保护区、海丰学堂坑自然保护区、海丰县平东南门水库森林公园、海丰县大云岭森林公园和汕尾市黄羌林场五马归槽森林公园，</w:t>
      </w:r>
      <w:r>
        <w:rPr>
          <w:rFonts w:ascii="Times New Roman" w:hAnsi="Times New Roman"/>
          <w:color w:val="auto"/>
          <w:sz w:val="24"/>
          <w:highlight w:val="none"/>
        </w:rPr>
        <w:t>鸟类、蟒蛇、穿山甲、苏门羚、水獭、大壁虎、虎纹蛙、桫椤科种类等国家保护或重要资源物种及其栖息地得到有效保护。</w:t>
      </w:r>
      <w:r>
        <w:rPr>
          <w:rFonts w:ascii="Times New Roman" w:hAnsi="Times New Roman"/>
          <w:b/>
          <w:bCs/>
          <w:color w:val="auto"/>
          <w:sz w:val="24"/>
          <w:highlight w:val="none"/>
        </w:rPr>
        <w:t>该项为缺失性指标</w:t>
      </w:r>
      <w:r>
        <w:rPr>
          <w:rFonts w:ascii="Times New Roman" w:hAnsi="Times New Roman"/>
          <w:color w:val="auto"/>
          <w:sz w:val="24"/>
          <w:highlight w:val="none"/>
        </w:rPr>
        <w:t>。</w:t>
      </w:r>
    </w:p>
    <w:p>
      <w:pPr>
        <w:pStyle w:val="6"/>
        <w:rPr>
          <w:rFonts w:ascii="Times New Roman" w:hAnsi="Times New Roman"/>
          <w:color w:val="auto"/>
          <w:highlight w:val="none"/>
        </w:rPr>
      </w:pPr>
      <w:bookmarkStart w:id="449" w:name="_Toc60499720"/>
      <w:bookmarkStart w:id="450" w:name="_Toc2489"/>
      <w:bookmarkStart w:id="451" w:name="_Toc54451084"/>
      <w:bookmarkStart w:id="452" w:name="_Toc60776411"/>
      <w:r>
        <w:rPr>
          <w:rFonts w:ascii="Times New Roman" w:hAnsi="Times New Roman"/>
          <w:color w:val="auto"/>
          <w:highlight w:val="none"/>
        </w:rPr>
        <w:t>32、乡土、适生植物资源保护与应用</w:t>
      </w:r>
      <w:bookmarkEnd w:id="449"/>
      <w:bookmarkEnd w:id="450"/>
      <w:bookmarkEnd w:id="451"/>
      <w:bookmarkEnd w:id="452"/>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w:t>
      </w:r>
      <w:r>
        <w:rPr>
          <w:rFonts w:hint="default" w:ascii="Times New Roman" w:hAnsi="Times New Roman" w:cs="Times New Roman"/>
          <w:color w:val="auto"/>
          <w:sz w:val="24"/>
          <w:highlight w:val="none"/>
        </w:rPr>
        <w:t>①</w:t>
      </w:r>
      <w:r>
        <w:rPr>
          <w:rFonts w:ascii="Times New Roman" w:hAnsi="Times New Roman"/>
          <w:color w:val="auto"/>
          <w:sz w:val="24"/>
          <w:highlight w:val="none"/>
        </w:rPr>
        <w:t>结合风景名胜区、植物专类园、综合公园、生产苗圃等建立乡土、适生植物种质资源库，并开展相应的引种驯化研究；</w:t>
      </w:r>
      <w:r>
        <w:rPr>
          <w:rFonts w:hint="default" w:ascii="Times New Roman" w:hAnsi="Times New Roman" w:cs="Times New Roman"/>
          <w:color w:val="auto"/>
          <w:sz w:val="24"/>
          <w:highlight w:val="none"/>
        </w:rPr>
        <w:t>②</w:t>
      </w:r>
      <w:r>
        <w:rPr>
          <w:rFonts w:ascii="Times New Roman" w:hAnsi="Times New Roman"/>
          <w:color w:val="auto"/>
          <w:sz w:val="24"/>
          <w:highlight w:val="none"/>
        </w:rPr>
        <w:t>积极推广应用乡土及适生植物，丰富地被植物品种；</w:t>
      </w:r>
      <w:r>
        <w:rPr>
          <w:rFonts w:hint="default" w:ascii="Times New Roman" w:hAnsi="Times New Roman" w:cs="Times New Roman"/>
          <w:color w:val="auto"/>
          <w:sz w:val="24"/>
          <w:highlight w:val="none"/>
        </w:rPr>
        <w:t>③</w:t>
      </w:r>
      <w:r>
        <w:rPr>
          <w:rFonts w:ascii="Times New Roman" w:hAnsi="Times New Roman"/>
          <w:color w:val="auto"/>
          <w:sz w:val="24"/>
          <w:highlight w:val="none"/>
        </w:rPr>
        <w:t>本地木本植物指数≥0.70。</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计算方法：本地木本植物指数=本地木本植物物种数（种）/木本植物物种总数（种）</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w:t>
      </w:r>
      <w:r>
        <w:rPr>
          <w:rFonts w:hint="default" w:ascii="Times New Roman" w:hAnsi="Times New Roman" w:cs="Times New Roman"/>
          <w:color w:val="auto"/>
          <w:sz w:val="24"/>
          <w:highlight w:val="none"/>
        </w:rPr>
        <w:t>①</w:t>
      </w:r>
      <w:r>
        <w:rPr>
          <w:rFonts w:ascii="Times New Roman" w:hAnsi="Times New Roman"/>
          <w:color w:val="auto"/>
          <w:sz w:val="24"/>
          <w:highlight w:val="none"/>
        </w:rPr>
        <w:t>海丰县</w:t>
      </w:r>
      <w:r>
        <w:rPr>
          <w:rFonts w:hint="eastAsia" w:ascii="Times New Roman" w:hAnsi="Times New Roman"/>
          <w:color w:val="auto"/>
          <w:sz w:val="24"/>
          <w:highlight w:val="none"/>
        </w:rPr>
        <w:t>尚未</w:t>
      </w:r>
      <w:r>
        <w:rPr>
          <w:rFonts w:ascii="Times New Roman" w:hAnsi="Times New Roman"/>
          <w:color w:val="auto"/>
          <w:sz w:val="24"/>
          <w:highlight w:val="none"/>
        </w:rPr>
        <w:t>建立乡土、适生植物种质资源库；</w:t>
      </w:r>
      <w:r>
        <w:rPr>
          <w:rFonts w:hint="default" w:ascii="Times New Roman" w:hAnsi="Times New Roman" w:cs="Times New Roman"/>
          <w:color w:val="auto"/>
          <w:sz w:val="24"/>
          <w:highlight w:val="none"/>
        </w:rPr>
        <w:t>②</w:t>
      </w:r>
      <w:r>
        <w:rPr>
          <w:rFonts w:ascii="Times New Roman" w:hAnsi="Times New Roman"/>
          <w:color w:val="auto"/>
          <w:sz w:val="24"/>
          <w:highlight w:val="none"/>
        </w:rPr>
        <w:t>乡土及适生植物种类和木本植物指数调查采用典型样地调查法，选取了 36个样点作为调查对象，以保证调查数据的全面性和严谨性。调查样点如表4-6所示。结果共记录园林景观植物 99种（含变种），隶属 47科54属，其中乔木59种，灌木40种；</w:t>
      </w:r>
      <w:r>
        <w:rPr>
          <w:rFonts w:hint="default" w:ascii="Times New Roman" w:hAnsi="Times New Roman" w:cs="Times New Roman"/>
          <w:color w:val="auto"/>
          <w:sz w:val="24"/>
          <w:highlight w:val="none"/>
        </w:rPr>
        <w:t>③</w:t>
      </w:r>
      <w:r>
        <w:rPr>
          <w:rFonts w:ascii="Times New Roman" w:hAnsi="Times New Roman"/>
          <w:color w:val="auto"/>
          <w:sz w:val="24"/>
          <w:highlight w:val="none"/>
        </w:rPr>
        <w:t>木本植物总数量</w:t>
      </w:r>
      <w:r>
        <w:rPr>
          <w:rFonts w:ascii="Times New Roman" w:hAnsi="Times New Roman"/>
          <w:color w:val="auto"/>
          <w:kern w:val="0"/>
          <w:szCs w:val="21"/>
          <w:highlight w:val="none"/>
        </w:rPr>
        <w:t>45879</w:t>
      </w:r>
      <w:r>
        <w:rPr>
          <w:rFonts w:ascii="Times New Roman" w:hAnsi="Times New Roman"/>
          <w:color w:val="auto"/>
          <w:sz w:val="24"/>
          <w:highlight w:val="none"/>
        </w:rPr>
        <w:t>株，本地木本植物</w:t>
      </w:r>
      <w:r>
        <w:rPr>
          <w:rFonts w:ascii="Times New Roman" w:hAnsi="Times New Roman"/>
          <w:color w:val="auto"/>
          <w:kern w:val="0"/>
          <w:szCs w:val="21"/>
          <w:highlight w:val="none"/>
        </w:rPr>
        <w:t>37429</w:t>
      </w:r>
      <w:r>
        <w:rPr>
          <w:rFonts w:ascii="Times New Roman" w:hAnsi="Times New Roman"/>
          <w:color w:val="auto"/>
          <w:sz w:val="24"/>
          <w:highlight w:val="none"/>
        </w:rPr>
        <w:t>株，本地木本植物指数约为0.82，乡土树种丰富。</w:t>
      </w:r>
      <w:r>
        <w:rPr>
          <w:rFonts w:ascii="Times New Roman" w:hAnsi="Times New Roman"/>
          <w:b/>
          <w:color w:val="auto"/>
          <w:sz w:val="24"/>
          <w:highlight w:val="none"/>
        </w:rPr>
        <w:t>该项暂未达标。</w:t>
      </w:r>
    </w:p>
    <w:p>
      <w:pPr>
        <w:spacing w:line="360" w:lineRule="auto"/>
        <w:jc w:val="center"/>
        <w:rPr>
          <w:rFonts w:ascii="Times New Roman" w:hAnsi="Times New Roman"/>
          <w:b/>
          <w:color w:val="auto"/>
          <w:sz w:val="24"/>
          <w:highlight w:val="none"/>
        </w:rPr>
      </w:pPr>
      <w:r>
        <w:rPr>
          <w:rFonts w:ascii="Times New Roman" w:hAnsi="Times New Roman"/>
          <w:b/>
          <w:color w:val="auto"/>
          <w:sz w:val="24"/>
          <w:highlight w:val="none"/>
        </w:rPr>
        <w:t>表4-</w:t>
      </w:r>
      <w:r>
        <w:rPr>
          <w:rFonts w:hint="eastAsia" w:ascii="Times New Roman" w:hAnsi="Times New Roman"/>
          <w:b/>
          <w:color w:val="auto"/>
          <w:sz w:val="24"/>
          <w:highlight w:val="none"/>
        </w:rPr>
        <w:t>3</w:t>
      </w:r>
      <w:r>
        <w:rPr>
          <w:rFonts w:ascii="Times New Roman" w:hAnsi="Times New Roman"/>
          <w:b/>
          <w:color w:val="auto"/>
          <w:sz w:val="24"/>
          <w:highlight w:val="none"/>
        </w:rPr>
        <w:t xml:space="preserve"> </w:t>
      </w:r>
      <w:r>
        <w:rPr>
          <w:rFonts w:ascii="Times New Roman" w:hAnsi="Times New Roman"/>
          <w:b/>
          <w:color w:val="auto"/>
          <w:sz w:val="24"/>
          <w:highlight w:val="none"/>
        </w:rPr>
        <w:tab/>
      </w:r>
      <w:r>
        <w:rPr>
          <w:rFonts w:ascii="Times New Roman" w:hAnsi="Times New Roman"/>
          <w:b/>
          <w:color w:val="auto"/>
          <w:sz w:val="24"/>
          <w:highlight w:val="none"/>
        </w:rPr>
        <w:t>海丰县本地木本植物使用统计表</w:t>
      </w:r>
    </w:p>
    <w:tbl>
      <w:tblPr>
        <w:tblStyle w:val="20"/>
        <w:tblW w:w="8314" w:type="dxa"/>
        <w:tblInd w:w="0" w:type="dxa"/>
        <w:tblLayout w:type="fixed"/>
        <w:tblCellMar>
          <w:top w:w="0" w:type="dxa"/>
          <w:left w:w="0" w:type="dxa"/>
          <w:bottom w:w="0" w:type="dxa"/>
          <w:right w:w="0" w:type="dxa"/>
        </w:tblCellMar>
      </w:tblPr>
      <w:tblGrid>
        <w:gridCol w:w="915"/>
        <w:gridCol w:w="2070"/>
        <w:gridCol w:w="1736"/>
        <w:gridCol w:w="1796"/>
        <w:gridCol w:w="1797"/>
      </w:tblGrid>
      <w:tr>
        <w:tblPrEx>
          <w:tblCellMar>
            <w:top w:w="0" w:type="dxa"/>
            <w:left w:w="0" w:type="dxa"/>
            <w:bottom w:w="0" w:type="dxa"/>
            <w:right w:w="0" w:type="dxa"/>
          </w:tblCellMar>
        </w:tblPrEx>
        <w:trPr>
          <w:trHeight w:val="911" w:hRule="exact"/>
        </w:trPr>
        <w:tc>
          <w:tcPr>
            <w:tcW w:w="915" w:type="dxa"/>
            <w:tcBorders>
              <w:top w:val="single" w:color="000000" w:sz="2" w:space="0"/>
              <w:left w:val="single" w:color="000000" w:sz="2" w:space="0"/>
              <w:bottom w:val="single" w:color="000000" w:sz="2" w:space="0"/>
              <w:right w:val="single" w:color="000000" w:sz="2" w:space="0"/>
            </w:tcBorders>
            <w:vAlign w:val="center"/>
          </w:tcPr>
          <w:p>
            <w:pPr>
              <w:spacing w:before="60"/>
              <w:ind w:left="214" w:right="-20"/>
              <w:jc w:val="center"/>
              <w:rPr>
                <w:rFonts w:ascii="Times New Roman" w:hAnsi="Times New Roman"/>
                <w:b/>
                <w:color w:val="auto"/>
                <w:kern w:val="0"/>
                <w:szCs w:val="21"/>
                <w:highlight w:val="none"/>
                <w:lang w:eastAsia="en-US"/>
              </w:rPr>
            </w:pPr>
            <w:r>
              <w:rPr>
                <w:rFonts w:ascii="Times New Roman" w:hAnsi="Times New Roman"/>
                <w:b/>
                <w:color w:val="auto"/>
                <w:kern w:val="0"/>
                <w:szCs w:val="21"/>
                <w:highlight w:val="none"/>
                <w:lang w:eastAsia="en-US"/>
              </w:rPr>
              <w:t>序号</w:t>
            </w:r>
          </w:p>
        </w:tc>
        <w:tc>
          <w:tcPr>
            <w:tcW w:w="2070" w:type="dxa"/>
            <w:tcBorders>
              <w:top w:val="single" w:color="000000" w:sz="2" w:space="0"/>
              <w:left w:val="single" w:color="000000" w:sz="2" w:space="0"/>
              <w:bottom w:val="single" w:color="000000" w:sz="2" w:space="0"/>
              <w:right w:val="single" w:color="000000" w:sz="2" w:space="0"/>
            </w:tcBorders>
            <w:vAlign w:val="center"/>
          </w:tcPr>
          <w:p>
            <w:pPr>
              <w:spacing w:before="60"/>
              <w:ind w:left="670" w:right="-20"/>
              <w:jc w:val="center"/>
              <w:rPr>
                <w:rFonts w:ascii="Times New Roman" w:hAnsi="Times New Roman"/>
                <w:b/>
                <w:color w:val="auto"/>
                <w:kern w:val="0"/>
                <w:szCs w:val="21"/>
                <w:highlight w:val="none"/>
                <w:lang w:eastAsia="en-US"/>
              </w:rPr>
            </w:pPr>
            <w:r>
              <w:rPr>
                <w:rFonts w:ascii="Times New Roman" w:hAnsi="Times New Roman"/>
                <w:b/>
                <w:color w:val="auto"/>
                <w:kern w:val="0"/>
                <w:szCs w:val="21"/>
                <w:highlight w:val="none"/>
                <w:lang w:eastAsia="en-US"/>
              </w:rPr>
              <w:t>行</w:t>
            </w:r>
            <w:r>
              <w:rPr>
                <w:rFonts w:ascii="Times New Roman" w:hAnsi="Times New Roman"/>
                <w:b/>
                <w:color w:val="auto"/>
                <w:spacing w:val="2"/>
                <w:kern w:val="0"/>
                <w:szCs w:val="21"/>
                <w:highlight w:val="none"/>
                <w:lang w:eastAsia="en-US"/>
              </w:rPr>
              <w:t>政</w:t>
            </w:r>
            <w:r>
              <w:rPr>
                <w:rFonts w:ascii="Times New Roman" w:hAnsi="Times New Roman"/>
                <w:b/>
                <w:color w:val="auto"/>
                <w:kern w:val="0"/>
                <w:szCs w:val="21"/>
                <w:highlight w:val="none"/>
                <w:lang w:eastAsia="en-US"/>
              </w:rPr>
              <w:t>区</w:t>
            </w:r>
          </w:p>
        </w:tc>
        <w:tc>
          <w:tcPr>
            <w:tcW w:w="1736" w:type="dxa"/>
            <w:tcBorders>
              <w:top w:val="single" w:color="000000" w:sz="2" w:space="0"/>
              <w:left w:val="single" w:color="000000" w:sz="2" w:space="0"/>
              <w:bottom w:val="single" w:color="000000" w:sz="2" w:space="0"/>
              <w:right w:val="single" w:color="000000" w:sz="2" w:space="0"/>
            </w:tcBorders>
            <w:vAlign w:val="center"/>
          </w:tcPr>
          <w:p>
            <w:pPr>
              <w:ind w:left="105" w:right="84"/>
              <w:jc w:val="center"/>
              <w:rPr>
                <w:rFonts w:ascii="Times New Roman" w:hAnsi="Times New Roman"/>
                <w:b/>
                <w:color w:val="auto"/>
                <w:kern w:val="0"/>
                <w:szCs w:val="21"/>
                <w:highlight w:val="none"/>
                <w:lang w:eastAsia="en-US"/>
              </w:rPr>
            </w:pPr>
            <w:r>
              <w:rPr>
                <w:rFonts w:ascii="Times New Roman" w:hAnsi="Times New Roman"/>
                <w:b/>
                <w:color w:val="auto"/>
                <w:kern w:val="0"/>
                <w:szCs w:val="21"/>
                <w:highlight w:val="none"/>
                <w:lang w:eastAsia="en-US"/>
              </w:rPr>
              <w:t>绿</w:t>
            </w:r>
            <w:r>
              <w:rPr>
                <w:rFonts w:ascii="Times New Roman" w:hAnsi="Times New Roman"/>
                <w:b/>
                <w:color w:val="auto"/>
                <w:spacing w:val="2"/>
                <w:kern w:val="0"/>
                <w:szCs w:val="21"/>
                <w:highlight w:val="none"/>
                <w:lang w:eastAsia="en-US"/>
              </w:rPr>
              <w:t>化</w:t>
            </w:r>
            <w:r>
              <w:rPr>
                <w:rFonts w:ascii="Times New Roman" w:hAnsi="Times New Roman"/>
                <w:b/>
                <w:color w:val="auto"/>
                <w:kern w:val="0"/>
                <w:szCs w:val="21"/>
                <w:highlight w:val="none"/>
                <w:lang w:eastAsia="en-US"/>
              </w:rPr>
              <w:t>树</w:t>
            </w:r>
            <w:r>
              <w:rPr>
                <w:rFonts w:ascii="Times New Roman" w:hAnsi="Times New Roman"/>
                <w:b/>
                <w:color w:val="auto"/>
                <w:spacing w:val="2"/>
                <w:kern w:val="0"/>
                <w:szCs w:val="21"/>
                <w:highlight w:val="none"/>
                <w:lang w:eastAsia="en-US"/>
              </w:rPr>
              <w:t>种</w:t>
            </w:r>
            <w:r>
              <w:rPr>
                <w:rFonts w:ascii="Times New Roman" w:hAnsi="Times New Roman"/>
                <w:b/>
                <w:color w:val="auto"/>
                <w:kern w:val="0"/>
                <w:szCs w:val="21"/>
                <w:highlight w:val="none"/>
                <w:lang w:eastAsia="en-US"/>
              </w:rPr>
              <w:t>数量</w:t>
            </w:r>
          </w:p>
          <w:p>
            <w:pPr>
              <w:ind w:left="465" w:right="446"/>
              <w:jc w:val="center"/>
              <w:rPr>
                <w:rFonts w:ascii="Times New Roman" w:hAnsi="Times New Roman"/>
                <w:b/>
                <w:color w:val="auto"/>
                <w:kern w:val="0"/>
                <w:szCs w:val="21"/>
                <w:highlight w:val="none"/>
                <w:lang w:eastAsia="en-US"/>
              </w:rPr>
            </w:pPr>
            <w:r>
              <w:rPr>
                <w:rFonts w:ascii="Times New Roman" w:hAnsi="Times New Roman"/>
                <w:b/>
                <w:color w:val="auto"/>
                <w:kern w:val="0"/>
                <w:szCs w:val="21"/>
                <w:highlight w:val="none"/>
                <w:lang w:eastAsia="en-US"/>
              </w:rPr>
              <w:t>（</w:t>
            </w:r>
            <w:r>
              <w:rPr>
                <w:rFonts w:ascii="Times New Roman" w:hAnsi="Times New Roman"/>
                <w:b/>
                <w:color w:val="auto"/>
                <w:spacing w:val="2"/>
                <w:kern w:val="0"/>
                <w:szCs w:val="21"/>
                <w:highlight w:val="none"/>
                <w:lang w:eastAsia="en-US"/>
              </w:rPr>
              <w:t>株</w:t>
            </w:r>
            <w:r>
              <w:rPr>
                <w:rFonts w:ascii="Times New Roman" w:hAnsi="Times New Roman"/>
                <w:b/>
                <w:color w:val="auto"/>
                <w:kern w:val="0"/>
                <w:szCs w:val="21"/>
                <w:highlight w:val="none"/>
                <w:lang w:eastAsia="en-US"/>
              </w:rPr>
              <w:t>）</w:t>
            </w:r>
          </w:p>
        </w:tc>
        <w:tc>
          <w:tcPr>
            <w:tcW w:w="1796" w:type="dxa"/>
            <w:tcBorders>
              <w:top w:val="single" w:color="000000" w:sz="2" w:space="0"/>
              <w:left w:val="single" w:color="000000" w:sz="2" w:space="0"/>
              <w:bottom w:val="single" w:color="000000" w:sz="2" w:space="0"/>
              <w:right w:val="single" w:color="000000" w:sz="2" w:space="0"/>
            </w:tcBorders>
            <w:vAlign w:val="center"/>
          </w:tcPr>
          <w:p>
            <w:pPr>
              <w:ind w:left="137" w:right="111"/>
              <w:jc w:val="center"/>
              <w:rPr>
                <w:rFonts w:ascii="Times New Roman" w:hAnsi="Times New Roman"/>
                <w:b/>
                <w:color w:val="auto"/>
                <w:kern w:val="0"/>
                <w:szCs w:val="21"/>
                <w:highlight w:val="none"/>
                <w:lang w:eastAsia="en-US"/>
              </w:rPr>
            </w:pPr>
            <w:r>
              <w:rPr>
                <w:rFonts w:ascii="Times New Roman" w:hAnsi="Times New Roman"/>
                <w:b/>
                <w:color w:val="auto"/>
                <w:kern w:val="0"/>
                <w:szCs w:val="21"/>
                <w:highlight w:val="none"/>
                <w:lang w:eastAsia="en-US"/>
              </w:rPr>
              <w:t>乡</w:t>
            </w:r>
            <w:r>
              <w:rPr>
                <w:rFonts w:ascii="Times New Roman" w:hAnsi="Times New Roman"/>
                <w:b/>
                <w:color w:val="auto"/>
                <w:spacing w:val="2"/>
                <w:kern w:val="0"/>
                <w:szCs w:val="21"/>
                <w:highlight w:val="none"/>
                <w:lang w:eastAsia="en-US"/>
              </w:rPr>
              <w:t>土</w:t>
            </w:r>
            <w:r>
              <w:rPr>
                <w:rFonts w:ascii="Times New Roman" w:hAnsi="Times New Roman"/>
                <w:b/>
                <w:color w:val="auto"/>
                <w:kern w:val="0"/>
                <w:szCs w:val="21"/>
                <w:highlight w:val="none"/>
                <w:lang w:eastAsia="en-US"/>
              </w:rPr>
              <w:t>树</w:t>
            </w:r>
            <w:r>
              <w:rPr>
                <w:rFonts w:ascii="Times New Roman" w:hAnsi="Times New Roman"/>
                <w:b/>
                <w:color w:val="auto"/>
                <w:spacing w:val="2"/>
                <w:kern w:val="0"/>
                <w:szCs w:val="21"/>
                <w:highlight w:val="none"/>
                <w:lang w:eastAsia="en-US"/>
              </w:rPr>
              <w:t>种</w:t>
            </w:r>
            <w:r>
              <w:rPr>
                <w:rFonts w:ascii="Times New Roman" w:hAnsi="Times New Roman"/>
                <w:b/>
                <w:color w:val="auto"/>
                <w:kern w:val="0"/>
                <w:szCs w:val="21"/>
                <w:highlight w:val="none"/>
                <w:lang w:eastAsia="en-US"/>
              </w:rPr>
              <w:t>数量</w:t>
            </w:r>
          </w:p>
          <w:p>
            <w:pPr>
              <w:ind w:left="497" w:right="474"/>
              <w:jc w:val="center"/>
              <w:rPr>
                <w:rFonts w:ascii="Times New Roman" w:hAnsi="Times New Roman"/>
                <w:b/>
                <w:color w:val="auto"/>
                <w:kern w:val="0"/>
                <w:szCs w:val="21"/>
                <w:highlight w:val="none"/>
                <w:lang w:eastAsia="en-US"/>
              </w:rPr>
            </w:pPr>
            <w:r>
              <w:rPr>
                <w:rFonts w:ascii="Times New Roman" w:hAnsi="Times New Roman"/>
                <w:b/>
                <w:color w:val="auto"/>
                <w:kern w:val="0"/>
                <w:szCs w:val="21"/>
                <w:highlight w:val="none"/>
                <w:lang w:eastAsia="en-US"/>
              </w:rPr>
              <w:t>（</w:t>
            </w:r>
            <w:r>
              <w:rPr>
                <w:rFonts w:ascii="Times New Roman" w:hAnsi="Times New Roman"/>
                <w:b/>
                <w:color w:val="auto"/>
                <w:spacing w:val="2"/>
                <w:kern w:val="0"/>
                <w:szCs w:val="21"/>
                <w:highlight w:val="none"/>
                <w:lang w:eastAsia="en-US"/>
              </w:rPr>
              <w:t>株</w:t>
            </w:r>
            <w:r>
              <w:rPr>
                <w:rFonts w:ascii="Times New Roman" w:hAnsi="Times New Roman"/>
                <w:b/>
                <w:color w:val="auto"/>
                <w:kern w:val="0"/>
                <w:szCs w:val="21"/>
                <w:highlight w:val="none"/>
                <w:lang w:eastAsia="en-US"/>
              </w:rPr>
              <w:t>）</w:t>
            </w:r>
          </w:p>
        </w:tc>
        <w:tc>
          <w:tcPr>
            <w:tcW w:w="1797" w:type="dxa"/>
            <w:tcBorders>
              <w:top w:val="single" w:color="000000" w:sz="2" w:space="0"/>
              <w:left w:val="single" w:color="000000" w:sz="2" w:space="0"/>
              <w:bottom w:val="single" w:color="000000" w:sz="2" w:space="0"/>
              <w:right w:val="single" w:color="000000" w:sz="2" w:space="0"/>
            </w:tcBorders>
            <w:vAlign w:val="center"/>
          </w:tcPr>
          <w:p>
            <w:pPr>
              <w:ind w:left="126" w:right="100"/>
              <w:jc w:val="center"/>
              <w:rPr>
                <w:rFonts w:ascii="Times New Roman" w:hAnsi="Times New Roman"/>
                <w:b/>
                <w:color w:val="auto"/>
                <w:kern w:val="0"/>
                <w:szCs w:val="21"/>
                <w:highlight w:val="none"/>
              </w:rPr>
            </w:pPr>
            <w:r>
              <w:rPr>
                <w:rFonts w:ascii="Times New Roman" w:hAnsi="Times New Roman"/>
                <w:b/>
                <w:color w:val="auto"/>
                <w:kern w:val="0"/>
                <w:szCs w:val="21"/>
                <w:highlight w:val="none"/>
                <w:lang w:eastAsia="en-US"/>
              </w:rPr>
              <w:t>乡</w:t>
            </w:r>
            <w:r>
              <w:rPr>
                <w:rFonts w:ascii="Times New Roman" w:hAnsi="Times New Roman"/>
                <w:b/>
                <w:color w:val="auto"/>
                <w:spacing w:val="2"/>
                <w:kern w:val="0"/>
                <w:szCs w:val="21"/>
                <w:highlight w:val="none"/>
                <w:lang w:eastAsia="en-US"/>
              </w:rPr>
              <w:t>土</w:t>
            </w:r>
            <w:r>
              <w:rPr>
                <w:rFonts w:ascii="Times New Roman" w:hAnsi="Times New Roman"/>
                <w:b/>
                <w:color w:val="auto"/>
                <w:kern w:val="0"/>
                <w:szCs w:val="21"/>
                <w:highlight w:val="none"/>
                <w:lang w:eastAsia="en-US"/>
              </w:rPr>
              <w:t>树</w:t>
            </w:r>
            <w:r>
              <w:rPr>
                <w:rFonts w:ascii="Times New Roman" w:hAnsi="Times New Roman"/>
                <w:b/>
                <w:color w:val="auto"/>
                <w:spacing w:val="2"/>
                <w:kern w:val="0"/>
                <w:szCs w:val="21"/>
                <w:highlight w:val="none"/>
                <w:lang w:eastAsia="en-US"/>
              </w:rPr>
              <w:t>种</w:t>
            </w:r>
            <w:r>
              <w:rPr>
                <w:rFonts w:ascii="Times New Roman" w:hAnsi="Times New Roman"/>
                <w:b/>
                <w:color w:val="auto"/>
                <w:kern w:val="0"/>
                <w:szCs w:val="21"/>
                <w:highlight w:val="none"/>
                <w:lang w:eastAsia="en-US"/>
              </w:rPr>
              <w:t>比例</w:t>
            </w:r>
          </w:p>
        </w:tc>
      </w:tr>
      <w:tr>
        <w:tblPrEx>
          <w:tblCellMar>
            <w:top w:w="0" w:type="dxa"/>
            <w:left w:w="0" w:type="dxa"/>
            <w:bottom w:w="0" w:type="dxa"/>
            <w:right w:w="0" w:type="dxa"/>
          </w:tblCellMar>
        </w:tblPrEx>
        <w:trPr>
          <w:trHeight w:val="688" w:hRule="exact"/>
        </w:trPr>
        <w:tc>
          <w:tcPr>
            <w:tcW w:w="915" w:type="dxa"/>
            <w:tcBorders>
              <w:top w:val="single" w:color="000000" w:sz="2" w:space="0"/>
              <w:left w:val="single" w:color="000000" w:sz="2" w:space="0"/>
              <w:bottom w:val="single" w:color="000000" w:sz="2" w:space="0"/>
              <w:right w:val="single" w:color="000000" w:sz="2" w:space="0"/>
            </w:tcBorders>
            <w:vAlign w:val="center"/>
          </w:tcPr>
          <w:p>
            <w:pPr>
              <w:ind w:left="356" w:right="335"/>
              <w:jc w:val="center"/>
              <w:rPr>
                <w:rFonts w:ascii="Times New Roman" w:hAnsi="Times New Roman"/>
                <w:color w:val="auto"/>
                <w:kern w:val="0"/>
                <w:szCs w:val="21"/>
                <w:highlight w:val="none"/>
                <w:lang w:eastAsia="en-US"/>
              </w:rPr>
            </w:pPr>
            <w:r>
              <w:rPr>
                <w:rFonts w:ascii="Times New Roman" w:hAnsi="Times New Roman"/>
                <w:color w:val="auto"/>
                <w:kern w:val="0"/>
                <w:szCs w:val="21"/>
                <w:highlight w:val="none"/>
                <w:lang w:eastAsia="en-US"/>
              </w:rPr>
              <w:t>1</w:t>
            </w:r>
          </w:p>
        </w:tc>
        <w:tc>
          <w:tcPr>
            <w:tcW w:w="2070" w:type="dxa"/>
            <w:tcBorders>
              <w:top w:val="single" w:color="000000" w:sz="2" w:space="0"/>
              <w:left w:val="single" w:color="000000" w:sz="2" w:space="0"/>
              <w:bottom w:val="single" w:color="000000" w:sz="2" w:space="0"/>
              <w:right w:val="single" w:color="000000" w:sz="2" w:space="0"/>
            </w:tcBorders>
            <w:vAlign w:val="center"/>
          </w:tcPr>
          <w:p>
            <w:pPr>
              <w:spacing w:before="81"/>
              <w:ind w:left="670" w:right="-20"/>
              <w:rPr>
                <w:rFonts w:ascii="Times New Roman" w:hAnsi="Times New Roman"/>
                <w:color w:val="auto"/>
                <w:kern w:val="0"/>
                <w:szCs w:val="21"/>
                <w:highlight w:val="none"/>
                <w:lang w:eastAsia="en-US"/>
              </w:rPr>
            </w:pPr>
            <w:r>
              <w:rPr>
                <w:rFonts w:ascii="Times New Roman" w:hAnsi="Times New Roman"/>
                <w:color w:val="auto"/>
                <w:kern w:val="0"/>
                <w:szCs w:val="21"/>
                <w:highlight w:val="none"/>
                <w:lang w:eastAsia="en-US"/>
              </w:rPr>
              <w:t>海丰县</w:t>
            </w:r>
          </w:p>
        </w:tc>
        <w:tc>
          <w:tcPr>
            <w:tcW w:w="1736" w:type="dxa"/>
            <w:tcBorders>
              <w:top w:val="single" w:color="000000" w:sz="2" w:space="0"/>
              <w:left w:val="single" w:color="000000" w:sz="2" w:space="0"/>
              <w:bottom w:val="single" w:color="000000" w:sz="2" w:space="0"/>
              <w:right w:val="single" w:color="000000" w:sz="2" w:space="0"/>
            </w:tcBorders>
            <w:vAlign w:val="center"/>
          </w:tcPr>
          <w:p>
            <w:pPr>
              <w:ind w:left="563" w:right="-20"/>
              <w:rPr>
                <w:rFonts w:ascii="Times New Roman" w:hAnsi="Times New Roman"/>
                <w:color w:val="auto"/>
                <w:kern w:val="0"/>
                <w:szCs w:val="21"/>
                <w:highlight w:val="none"/>
              </w:rPr>
            </w:pPr>
            <w:r>
              <w:rPr>
                <w:rFonts w:ascii="Times New Roman" w:hAnsi="Times New Roman"/>
                <w:color w:val="auto"/>
                <w:kern w:val="0"/>
                <w:szCs w:val="21"/>
                <w:highlight w:val="none"/>
              </w:rPr>
              <w:t>45879</w:t>
            </w:r>
          </w:p>
        </w:tc>
        <w:tc>
          <w:tcPr>
            <w:tcW w:w="1796" w:type="dxa"/>
            <w:tcBorders>
              <w:top w:val="single" w:color="000000" w:sz="2" w:space="0"/>
              <w:left w:val="single" w:color="000000" w:sz="2" w:space="0"/>
              <w:bottom w:val="single" w:color="000000" w:sz="2" w:space="0"/>
              <w:right w:val="single" w:color="000000" w:sz="2" w:space="0"/>
            </w:tcBorders>
            <w:vAlign w:val="center"/>
          </w:tcPr>
          <w:p>
            <w:pPr>
              <w:ind w:left="595" w:right="-20"/>
              <w:rPr>
                <w:rFonts w:ascii="Times New Roman" w:hAnsi="Times New Roman"/>
                <w:color w:val="auto"/>
                <w:kern w:val="0"/>
                <w:szCs w:val="21"/>
                <w:highlight w:val="none"/>
              </w:rPr>
            </w:pPr>
            <w:r>
              <w:rPr>
                <w:rFonts w:ascii="Times New Roman" w:hAnsi="Times New Roman"/>
                <w:color w:val="auto"/>
                <w:kern w:val="0"/>
                <w:szCs w:val="21"/>
                <w:highlight w:val="none"/>
              </w:rPr>
              <w:t>37429</w:t>
            </w:r>
          </w:p>
        </w:tc>
        <w:tc>
          <w:tcPr>
            <w:tcW w:w="1797" w:type="dxa"/>
            <w:tcBorders>
              <w:top w:val="single" w:color="000000" w:sz="2" w:space="0"/>
              <w:left w:val="single" w:color="000000" w:sz="2" w:space="0"/>
              <w:bottom w:val="single" w:color="000000" w:sz="2" w:space="0"/>
              <w:right w:val="single" w:color="000000" w:sz="2" w:space="0"/>
            </w:tcBorders>
            <w:vAlign w:val="center"/>
          </w:tcPr>
          <w:p>
            <w:pPr>
              <w:ind w:left="586" w:right="566"/>
              <w:jc w:val="center"/>
              <w:rPr>
                <w:rFonts w:ascii="Times New Roman" w:hAnsi="Times New Roman"/>
                <w:color w:val="auto"/>
                <w:kern w:val="0"/>
                <w:szCs w:val="21"/>
                <w:highlight w:val="none"/>
              </w:rPr>
            </w:pPr>
            <w:r>
              <w:rPr>
                <w:rFonts w:ascii="Times New Roman" w:hAnsi="Times New Roman"/>
                <w:color w:val="auto"/>
                <w:kern w:val="0"/>
                <w:szCs w:val="21"/>
                <w:highlight w:val="none"/>
              </w:rPr>
              <w:t>0.82</w:t>
            </w:r>
          </w:p>
        </w:tc>
      </w:tr>
    </w:tbl>
    <w:p>
      <w:pPr>
        <w:spacing w:line="360" w:lineRule="auto"/>
        <w:rPr>
          <w:rFonts w:ascii="Times New Roman" w:hAnsi="Times New Roman"/>
          <w:color w:val="auto"/>
          <w:sz w:val="24"/>
          <w:highlight w:val="none"/>
        </w:rPr>
      </w:pPr>
    </w:p>
    <w:p>
      <w:pPr>
        <w:spacing w:line="360" w:lineRule="auto"/>
        <w:jc w:val="center"/>
        <w:rPr>
          <w:rFonts w:ascii="Times New Roman" w:hAnsi="Times New Roman"/>
          <w:b/>
          <w:color w:val="auto"/>
          <w:sz w:val="24"/>
          <w:highlight w:val="none"/>
        </w:rPr>
      </w:pPr>
      <w:r>
        <w:rPr>
          <w:rFonts w:ascii="Times New Roman" w:hAnsi="Times New Roman"/>
          <w:b/>
          <w:color w:val="auto"/>
          <w:sz w:val="24"/>
          <w:highlight w:val="none"/>
        </w:rPr>
        <w:t>表4-</w:t>
      </w:r>
      <w:r>
        <w:rPr>
          <w:rFonts w:hint="eastAsia" w:ascii="Times New Roman" w:hAnsi="Times New Roman"/>
          <w:b/>
          <w:color w:val="auto"/>
          <w:sz w:val="24"/>
          <w:highlight w:val="none"/>
        </w:rPr>
        <w:t>4</w:t>
      </w:r>
      <w:r>
        <w:rPr>
          <w:rFonts w:ascii="Times New Roman" w:hAnsi="Times New Roman"/>
          <w:b/>
          <w:color w:val="auto"/>
          <w:sz w:val="24"/>
          <w:highlight w:val="none"/>
        </w:rPr>
        <w:tab/>
      </w:r>
      <w:r>
        <w:rPr>
          <w:rFonts w:ascii="Times New Roman" w:hAnsi="Times New Roman"/>
          <w:b/>
          <w:color w:val="auto"/>
          <w:sz w:val="24"/>
          <w:highlight w:val="none"/>
        </w:rPr>
        <w:t>海丰县样点统计表</w:t>
      </w:r>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41"/>
        <w:gridCol w:w="64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1" w:type="dxa"/>
            <w:vAlign w:val="center"/>
          </w:tcPr>
          <w:p>
            <w:pPr>
              <w:spacing w:line="360" w:lineRule="auto"/>
              <w:jc w:val="center"/>
              <w:rPr>
                <w:rFonts w:ascii="Times New Roman" w:hAnsi="Times New Roman"/>
                <w:b/>
                <w:color w:val="auto"/>
                <w:szCs w:val="21"/>
                <w:highlight w:val="none"/>
              </w:rPr>
            </w:pPr>
            <w:r>
              <w:rPr>
                <w:rFonts w:ascii="Times New Roman" w:hAnsi="Times New Roman"/>
                <w:b/>
                <w:color w:val="auto"/>
                <w:szCs w:val="21"/>
                <w:highlight w:val="none"/>
              </w:rPr>
              <w:t>绿地类型</w:t>
            </w:r>
          </w:p>
        </w:tc>
        <w:tc>
          <w:tcPr>
            <w:tcW w:w="6481" w:type="dxa"/>
            <w:vAlign w:val="center"/>
          </w:tcPr>
          <w:p>
            <w:pPr>
              <w:spacing w:line="360" w:lineRule="auto"/>
              <w:jc w:val="center"/>
              <w:rPr>
                <w:rFonts w:ascii="Times New Roman" w:hAnsi="Times New Roman"/>
                <w:b/>
                <w:color w:val="auto"/>
                <w:szCs w:val="21"/>
                <w:highlight w:val="none"/>
              </w:rPr>
            </w:pPr>
            <w:r>
              <w:rPr>
                <w:rFonts w:ascii="Times New Roman" w:hAnsi="Times New Roman"/>
                <w:b/>
                <w:color w:val="auto"/>
                <w:szCs w:val="21"/>
                <w:highlight w:val="none"/>
              </w:rPr>
              <w:t>调查地点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1" w:type="dxa"/>
            <w:vAlign w:val="center"/>
          </w:tcPr>
          <w:p>
            <w:pPr>
              <w:spacing w:line="360" w:lineRule="auto"/>
              <w:jc w:val="center"/>
              <w:rPr>
                <w:rFonts w:ascii="Times New Roman" w:hAnsi="Times New Roman"/>
                <w:bCs/>
                <w:color w:val="auto"/>
                <w:szCs w:val="21"/>
                <w:highlight w:val="none"/>
              </w:rPr>
            </w:pPr>
            <w:r>
              <w:rPr>
                <w:rFonts w:ascii="Times New Roman" w:hAnsi="Times New Roman"/>
                <w:bCs/>
                <w:color w:val="auto"/>
                <w:szCs w:val="21"/>
                <w:highlight w:val="none"/>
              </w:rPr>
              <w:t>公共绿地</w:t>
            </w:r>
          </w:p>
        </w:tc>
        <w:tc>
          <w:tcPr>
            <w:tcW w:w="6481" w:type="dxa"/>
            <w:vAlign w:val="center"/>
          </w:tcPr>
          <w:p>
            <w:pPr>
              <w:spacing w:line="360" w:lineRule="auto"/>
              <w:jc w:val="center"/>
              <w:rPr>
                <w:rFonts w:ascii="Times New Roman" w:hAnsi="Times New Roman"/>
                <w:bCs/>
                <w:color w:val="auto"/>
                <w:szCs w:val="21"/>
                <w:highlight w:val="none"/>
              </w:rPr>
            </w:pPr>
            <w:r>
              <w:rPr>
                <w:rFonts w:ascii="Times New Roman" w:hAnsi="Times New Roman"/>
                <w:bCs/>
                <w:color w:val="auto"/>
                <w:szCs w:val="21"/>
                <w:highlight w:val="none"/>
              </w:rPr>
              <w:t>龙舌埔广场、得趣广场、东维亚会展中心广场、市民广场、龙山公园、青年公园、龙津西二路小游园、文天祥公园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1" w:type="dxa"/>
            <w:vAlign w:val="center"/>
          </w:tcPr>
          <w:p>
            <w:pPr>
              <w:spacing w:line="360" w:lineRule="auto"/>
              <w:jc w:val="center"/>
              <w:rPr>
                <w:rFonts w:ascii="Times New Roman" w:hAnsi="Times New Roman"/>
                <w:bCs/>
                <w:color w:val="auto"/>
                <w:szCs w:val="21"/>
                <w:highlight w:val="none"/>
              </w:rPr>
            </w:pPr>
            <w:r>
              <w:rPr>
                <w:rFonts w:ascii="Times New Roman" w:hAnsi="Times New Roman"/>
                <w:bCs/>
                <w:color w:val="auto"/>
                <w:szCs w:val="21"/>
                <w:highlight w:val="none"/>
              </w:rPr>
              <w:t>单位附属绿地</w:t>
            </w:r>
          </w:p>
        </w:tc>
        <w:tc>
          <w:tcPr>
            <w:tcW w:w="6481" w:type="dxa"/>
            <w:vAlign w:val="center"/>
          </w:tcPr>
          <w:p>
            <w:pPr>
              <w:spacing w:line="360" w:lineRule="auto"/>
              <w:jc w:val="center"/>
              <w:rPr>
                <w:rFonts w:ascii="Times New Roman" w:hAnsi="Times New Roman"/>
                <w:bCs/>
                <w:color w:val="auto"/>
                <w:szCs w:val="21"/>
                <w:highlight w:val="none"/>
              </w:rPr>
            </w:pPr>
            <w:r>
              <w:rPr>
                <w:rFonts w:ascii="Times New Roman" w:hAnsi="Times New Roman"/>
                <w:bCs/>
                <w:color w:val="auto"/>
                <w:szCs w:val="21"/>
                <w:highlight w:val="none"/>
              </w:rPr>
              <w:t>澎湃小学、城东中学、红城中学、海城镇中心小学、海城海关、镇政府、海丰粤运、水质检测中心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1" w:type="dxa"/>
            <w:vAlign w:val="center"/>
          </w:tcPr>
          <w:p>
            <w:pPr>
              <w:spacing w:line="360" w:lineRule="auto"/>
              <w:jc w:val="center"/>
              <w:rPr>
                <w:rFonts w:ascii="Times New Roman" w:hAnsi="Times New Roman"/>
                <w:bCs/>
                <w:color w:val="auto"/>
                <w:szCs w:val="21"/>
                <w:highlight w:val="none"/>
              </w:rPr>
            </w:pPr>
            <w:r>
              <w:rPr>
                <w:rFonts w:ascii="Times New Roman" w:hAnsi="Times New Roman"/>
                <w:bCs/>
                <w:color w:val="auto"/>
                <w:szCs w:val="21"/>
                <w:highlight w:val="none"/>
              </w:rPr>
              <w:t>居住区附属绿地</w:t>
            </w:r>
          </w:p>
        </w:tc>
        <w:tc>
          <w:tcPr>
            <w:tcW w:w="6481" w:type="dxa"/>
            <w:vAlign w:val="center"/>
          </w:tcPr>
          <w:p>
            <w:pPr>
              <w:spacing w:line="360" w:lineRule="auto"/>
              <w:jc w:val="center"/>
              <w:rPr>
                <w:rFonts w:ascii="Times New Roman" w:hAnsi="Times New Roman"/>
                <w:bCs/>
                <w:color w:val="auto"/>
                <w:szCs w:val="21"/>
                <w:highlight w:val="none"/>
              </w:rPr>
            </w:pPr>
            <w:r>
              <w:rPr>
                <w:rFonts w:ascii="Times New Roman" w:hAnsi="Times New Roman"/>
                <w:bCs/>
                <w:color w:val="auto"/>
                <w:szCs w:val="21"/>
                <w:highlight w:val="none"/>
              </w:rPr>
              <w:t>富丽华庭、富嘉名城、华夏花园、联河花园、云岭山庄、名家花园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1" w:type="dxa"/>
            <w:vAlign w:val="center"/>
          </w:tcPr>
          <w:p>
            <w:pPr>
              <w:spacing w:line="360" w:lineRule="auto"/>
              <w:jc w:val="center"/>
              <w:rPr>
                <w:rFonts w:ascii="Times New Roman" w:hAnsi="Times New Roman"/>
                <w:bCs/>
                <w:color w:val="auto"/>
                <w:szCs w:val="21"/>
                <w:highlight w:val="none"/>
              </w:rPr>
            </w:pPr>
            <w:r>
              <w:rPr>
                <w:rFonts w:ascii="Times New Roman" w:hAnsi="Times New Roman"/>
                <w:bCs/>
                <w:color w:val="auto"/>
                <w:szCs w:val="21"/>
                <w:highlight w:val="none"/>
              </w:rPr>
              <w:t>道路绿地</w:t>
            </w:r>
          </w:p>
        </w:tc>
        <w:tc>
          <w:tcPr>
            <w:tcW w:w="6481" w:type="dxa"/>
            <w:vAlign w:val="center"/>
          </w:tcPr>
          <w:p>
            <w:pPr>
              <w:spacing w:line="360" w:lineRule="auto"/>
              <w:jc w:val="center"/>
              <w:rPr>
                <w:rFonts w:ascii="Times New Roman" w:hAnsi="Times New Roman"/>
                <w:bCs/>
                <w:color w:val="auto"/>
                <w:szCs w:val="21"/>
                <w:highlight w:val="none"/>
              </w:rPr>
            </w:pPr>
            <w:r>
              <w:rPr>
                <w:rFonts w:ascii="Times New Roman" w:hAnsi="Times New Roman"/>
                <w:bCs/>
                <w:color w:val="auto"/>
                <w:szCs w:val="21"/>
                <w:highlight w:val="none"/>
              </w:rPr>
              <w:t>三环北路、三环西路、龙津西二路、龙津东二路、红城大道西、红城大道东、二环西路、二环北路、二环南路、广富路、育才三路、海银路、武德路、G324国道</w:t>
            </w:r>
          </w:p>
        </w:tc>
      </w:tr>
    </w:tbl>
    <w:p>
      <w:pPr>
        <w:spacing w:line="360" w:lineRule="auto"/>
        <w:jc w:val="center"/>
        <w:rPr>
          <w:rFonts w:ascii="Times New Roman" w:hAnsi="Times New Roman"/>
          <w:b/>
          <w:color w:val="auto"/>
          <w:sz w:val="24"/>
          <w:highlight w:val="none"/>
        </w:rPr>
      </w:pPr>
    </w:p>
    <w:p>
      <w:pPr>
        <w:spacing w:line="360" w:lineRule="auto"/>
        <w:jc w:val="center"/>
        <w:rPr>
          <w:rFonts w:ascii="Times New Roman" w:hAnsi="Times New Roman"/>
          <w:b/>
          <w:color w:val="auto"/>
          <w:sz w:val="24"/>
          <w:highlight w:val="none"/>
        </w:rPr>
      </w:pPr>
      <w:r>
        <w:rPr>
          <w:rFonts w:ascii="Times New Roman" w:hAnsi="Times New Roman"/>
          <w:b/>
          <w:color w:val="auto"/>
          <w:sz w:val="24"/>
          <w:highlight w:val="none"/>
        </w:rPr>
        <w:t>表4-</w:t>
      </w:r>
      <w:r>
        <w:rPr>
          <w:rFonts w:hint="eastAsia" w:ascii="Times New Roman" w:hAnsi="Times New Roman"/>
          <w:b/>
          <w:color w:val="auto"/>
          <w:sz w:val="24"/>
          <w:highlight w:val="none"/>
        </w:rPr>
        <w:t>5</w:t>
      </w:r>
      <w:r>
        <w:rPr>
          <w:rFonts w:ascii="Times New Roman" w:hAnsi="Times New Roman"/>
          <w:b/>
          <w:color w:val="auto"/>
          <w:sz w:val="24"/>
          <w:highlight w:val="none"/>
        </w:rPr>
        <w:t xml:space="preserve"> 海丰县城区四种类型绿地乡土树种比例统计表</w:t>
      </w:r>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0"/>
        <w:gridCol w:w="2130"/>
        <w:gridCol w:w="2131"/>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spacing w:line="360" w:lineRule="auto"/>
              <w:jc w:val="center"/>
              <w:rPr>
                <w:rFonts w:ascii="Times New Roman" w:hAnsi="Times New Roman"/>
                <w:b/>
                <w:bCs/>
                <w:color w:val="auto"/>
                <w:szCs w:val="21"/>
                <w:highlight w:val="none"/>
              </w:rPr>
            </w:pPr>
            <w:r>
              <w:rPr>
                <w:rFonts w:ascii="Times New Roman" w:hAnsi="Times New Roman"/>
                <w:b/>
                <w:bCs/>
                <w:color w:val="auto"/>
                <w:szCs w:val="21"/>
                <w:highlight w:val="none"/>
              </w:rPr>
              <w:t>类型</w:t>
            </w:r>
          </w:p>
        </w:tc>
        <w:tc>
          <w:tcPr>
            <w:tcW w:w="2130" w:type="dxa"/>
          </w:tcPr>
          <w:p>
            <w:pPr>
              <w:spacing w:line="360" w:lineRule="auto"/>
              <w:jc w:val="center"/>
              <w:rPr>
                <w:rFonts w:ascii="Times New Roman" w:hAnsi="Times New Roman"/>
                <w:b/>
                <w:bCs/>
                <w:color w:val="auto"/>
                <w:szCs w:val="21"/>
                <w:highlight w:val="none"/>
              </w:rPr>
            </w:pPr>
            <w:r>
              <w:rPr>
                <w:rFonts w:ascii="Times New Roman" w:hAnsi="Times New Roman"/>
                <w:b/>
                <w:bCs/>
                <w:color w:val="auto"/>
                <w:szCs w:val="21"/>
                <w:highlight w:val="none"/>
              </w:rPr>
              <w:t>绿化树种数量（株）</w:t>
            </w:r>
          </w:p>
        </w:tc>
        <w:tc>
          <w:tcPr>
            <w:tcW w:w="2131" w:type="dxa"/>
          </w:tcPr>
          <w:p>
            <w:pPr>
              <w:spacing w:line="360" w:lineRule="auto"/>
              <w:jc w:val="center"/>
              <w:rPr>
                <w:rFonts w:ascii="Times New Roman" w:hAnsi="Times New Roman"/>
                <w:b/>
                <w:bCs/>
                <w:color w:val="auto"/>
                <w:szCs w:val="21"/>
                <w:highlight w:val="none"/>
              </w:rPr>
            </w:pPr>
            <w:r>
              <w:rPr>
                <w:rFonts w:ascii="Times New Roman" w:hAnsi="Times New Roman"/>
                <w:b/>
                <w:bCs/>
                <w:color w:val="auto"/>
                <w:szCs w:val="21"/>
                <w:highlight w:val="none"/>
              </w:rPr>
              <w:t>乡土树种数量（株）</w:t>
            </w:r>
          </w:p>
        </w:tc>
        <w:tc>
          <w:tcPr>
            <w:tcW w:w="2131" w:type="dxa"/>
          </w:tcPr>
          <w:p>
            <w:pPr>
              <w:spacing w:line="360" w:lineRule="auto"/>
              <w:jc w:val="center"/>
              <w:rPr>
                <w:rFonts w:ascii="Times New Roman" w:hAnsi="Times New Roman"/>
                <w:b/>
                <w:bCs/>
                <w:color w:val="auto"/>
                <w:szCs w:val="21"/>
                <w:highlight w:val="none"/>
              </w:rPr>
            </w:pPr>
            <w:r>
              <w:rPr>
                <w:rFonts w:ascii="Times New Roman" w:hAnsi="Times New Roman"/>
                <w:b/>
                <w:bCs/>
                <w:color w:val="auto"/>
                <w:szCs w:val="21"/>
                <w:highlight w:val="none"/>
              </w:rPr>
              <w:t>乡土树种比例（%）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公园绿地</w:t>
            </w:r>
          </w:p>
        </w:tc>
        <w:tc>
          <w:tcPr>
            <w:tcW w:w="2130" w:type="dxa"/>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12200</w:t>
            </w:r>
          </w:p>
        </w:tc>
        <w:tc>
          <w:tcPr>
            <w:tcW w:w="2131" w:type="dxa"/>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9738</w:t>
            </w:r>
          </w:p>
        </w:tc>
        <w:tc>
          <w:tcPr>
            <w:tcW w:w="2131" w:type="dxa"/>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79.82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单位附属绿地</w:t>
            </w:r>
          </w:p>
        </w:tc>
        <w:tc>
          <w:tcPr>
            <w:tcW w:w="2130" w:type="dxa"/>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3460</w:t>
            </w:r>
          </w:p>
        </w:tc>
        <w:tc>
          <w:tcPr>
            <w:tcW w:w="2131" w:type="dxa"/>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2933</w:t>
            </w:r>
          </w:p>
        </w:tc>
        <w:tc>
          <w:tcPr>
            <w:tcW w:w="2131" w:type="dxa"/>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84.77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居住区附属绿地</w:t>
            </w:r>
          </w:p>
        </w:tc>
        <w:tc>
          <w:tcPr>
            <w:tcW w:w="2130" w:type="dxa"/>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23878</w:t>
            </w:r>
          </w:p>
        </w:tc>
        <w:tc>
          <w:tcPr>
            <w:tcW w:w="2131" w:type="dxa"/>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20228</w:t>
            </w:r>
          </w:p>
        </w:tc>
        <w:tc>
          <w:tcPr>
            <w:tcW w:w="2131" w:type="dxa"/>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84.71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道路绿地</w:t>
            </w:r>
          </w:p>
        </w:tc>
        <w:tc>
          <w:tcPr>
            <w:tcW w:w="2130" w:type="dxa"/>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6341</w:t>
            </w:r>
          </w:p>
        </w:tc>
        <w:tc>
          <w:tcPr>
            <w:tcW w:w="2131" w:type="dxa"/>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4530</w:t>
            </w:r>
          </w:p>
        </w:tc>
        <w:tc>
          <w:tcPr>
            <w:tcW w:w="2131" w:type="dxa"/>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71.44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spacing w:line="360" w:lineRule="auto"/>
              <w:jc w:val="center"/>
              <w:rPr>
                <w:rFonts w:ascii="Times New Roman" w:hAnsi="Times New Roman"/>
                <w:b/>
                <w:bCs/>
                <w:color w:val="auto"/>
                <w:szCs w:val="21"/>
                <w:highlight w:val="none"/>
              </w:rPr>
            </w:pPr>
            <w:r>
              <w:rPr>
                <w:rFonts w:ascii="Times New Roman" w:hAnsi="Times New Roman"/>
                <w:b/>
                <w:bCs/>
                <w:color w:val="auto"/>
                <w:szCs w:val="21"/>
                <w:highlight w:val="none"/>
              </w:rPr>
              <w:t>合计</w:t>
            </w:r>
          </w:p>
        </w:tc>
        <w:tc>
          <w:tcPr>
            <w:tcW w:w="2130" w:type="dxa"/>
          </w:tcPr>
          <w:p>
            <w:pPr>
              <w:spacing w:line="360" w:lineRule="auto"/>
              <w:jc w:val="center"/>
              <w:rPr>
                <w:rFonts w:ascii="Times New Roman" w:hAnsi="Times New Roman"/>
                <w:b/>
                <w:bCs/>
                <w:color w:val="auto"/>
                <w:szCs w:val="21"/>
                <w:highlight w:val="none"/>
              </w:rPr>
            </w:pPr>
            <w:r>
              <w:rPr>
                <w:rFonts w:ascii="Times New Roman" w:hAnsi="Times New Roman"/>
                <w:b/>
                <w:bCs/>
                <w:color w:val="auto"/>
                <w:szCs w:val="21"/>
                <w:highlight w:val="none"/>
              </w:rPr>
              <w:t>45879</w:t>
            </w:r>
          </w:p>
        </w:tc>
        <w:tc>
          <w:tcPr>
            <w:tcW w:w="2131" w:type="dxa"/>
          </w:tcPr>
          <w:p>
            <w:pPr>
              <w:spacing w:line="360" w:lineRule="auto"/>
              <w:jc w:val="center"/>
              <w:rPr>
                <w:rFonts w:ascii="Times New Roman" w:hAnsi="Times New Roman"/>
                <w:b/>
                <w:bCs/>
                <w:color w:val="auto"/>
                <w:szCs w:val="21"/>
                <w:highlight w:val="none"/>
              </w:rPr>
            </w:pPr>
            <w:r>
              <w:rPr>
                <w:rFonts w:ascii="Times New Roman" w:hAnsi="Times New Roman"/>
                <w:b/>
                <w:bCs/>
                <w:color w:val="auto"/>
                <w:szCs w:val="21"/>
                <w:highlight w:val="none"/>
              </w:rPr>
              <w:t>37429</w:t>
            </w:r>
          </w:p>
        </w:tc>
        <w:tc>
          <w:tcPr>
            <w:tcW w:w="2131" w:type="dxa"/>
          </w:tcPr>
          <w:p>
            <w:pPr>
              <w:spacing w:line="360" w:lineRule="auto"/>
              <w:jc w:val="center"/>
              <w:rPr>
                <w:rFonts w:ascii="Times New Roman" w:hAnsi="Times New Roman"/>
                <w:b/>
                <w:bCs/>
                <w:color w:val="auto"/>
                <w:szCs w:val="21"/>
                <w:highlight w:val="none"/>
              </w:rPr>
            </w:pPr>
            <w:r>
              <w:rPr>
                <w:rFonts w:ascii="Times New Roman" w:hAnsi="Times New Roman"/>
                <w:b/>
                <w:bCs/>
                <w:color w:val="auto"/>
                <w:szCs w:val="21"/>
                <w:highlight w:val="none"/>
              </w:rPr>
              <w:t>81.58</w:t>
            </w:r>
          </w:p>
        </w:tc>
      </w:tr>
    </w:tbl>
    <w:p>
      <w:pPr>
        <w:rPr>
          <w:rFonts w:ascii="Times New Roman" w:hAnsi="Times New Roman"/>
          <w:color w:val="auto"/>
          <w:highlight w:val="none"/>
        </w:rPr>
      </w:pPr>
      <w:bookmarkStart w:id="453" w:name="_Toc54451085"/>
    </w:p>
    <w:p>
      <w:pPr>
        <w:pStyle w:val="6"/>
        <w:rPr>
          <w:rFonts w:ascii="Times New Roman" w:hAnsi="Times New Roman"/>
          <w:color w:val="auto"/>
          <w:highlight w:val="none"/>
        </w:rPr>
      </w:pPr>
      <w:bookmarkStart w:id="454" w:name="_Toc60776412"/>
      <w:bookmarkStart w:id="455" w:name="_Toc15486"/>
      <w:bookmarkStart w:id="456" w:name="_Toc60499721"/>
      <w:r>
        <w:rPr>
          <w:rFonts w:ascii="Times New Roman" w:hAnsi="Times New Roman"/>
          <w:color w:val="auto"/>
          <w:highlight w:val="none"/>
        </w:rPr>
        <w:t>33、湿地资源保护</w:t>
      </w:r>
      <w:bookmarkEnd w:id="453"/>
      <w:bookmarkEnd w:id="454"/>
      <w:bookmarkEnd w:id="455"/>
      <w:bookmarkEnd w:id="456"/>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w:t>
      </w:r>
      <w:r>
        <w:rPr>
          <w:rFonts w:hint="default" w:ascii="Times New Roman" w:hAnsi="Times New Roman" w:cs="Times New Roman"/>
          <w:color w:val="auto"/>
          <w:sz w:val="24"/>
          <w:highlight w:val="none"/>
        </w:rPr>
        <w:t>①</w:t>
      </w:r>
      <w:r>
        <w:rPr>
          <w:rFonts w:ascii="Times New Roman" w:hAnsi="Times New Roman"/>
          <w:color w:val="auto"/>
          <w:sz w:val="24"/>
          <w:highlight w:val="none"/>
        </w:rPr>
        <w:t>已完成规划区内的湿地资源普查；</w:t>
      </w:r>
      <w:r>
        <w:rPr>
          <w:rFonts w:hint="default" w:ascii="Times New Roman" w:hAnsi="Times New Roman" w:cs="Times New Roman"/>
          <w:color w:val="auto"/>
          <w:sz w:val="24"/>
          <w:highlight w:val="none"/>
        </w:rPr>
        <w:t>②</w:t>
      </w:r>
      <w:r>
        <w:rPr>
          <w:rFonts w:ascii="Times New Roman" w:hAnsi="Times New Roman"/>
          <w:color w:val="auto"/>
          <w:sz w:val="24"/>
          <w:highlight w:val="none"/>
        </w:rPr>
        <w:t>以湿地资源普查为基础，制定湿地资源保护规划及其实施方案；</w:t>
      </w:r>
      <w:r>
        <w:rPr>
          <w:rFonts w:hint="default" w:ascii="Times New Roman" w:hAnsi="Times New Roman" w:cs="Times New Roman"/>
          <w:color w:val="auto"/>
          <w:sz w:val="24"/>
          <w:highlight w:val="none"/>
        </w:rPr>
        <w:t>③</w:t>
      </w:r>
      <w:r>
        <w:rPr>
          <w:rFonts w:ascii="Times New Roman" w:hAnsi="Times New Roman"/>
          <w:color w:val="auto"/>
          <w:sz w:val="24"/>
          <w:highlight w:val="none"/>
        </w:rPr>
        <w:t>规划区内湿地资源保护管理责任明确，管理职能正常行使，资金保障到位。</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w:t>
      </w:r>
      <w:r>
        <w:rPr>
          <w:rFonts w:hint="default" w:ascii="Times New Roman" w:hAnsi="Times New Roman" w:cs="Times New Roman"/>
          <w:color w:val="auto"/>
          <w:sz w:val="24"/>
          <w:highlight w:val="none"/>
        </w:rPr>
        <w:t>①</w:t>
      </w:r>
      <w:r>
        <w:rPr>
          <w:rFonts w:ascii="Times New Roman" w:hAnsi="Times New Roman"/>
          <w:color w:val="auto"/>
          <w:sz w:val="24"/>
          <w:highlight w:val="none"/>
        </w:rPr>
        <w:t>海丰县国土面积127754.66公顷，湿地面积16634.54 公顷，其中国际重要湿地8586.32公顷，一般湿地8048.22公顷。1998 年，经省人民政府批准，海丰县主要湿地公平水库、大湖、东关联安围建立起广东海丰鸟类省级自然保护区，总面积11590.5公顷，其中湿地面积8586.32 公顷，占保护区总面积的74.08%</w:t>
      </w:r>
      <w:r>
        <w:rPr>
          <w:rFonts w:hint="eastAsia" w:ascii="Times New Roman" w:hAnsi="Times New Roman"/>
          <w:color w:val="auto"/>
          <w:sz w:val="24"/>
          <w:highlight w:val="none"/>
        </w:rPr>
        <w:t>；</w:t>
      </w:r>
      <w:r>
        <w:rPr>
          <w:rFonts w:hint="default" w:ascii="Times New Roman" w:hAnsi="Times New Roman" w:cs="Times New Roman"/>
          <w:color w:val="auto"/>
          <w:sz w:val="24"/>
          <w:highlight w:val="none"/>
        </w:rPr>
        <w:t>②</w:t>
      </w:r>
      <w:r>
        <w:rPr>
          <w:rFonts w:ascii="Times New Roman" w:hAnsi="Times New Roman"/>
          <w:color w:val="auto"/>
          <w:sz w:val="24"/>
          <w:highlight w:val="none"/>
        </w:rPr>
        <w:t>未进行湿地普查和制定湿地资源保护规划及其实施方案；</w:t>
      </w:r>
      <w:r>
        <w:rPr>
          <w:rFonts w:hint="default" w:ascii="Times New Roman" w:hAnsi="Times New Roman" w:cs="Times New Roman"/>
          <w:color w:val="auto"/>
          <w:sz w:val="24"/>
          <w:highlight w:val="none"/>
        </w:rPr>
        <w:t>③</w:t>
      </w:r>
      <w:r>
        <w:rPr>
          <w:rFonts w:ascii="Times New Roman" w:hAnsi="Times New Roman"/>
          <w:color w:val="auto"/>
          <w:sz w:val="24"/>
          <w:highlight w:val="none"/>
        </w:rPr>
        <w:t>未收集到关于保护区管理和资金保障文件。</w:t>
      </w:r>
      <w:r>
        <w:rPr>
          <w:rFonts w:ascii="Times New Roman" w:hAnsi="Times New Roman"/>
          <w:b/>
          <w:color w:val="auto"/>
          <w:sz w:val="24"/>
          <w:highlight w:val="none"/>
        </w:rPr>
        <w:t>该项</w:t>
      </w:r>
      <w:r>
        <w:rPr>
          <w:rFonts w:hint="eastAsia" w:ascii="Times New Roman" w:hAnsi="Times New Roman"/>
          <w:b/>
          <w:color w:val="auto"/>
          <w:sz w:val="24"/>
          <w:highlight w:val="none"/>
        </w:rPr>
        <w:t>暂未达标</w:t>
      </w:r>
      <w:r>
        <w:rPr>
          <w:rFonts w:ascii="Times New Roman" w:hAnsi="Times New Roman"/>
          <w:color w:val="auto"/>
          <w:sz w:val="24"/>
          <w:highlight w:val="none"/>
        </w:rPr>
        <w:t>。</w:t>
      </w:r>
    </w:p>
    <w:p>
      <w:pPr>
        <w:pStyle w:val="6"/>
        <w:rPr>
          <w:rFonts w:ascii="Times New Roman" w:hAnsi="Times New Roman"/>
          <w:color w:val="auto"/>
          <w:highlight w:val="none"/>
        </w:rPr>
      </w:pPr>
      <w:bookmarkStart w:id="457" w:name="_Toc8389"/>
      <w:bookmarkStart w:id="458" w:name="_Toc54451086"/>
      <w:bookmarkStart w:id="459" w:name="_Toc60499722"/>
      <w:bookmarkStart w:id="460" w:name="_Toc60776413"/>
      <w:r>
        <w:rPr>
          <w:rFonts w:ascii="Times New Roman" w:hAnsi="Times New Roman"/>
          <w:color w:val="auto"/>
          <w:highlight w:val="none"/>
        </w:rPr>
        <w:t>34、全年空气质量优良天数</w:t>
      </w:r>
      <w:bookmarkEnd w:id="457"/>
      <w:bookmarkEnd w:id="458"/>
      <w:bookmarkEnd w:id="459"/>
      <w:bookmarkEnd w:id="460"/>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指标要求：≥292天。</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计算方法：根据《环境空气质量指数（AQI）技术规定（试行）》（HJ 633—2012）规定，空气污染指数划分为0－50、51－100、101－150、151－200、201－300 和大于300 六个等级，与之相对应的空气质量指数分别为一级、二级、三级、四级、五级、六级，共六个级别。空气质量指数达到一级或二级为良。全年空气质量优良天数指《环境空气质量指数（AQI）技术规定（试行）》评价，每年达到空气质量指数二级以上的总天数。</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调查结果：按照环境空气质量标准（GB3095-2012），海丰县空气监测天数365天，其中优160天，良185天，</w:t>
      </w:r>
      <w:r>
        <w:rPr>
          <w:rFonts w:ascii="Times New Roman" w:hAnsi="Times New Roman"/>
          <w:color w:val="auto"/>
          <w:kern w:val="0"/>
          <w:position w:val="-1"/>
          <w:sz w:val="24"/>
          <w:highlight w:val="none"/>
        </w:rPr>
        <w:t>全年空气质量优良天数345天。</w:t>
      </w:r>
      <w:r>
        <w:rPr>
          <w:rFonts w:ascii="Times New Roman" w:hAnsi="Times New Roman"/>
          <w:b/>
          <w:color w:val="auto"/>
          <w:sz w:val="24"/>
          <w:highlight w:val="none"/>
        </w:rPr>
        <w:t>已达标</w:t>
      </w:r>
      <w:r>
        <w:rPr>
          <w:rFonts w:ascii="Times New Roman" w:hAnsi="Times New Roman"/>
          <w:color w:val="auto"/>
          <w:sz w:val="24"/>
          <w:highlight w:val="none"/>
        </w:rPr>
        <w:t>。</w:t>
      </w:r>
    </w:p>
    <w:p>
      <w:pPr>
        <w:spacing w:line="360" w:lineRule="auto"/>
        <w:jc w:val="center"/>
        <w:rPr>
          <w:rFonts w:ascii="Times New Roman" w:hAnsi="Times New Roman"/>
          <w:color w:val="auto"/>
          <w:sz w:val="24"/>
          <w:highlight w:val="none"/>
        </w:rPr>
      </w:pPr>
      <w:r>
        <w:rPr>
          <w:rFonts w:ascii="Times New Roman" w:hAnsi="Times New Roman"/>
          <w:b/>
          <w:color w:val="auto"/>
          <w:kern w:val="0"/>
          <w:position w:val="-4"/>
          <w:sz w:val="24"/>
          <w:highlight w:val="none"/>
        </w:rPr>
        <w:t>表4-</w:t>
      </w:r>
      <w:r>
        <w:rPr>
          <w:rFonts w:hint="eastAsia" w:ascii="Times New Roman" w:hAnsi="Times New Roman"/>
          <w:b/>
          <w:color w:val="auto"/>
          <w:kern w:val="0"/>
          <w:position w:val="-4"/>
          <w:sz w:val="24"/>
          <w:highlight w:val="none"/>
        </w:rPr>
        <w:t>6</w:t>
      </w:r>
      <w:r>
        <w:rPr>
          <w:rFonts w:ascii="Times New Roman" w:hAnsi="Times New Roman"/>
          <w:b/>
          <w:color w:val="auto"/>
          <w:kern w:val="0"/>
          <w:position w:val="-4"/>
          <w:sz w:val="24"/>
          <w:highlight w:val="none"/>
        </w:rPr>
        <w:t xml:space="preserve"> 海丰县全年空气质量优良天数统计表</w:t>
      </w:r>
    </w:p>
    <w:tbl>
      <w:tblPr>
        <w:tblStyle w:val="20"/>
        <w:tblW w:w="8473" w:type="dxa"/>
        <w:tblInd w:w="98" w:type="dxa"/>
        <w:tblLayout w:type="fixed"/>
        <w:tblCellMar>
          <w:top w:w="0" w:type="dxa"/>
          <w:left w:w="0" w:type="dxa"/>
          <w:bottom w:w="0" w:type="dxa"/>
          <w:right w:w="0" w:type="dxa"/>
        </w:tblCellMar>
      </w:tblPr>
      <w:tblGrid>
        <w:gridCol w:w="840"/>
        <w:gridCol w:w="1152"/>
        <w:gridCol w:w="1620"/>
        <w:gridCol w:w="1620"/>
        <w:gridCol w:w="1620"/>
        <w:gridCol w:w="1621"/>
      </w:tblGrid>
      <w:tr>
        <w:tblPrEx>
          <w:tblCellMar>
            <w:top w:w="0" w:type="dxa"/>
            <w:left w:w="0" w:type="dxa"/>
            <w:bottom w:w="0" w:type="dxa"/>
            <w:right w:w="0" w:type="dxa"/>
          </w:tblCellMar>
        </w:tblPrEx>
        <w:trPr>
          <w:trHeight w:val="975" w:hRule="exact"/>
        </w:trPr>
        <w:tc>
          <w:tcPr>
            <w:tcW w:w="840" w:type="dxa"/>
            <w:tcBorders>
              <w:top w:val="single" w:color="000000" w:sz="2" w:space="0"/>
              <w:left w:val="single" w:color="000000" w:sz="2" w:space="0"/>
              <w:bottom w:val="single" w:color="000000" w:sz="2" w:space="0"/>
              <w:right w:val="single" w:color="000000" w:sz="2" w:space="0"/>
            </w:tcBorders>
            <w:vAlign w:val="center"/>
          </w:tcPr>
          <w:p>
            <w:pPr>
              <w:ind w:left="175" w:right="-20"/>
              <w:jc w:val="center"/>
              <w:rPr>
                <w:rFonts w:ascii="Times New Roman" w:hAnsi="Times New Roman"/>
                <w:b/>
                <w:color w:val="auto"/>
                <w:kern w:val="0"/>
                <w:szCs w:val="21"/>
                <w:highlight w:val="none"/>
                <w:lang w:eastAsia="en-US"/>
              </w:rPr>
            </w:pPr>
            <w:r>
              <w:rPr>
                <w:rFonts w:ascii="Times New Roman" w:hAnsi="Times New Roman"/>
                <w:b/>
                <w:color w:val="auto"/>
                <w:kern w:val="0"/>
                <w:szCs w:val="21"/>
                <w:highlight w:val="none"/>
                <w:lang w:eastAsia="en-US"/>
              </w:rPr>
              <w:t>序号</w:t>
            </w:r>
          </w:p>
        </w:tc>
        <w:tc>
          <w:tcPr>
            <w:tcW w:w="1152" w:type="dxa"/>
            <w:tcBorders>
              <w:top w:val="single" w:color="000000" w:sz="2" w:space="0"/>
              <w:left w:val="single" w:color="000000" w:sz="2" w:space="0"/>
              <w:bottom w:val="single" w:color="000000" w:sz="2" w:space="0"/>
              <w:right w:val="single" w:color="000000" w:sz="2" w:space="0"/>
            </w:tcBorders>
            <w:vAlign w:val="center"/>
          </w:tcPr>
          <w:p>
            <w:pPr>
              <w:ind w:left="211" w:right="-20"/>
              <w:jc w:val="center"/>
              <w:rPr>
                <w:rFonts w:ascii="Times New Roman" w:hAnsi="Times New Roman"/>
                <w:b/>
                <w:color w:val="auto"/>
                <w:kern w:val="0"/>
                <w:szCs w:val="21"/>
                <w:highlight w:val="none"/>
                <w:lang w:eastAsia="en-US"/>
              </w:rPr>
            </w:pPr>
            <w:r>
              <w:rPr>
                <w:rFonts w:ascii="Times New Roman" w:hAnsi="Times New Roman"/>
                <w:b/>
                <w:color w:val="auto"/>
                <w:kern w:val="0"/>
                <w:szCs w:val="21"/>
                <w:highlight w:val="none"/>
                <w:lang w:eastAsia="en-US"/>
              </w:rPr>
              <w:t>行</w:t>
            </w:r>
            <w:r>
              <w:rPr>
                <w:rFonts w:ascii="Times New Roman" w:hAnsi="Times New Roman"/>
                <w:b/>
                <w:color w:val="auto"/>
                <w:spacing w:val="2"/>
                <w:kern w:val="0"/>
                <w:szCs w:val="21"/>
                <w:highlight w:val="none"/>
                <w:lang w:eastAsia="en-US"/>
              </w:rPr>
              <w:t>政</w:t>
            </w:r>
            <w:r>
              <w:rPr>
                <w:rFonts w:ascii="Times New Roman" w:hAnsi="Times New Roman"/>
                <w:b/>
                <w:color w:val="auto"/>
                <w:kern w:val="0"/>
                <w:szCs w:val="21"/>
                <w:highlight w:val="none"/>
                <w:lang w:eastAsia="en-US"/>
              </w:rPr>
              <w:t>区</w:t>
            </w:r>
          </w:p>
        </w:tc>
        <w:tc>
          <w:tcPr>
            <w:tcW w:w="1620" w:type="dxa"/>
            <w:tcBorders>
              <w:top w:val="single" w:color="000000" w:sz="2" w:space="0"/>
              <w:left w:val="single" w:color="000000" w:sz="2" w:space="0"/>
              <w:bottom w:val="single" w:color="000000" w:sz="2" w:space="0"/>
              <w:right w:val="single" w:color="000000" w:sz="2" w:space="0"/>
            </w:tcBorders>
            <w:vAlign w:val="center"/>
          </w:tcPr>
          <w:p>
            <w:pPr>
              <w:ind w:left="166" w:right="144"/>
              <w:jc w:val="center"/>
              <w:rPr>
                <w:rFonts w:ascii="Times New Roman" w:hAnsi="Times New Roman"/>
                <w:b/>
                <w:color w:val="auto"/>
                <w:kern w:val="0"/>
                <w:szCs w:val="21"/>
                <w:highlight w:val="none"/>
              </w:rPr>
            </w:pPr>
            <w:r>
              <w:rPr>
                <w:rFonts w:ascii="Times New Roman" w:hAnsi="Times New Roman"/>
                <w:b/>
                <w:color w:val="auto"/>
                <w:kern w:val="0"/>
                <w:position w:val="-1"/>
                <w:szCs w:val="21"/>
                <w:highlight w:val="none"/>
              </w:rPr>
              <w:t>监测天数</w:t>
            </w:r>
          </w:p>
          <w:p>
            <w:pPr>
              <w:ind w:left="286" w:right="266"/>
              <w:jc w:val="center"/>
              <w:rPr>
                <w:rFonts w:ascii="Times New Roman" w:hAnsi="Times New Roman"/>
                <w:b/>
                <w:color w:val="auto"/>
                <w:kern w:val="0"/>
                <w:szCs w:val="21"/>
                <w:highlight w:val="none"/>
                <w:lang w:eastAsia="en-US"/>
              </w:rPr>
            </w:pPr>
            <w:r>
              <w:rPr>
                <w:rFonts w:ascii="Times New Roman" w:hAnsi="Times New Roman"/>
                <w:b/>
                <w:color w:val="auto"/>
                <w:kern w:val="0"/>
                <w:szCs w:val="21"/>
                <w:highlight w:val="none"/>
                <w:lang w:eastAsia="en-US"/>
              </w:rPr>
              <w:t>（</w:t>
            </w:r>
            <w:r>
              <w:rPr>
                <w:rFonts w:ascii="Times New Roman" w:hAnsi="Times New Roman"/>
                <w:b/>
                <w:color w:val="auto"/>
                <w:spacing w:val="2"/>
                <w:kern w:val="0"/>
                <w:szCs w:val="21"/>
                <w:highlight w:val="none"/>
              </w:rPr>
              <w:t>天</w:t>
            </w:r>
            <w:r>
              <w:rPr>
                <w:rFonts w:ascii="Times New Roman" w:hAnsi="Times New Roman"/>
                <w:b/>
                <w:color w:val="auto"/>
                <w:kern w:val="0"/>
                <w:szCs w:val="21"/>
                <w:highlight w:val="none"/>
                <w:lang w:eastAsia="en-US"/>
              </w:rPr>
              <w:t>）</w:t>
            </w:r>
          </w:p>
        </w:tc>
        <w:tc>
          <w:tcPr>
            <w:tcW w:w="1620" w:type="dxa"/>
            <w:tcBorders>
              <w:top w:val="single" w:color="000000" w:sz="2" w:space="0"/>
              <w:left w:val="single" w:color="000000" w:sz="2" w:space="0"/>
              <w:bottom w:val="single" w:color="000000" w:sz="2" w:space="0"/>
              <w:right w:val="single" w:color="000000" w:sz="2" w:space="0"/>
            </w:tcBorders>
            <w:vAlign w:val="center"/>
          </w:tcPr>
          <w:p>
            <w:pPr>
              <w:ind w:left="46" w:right="24"/>
              <w:jc w:val="center"/>
              <w:rPr>
                <w:rFonts w:ascii="Times New Roman" w:hAnsi="Times New Roman"/>
                <w:b/>
                <w:color w:val="auto"/>
                <w:kern w:val="0"/>
                <w:szCs w:val="21"/>
                <w:highlight w:val="none"/>
              </w:rPr>
            </w:pPr>
            <w:r>
              <w:rPr>
                <w:rFonts w:ascii="Times New Roman" w:hAnsi="Times New Roman"/>
                <w:b/>
                <w:color w:val="auto"/>
                <w:kern w:val="0"/>
                <w:position w:val="-1"/>
                <w:szCs w:val="21"/>
                <w:highlight w:val="none"/>
              </w:rPr>
              <w:t>空气质量优天数</w:t>
            </w:r>
          </w:p>
          <w:p>
            <w:pPr>
              <w:ind w:left="286" w:right="266"/>
              <w:jc w:val="center"/>
              <w:rPr>
                <w:rFonts w:ascii="Times New Roman" w:hAnsi="Times New Roman"/>
                <w:b/>
                <w:color w:val="auto"/>
                <w:kern w:val="0"/>
                <w:szCs w:val="21"/>
                <w:highlight w:val="none"/>
              </w:rPr>
            </w:pPr>
            <w:r>
              <w:rPr>
                <w:rFonts w:ascii="Times New Roman" w:hAnsi="Times New Roman"/>
                <w:b/>
                <w:color w:val="auto"/>
                <w:kern w:val="0"/>
                <w:szCs w:val="21"/>
                <w:highlight w:val="none"/>
              </w:rPr>
              <w:t>（</w:t>
            </w:r>
            <w:r>
              <w:rPr>
                <w:rFonts w:ascii="Times New Roman" w:hAnsi="Times New Roman"/>
                <w:b/>
                <w:color w:val="auto"/>
                <w:spacing w:val="2"/>
                <w:kern w:val="0"/>
                <w:szCs w:val="21"/>
                <w:highlight w:val="none"/>
              </w:rPr>
              <w:t>天</w:t>
            </w:r>
            <w:r>
              <w:rPr>
                <w:rFonts w:ascii="Times New Roman" w:hAnsi="Times New Roman"/>
                <w:b/>
                <w:color w:val="auto"/>
                <w:kern w:val="0"/>
                <w:szCs w:val="21"/>
                <w:highlight w:val="none"/>
              </w:rPr>
              <w:t>）</w:t>
            </w:r>
          </w:p>
        </w:tc>
        <w:tc>
          <w:tcPr>
            <w:tcW w:w="1620" w:type="dxa"/>
            <w:tcBorders>
              <w:top w:val="single" w:color="000000" w:sz="2" w:space="0"/>
              <w:left w:val="single" w:color="000000" w:sz="2" w:space="0"/>
              <w:bottom w:val="single" w:color="000000" w:sz="2" w:space="0"/>
              <w:right w:val="single" w:color="000000" w:sz="2" w:space="0"/>
            </w:tcBorders>
            <w:vAlign w:val="center"/>
          </w:tcPr>
          <w:p>
            <w:pPr>
              <w:ind w:left="46" w:right="24"/>
              <w:jc w:val="center"/>
              <w:rPr>
                <w:rFonts w:ascii="Times New Roman" w:hAnsi="Times New Roman"/>
                <w:b/>
                <w:color w:val="auto"/>
                <w:kern w:val="0"/>
                <w:szCs w:val="21"/>
                <w:highlight w:val="none"/>
              </w:rPr>
            </w:pPr>
            <w:r>
              <w:rPr>
                <w:rFonts w:ascii="Times New Roman" w:hAnsi="Times New Roman"/>
                <w:b/>
                <w:color w:val="auto"/>
                <w:kern w:val="0"/>
                <w:position w:val="-1"/>
                <w:szCs w:val="21"/>
                <w:highlight w:val="none"/>
              </w:rPr>
              <w:t>空气质量良天数</w:t>
            </w:r>
          </w:p>
          <w:p>
            <w:pPr>
              <w:spacing w:before="47"/>
              <w:ind w:left="204" w:hanging="120"/>
              <w:jc w:val="center"/>
              <w:rPr>
                <w:rFonts w:ascii="Times New Roman" w:hAnsi="Times New Roman"/>
                <w:b/>
                <w:color w:val="auto"/>
                <w:kern w:val="0"/>
                <w:szCs w:val="21"/>
                <w:highlight w:val="none"/>
              </w:rPr>
            </w:pPr>
            <w:r>
              <w:rPr>
                <w:rFonts w:ascii="Times New Roman" w:hAnsi="Times New Roman"/>
                <w:b/>
                <w:color w:val="auto"/>
                <w:kern w:val="0"/>
                <w:szCs w:val="21"/>
                <w:highlight w:val="none"/>
              </w:rPr>
              <w:t>（</w:t>
            </w:r>
            <w:r>
              <w:rPr>
                <w:rFonts w:ascii="Times New Roman" w:hAnsi="Times New Roman"/>
                <w:b/>
                <w:color w:val="auto"/>
                <w:spacing w:val="2"/>
                <w:kern w:val="0"/>
                <w:szCs w:val="21"/>
                <w:highlight w:val="none"/>
              </w:rPr>
              <w:t>天</w:t>
            </w:r>
            <w:r>
              <w:rPr>
                <w:rFonts w:ascii="Times New Roman" w:hAnsi="Times New Roman"/>
                <w:b/>
                <w:color w:val="auto"/>
                <w:kern w:val="0"/>
                <w:szCs w:val="21"/>
                <w:highlight w:val="none"/>
              </w:rPr>
              <w:t>）</w:t>
            </w:r>
          </w:p>
        </w:tc>
        <w:tc>
          <w:tcPr>
            <w:tcW w:w="1621" w:type="dxa"/>
            <w:tcBorders>
              <w:top w:val="single" w:color="000000" w:sz="2" w:space="0"/>
              <w:left w:val="single" w:color="000000" w:sz="2" w:space="0"/>
              <w:bottom w:val="single" w:color="000000" w:sz="2" w:space="0"/>
              <w:right w:val="single" w:color="000000" w:sz="2" w:space="0"/>
            </w:tcBorders>
            <w:vAlign w:val="center"/>
          </w:tcPr>
          <w:p>
            <w:pPr>
              <w:ind w:left="154" w:right="133"/>
              <w:jc w:val="center"/>
              <w:rPr>
                <w:rFonts w:ascii="Times New Roman" w:hAnsi="Times New Roman"/>
                <w:b/>
                <w:color w:val="auto"/>
                <w:kern w:val="0"/>
                <w:szCs w:val="21"/>
                <w:highlight w:val="none"/>
              </w:rPr>
            </w:pPr>
            <w:r>
              <w:rPr>
                <w:rFonts w:ascii="Times New Roman" w:hAnsi="Times New Roman"/>
                <w:b/>
                <w:color w:val="auto"/>
                <w:kern w:val="0"/>
                <w:position w:val="-1"/>
                <w:szCs w:val="21"/>
                <w:highlight w:val="none"/>
              </w:rPr>
              <w:t>全年空气质量优良天数</w:t>
            </w:r>
          </w:p>
          <w:p>
            <w:pPr>
              <w:ind w:left="405" w:right="388"/>
              <w:jc w:val="center"/>
              <w:rPr>
                <w:rFonts w:ascii="Times New Roman" w:hAnsi="Times New Roman"/>
                <w:b/>
                <w:color w:val="auto"/>
                <w:kern w:val="0"/>
                <w:szCs w:val="21"/>
                <w:highlight w:val="none"/>
              </w:rPr>
            </w:pPr>
            <w:r>
              <w:rPr>
                <w:rFonts w:ascii="Times New Roman" w:hAnsi="Times New Roman"/>
                <w:b/>
                <w:color w:val="auto"/>
                <w:kern w:val="0"/>
                <w:szCs w:val="21"/>
                <w:highlight w:val="none"/>
              </w:rPr>
              <w:t>（</w:t>
            </w:r>
            <w:r>
              <w:rPr>
                <w:rFonts w:ascii="Times New Roman" w:hAnsi="Times New Roman"/>
                <w:b/>
                <w:bCs/>
                <w:color w:val="auto"/>
                <w:kern w:val="0"/>
                <w:szCs w:val="21"/>
                <w:highlight w:val="none"/>
              </w:rPr>
              <w:t>天</w:t>
            </w:r>
            <w:r>
              <w:rPr>
                <w:rFonts w:ascii="Times New Roman" w:hAnsi="Times New Roman"/>
                <w:b/>
                <w:color w:val="auto"/>
                <w:kern w:val="0"/>
                <w:szCs w:val="21"/>
                <w:highlight w:val="none"/>
              </w:rPr>
              <w:t>）</w:t>
            </w:r>
          </w:p>
        </w:tc>
      </w:tr>
      <w:tr>
        <w:tblPrEx>
          <w:tblCellMar>
            <w:top w:w="0" w:type="dxa"/>
            <w:left w:w="0" w:type="dxa"/>
            <w:bottom w:w="0" w:type="dxa"/>
            <w:right w:w="0" w:type="dxa"/>
          </w:tblCellMar>
        </w:tblPrEx>
        <w:trPr>
          <w:trHeight w:val="502" w:hRule="exact"/>
        </w:trPr>
        <w:tc>
          <w:tcPr>
            <w:tcW w:w="840" w:type="dxa"/>
            <w:tcBorders>
              <w:top w:val="single" w:color="000000" w:sz="2" w:space="0"/>
              <w:left w:val="single" w:color="000000" w:sz="2" w:space="0"/>
              <w:bottom w:val="single" w:color="000000" w:sz="2" w:space="0"/>
              <w:right w:val="single" w:color="000000" w:sz="2" w:space="0"/>
            </w:tcBorders>
          </w:tcPr>
          <w:p>
            <w:pPr>
              <w:ind w:left="317" w:right="297"/>
              <w:jc w:val="center"/>
              <w:rPr>
                <w:rFonts w:ascii="Times New Roman" w:hAnsi="Times New Roman"/>
                <w:color w:val="auto"/>
                <w:kern w:val="0"/>
                <w:szCs w:val="21"/>
                <w:highlight w:val="none"/>
                <w:lang w:eastAsia="en-US"/>
              </w:rPr>
            </w:pPr>
            <w:r>
              <w:rPr>
                <w:rFonts w:ascii="Times New Roman" w:hAnsi="Times New Roman"/>
                <w:color w:val="auto"/>
                <w:kern w:val="0"/>
                <w:szCs w:val="21"/>
                <w:highlight w:val="none"/>
                <w:lang w:eastAsia="en-US"/>
              </w:rPr>
              <w:t>1</w:t>
            </w:r>
          </w:p>
        </w:tc>
        <w:tc>
          <w:tcPr>
            <w:tcW w:w="1152" w:type="dxa"/>
            <w:tcBorders>
              <w:top w:val="single" w:color="000000" w:sz="2" w:space="0"/>
              <w:left w:val="single" w:color="000000" w:sz="2" w:space="0"/>
              <w:bottom w:val="single" w:color="000000" w:sz="2" w:space="0"/>
              <w:right w:val="single" w:color="000000" w:sz="2" w:space="0"/>
            </w:tcBorders>
          </w:tcPr>
          <w:p>
            <w:pPr>
              <w:ind w:left="211" w:right="-20"/>
              <w:jc w:val="left"/>
              <w:rPr>
                <w:rFonts w:ascii="Times New Roman" w:hAnsi="Times New Roman"/>
                <w:color w:val="auto"/>
                <w:kern w:val="0"/>
                <w:szCs w:val="21"/>
                <w:highlight w:val="none"/>
                <w:lang w:eastAsia="en-US"/>
              </w:rPr>
            </w:pPr>
            <w:r>
              <w:rPr>
                <w:rFonts w:ascii="Times New Roman" w:hAnsi="Times New Roman"/>
                <w:color w:val="auto"/>
                <w:kern w:val="0"/>
                <w:position w:val="-2"/>
                <w:szCs w:val="21"/>
                <w:highlight w:val="none"/>
                <w:lang w:eastAsia="en-US"/>
              </w:rPr>
              <w:t>海丰县</w:t>
            </w:r>
          </w:p>
        </w:tc>
        <w:tc>
          <w:tcPr>
            <w:tcW w:w="1620" w:type="dxa"/>
            <w:tcBorders>
              <w:top w:val="single" w:color="000000" w:sz="2" w:space="0"/>
              <w:left w:val="single" w:color="000000" w:sz="2" w:space="0"/>
              <w:bottom w:val="single" w:color="000000" w:sz="2" w:space="0"/>
              <w:right w:val="single" w:color="000000" w:sz="2" w:space="0"/>
            </w:tcBorders>
          </w:tcPr>
          <w:p>
            <w:pPr>
              <w:ind w:left="475" w:right="-20"/>
              <w:jc w:val="left"/>
              <w:rPr>
                <w:rFonts w:ascii="Times New Roman" w:hAnsi="Times New Roman"/>
                <w:color w:val="auto"/>
                <w:kern w:val="0"/>
                <w:szCs w:val="21"/>
                <w:highlight w:val="none"/>
              </w:rPr>
            </w:pPr>
            <w:r>
              <w:rPr>
                <w:rFonts w:ascii="Times New Roman" w:hAnsi="Times New Roman"/>
                <w:color w:val="auto"/>
                <w:kern w:val="0"/>
                <w:szCs w:val="21"/>
                <w:highlight w:val="none"/>
              </w:rPr>
              <w:t>365</w:t>
            </w:r>
          </w:p>
        </w:tc>
        <w:tc>
          <w:tcPr>
            <w:tcW w:w="1620" w:type="dxa"/>
            <w:tcBorders>
              <w:top w:val="single" w:color="000000" w:sz="2" w:space="0"/>
              <w:left w:val="single" w:color="000000" w:sz="2" w:space="0"/>
              <w:bottom w:val="single" w:color="000000" w:sz="2" w:space="0"/>
              <w:right w:val="single" w:color="000000" w:sz="2" w:space="0"/>
            </w:tcBorders>
          </w:tcPr>
          <w:p>
            <w:pPr>
              <w:ind w:left="475" w:right="-20"/>
              <w:jc w:val="left"/>
              <w:rPr>
                <w:rFonts w:ascii="Times New Roman" w:hAnsi="Times New Roman"/>
                <w:color w:val="auto"/>
                <w:kern w:val="0"/>
                <w:szCs w:val="21"/>
                <w:highlight w:val="none"/>
              </w:rPr>
            </w:pPr>
            <w:r>
              <w:rPr>
                <w:rFonts w:ascii="Times New Roman" w:hAnsi="Times New Roman"/>
                <w:color w:val="auto"/>
                <w:kern w:val="0"/>
                <w:szCs w:val="21"/>
                <w:highlight w:val="none"/>
              </w:rPr>
              <w:t>160</w:t>
            </w:r>
          </w:p>
        </w:tc>
        <w:tc>
          <w:tcPr>
            <w:tcW w:w="1620" w:type="dxa"/>
            <w:tcBorders>
              <w:top w:val="single" w:color="000000" w:sz="2" w:space="0"/>
              <w:left w:val="single" w:color="000000" w:sz="2" w:space="0"/>
              <w:bottom w:val="single" w:color="000000" w:sz="2" w:space="0"/>
              <w:right w:val="single" w:color="000000" w:sz="2" w:space="0"/>
            </w:tcBorders>
          </w:tcPr>
          <w:p>
            <w:pPr>
              <w:ind w:left="475" w:right="-20"/>
              <w:jc w:val="left"/>
              <w:rPr>
                <w:rFonts w:ascii="Times New Roman" w:hAnsi="Times New Roman"/>
                <w:color w:val="auto"/>
                <w:kern w:val="0"/>
                <w:szCs w:val="21"/>
                <w:highlight w:val="none"/>
              </w:rPr>
            </w:pPr>
            <w:r>
              <w:rPr>
                <w:rFonts w:ascii="Times New Roman" w:hAnsi="Times New Roman"/>
                <w:color w:val="auto"/>
                <w:kern w:val="0"/>
                <w:szCs w:val="21"/>
                <w:highlight w:val="none"/>
              </w:rPr>
              <w:t>185</w:t>
            </w:r>
          </w:p>
        </w:tc>
        <w:tc>
          <w:tcPr>
            <w:tcW w:w="1621" w:type="dxa"/>
            <w:tcBorders>
              <w:top w:val="single" w:color="000000" w:sz="2" w:space="0"/>
              <w:left w:val="single" w:color="000000" w:sz="2" w:space="0"/>
              <w:bottom w:val="single" w:color="000000" w:sz="2" w:space="0"/>
              <w:right w:val="single" w:color="000000" w:sz="2" w:space="0"/>
            </w:tcBorders>
          </w:tcPr>
          <w:p>
            <w:pPr>
              <w:ind w:left="535" w:right="-20"/>
              <w:jc w:val="left"/>
              <w:rPr>
                <w:rFonts w:ascii="Times New Roman" w:hAnsi="Times New Roman"/>
                <w:color w:val="auto"/>
                <w:kern w:val="0"/>
                <w:szCs w:val="21"/>
                <w:highlight w:val="none"/>
              </w:rPr>
            </w:pPr>
            <w:r>
              <w:rPr>
                <w:rFonts w:ascii="Times New Roman" w:hAnsi="Times New Roman"/>
                <w:color w:val="auto"/>
                <w:kern w:val="0"/>
                <w:szCs w:val="21"/>
                <w:highlight w:val="none"/>
              </w:rPr>
              <w:t>345</w:t>
            </w:r>
          </w:p>
        </w:tc>
      </w:tr>
    </w:tbl>
    <w:p>
      <w:pPr>
        <w:spacing w:line="360" w:lineRule="auto"/>
        <w:rPr>
          <w:rFonts w:ascii="Times New Roman" w:hAnsi="Times New Roman"/>
          <w:color w:val="auto"/>
          <w:sz w:val="24"/>
          <w:highlight w:val="none"/>
        </w:rPr>
      </w:pPr>
    </w:p>
    <w:p>
      <w:pPr>
        <w:spacing w:line="360" w:lineRule="auto"/>
        <w:jc w:val="center"/>
        <w:rPr>
          <w:rFonts w:ascii="Times New Roman" w:hAnsi="Times New Roman"/>
          <w:b/>
          <w:color w:val="auto"/>
          <w:sz w:val="24"/>
          <w:highlight w:val="none"/>
        </w:rPr>
      </w:pPr>
      <w:r>
        <w:rPr>
          <w:rFonts w:ascii="Times New Roman" w:hAnsi="Times New Roman"/>
          <w:b/>
          <w:color w:val="auto"/>
          <w:sz w:val="24"/>
          <w:highlight w:val="none"/>
        </w:rPr>
        <w:t>表4-</w:t>
      </w:r>
      <w:r>
        <w:rPr>
          <w:rFonts w:hint="eastAsia" w:ascii="Times New Roman" w:hAnsi="Times New Roman"/>
          <w:b/>
          <w:color w:val="auto"/>
          <w:sz w:val="24"/>
          <w:highlight w:val="none"/>
        </w:rPr>
        <w:t xml:space="preserve">7 </w:t>
      </w:r>
      <w:r>
        <w:rPr>
          <w:rFonts w:ascii="Times New Roman" w:hAnsi="Times New Roman"/>
          <w:b/>
          <w:color w:val="auto"/>
          <w:sz w:val="24"/>
          <w:highlight w:val="none"/>
        </w:rPr>
        <w:t>海丰县全年空气质量明细表</w:t>
      </w:r>
    </w:p>
    <w:tbl>
      <w:tblPr>
        <w:tblStyle w:val="20"/>
        <w:tblW w:w="879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1"/>
        <w:gridCol w:w="1385"/>
        <w:gridCol w:w="1385"/>
        <w:gridCol w:w="1258"/>
        <w:gridCol w:w="1264"/>
        <w:gridCol w:w="1424"/>
        <w:gridCol w:w="13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blHeader/>
          <w:jc w:val="center"/>
        </w:trPr>
        <w:tc>
          <w:tcPr>
            <w:tcW w:w="751" w:type="dxa"/>
            <w:noWrap/>
            <w:vAlign w:val="center"/>
          </w:tcPr>
          <w:p>
            <w:pPr>
              <w:spacing w:line="360" w:lineRule="auto"/>
              <w:jc w:val="center"/>
              <w:rPr>
                <w:rFonts w:ascii="Times New Roman" w:hAnsi="Times New Roman"/>
                <w:b/>
                <w:bCs/>
                <w:color w:val="auto"/>
                <w:szCs w:val="21"/>
                <w:highlight w:val="none"/>
              </w:rPr>
            </w:pPr>
            <w:r>
              <w:rPr>
                <w:rFonts w:ascii="Times New Roman" w:hAnsi="Times New Roman"/>
                <w:b/>
                <w:bCs/>
                <w:color w:val="auto"/>
                <w:szCs w:val="21"/>
                <w:highlight w:val="none"/>
              </w:rPr>
              <w:t>月份</w:t>
            </w:r>
          </w:p>
        </w:tc>
        <w:tc>
          <w:tcPr>
            <w:tcW w:w="1385" w:type="dxa"/>
            <w:noWrap/>
            <w:vAlign w:val="center"/>
          </w:tcPr>
          <w:p>
            <w:pPr>
              <w:spacing w:line="360" w:lineRule="auto"/>
              <w:jc w:val="center"/>
              <w:rPr>
                <w:rFonts w:ascii="Times New Roman" w:hAnsi="Times New Roman"/>
                <w:b/>
                <w:bCs/>
                <w:color w:val="auto"/>
                <w:szCs w:val="21"/>
                <w:highlight w:val="none"/>
              </w:rPr>
            </w:pPr>
            <w:r>
              <w:rPr>
                <w:rFonts w:ascii="Times New Roman" w:hAnsi="Times New Roman"/>
                <w:b/>
                <w:bCs/>
                <w:color w:val="auto"/>
                <w:szCs w:val="21"/>
                <w:highlight w:val="none"/>
              </w:rPr>
              <w:t>二氧化硫月均值（ug/ m</w:t>
            </w:r>
            <w:r>
              <w:rPr>
                <w:rFonts w:ascii="Times New Roman" w:hAnsi="Times New Roman"/>
                <w:b/>
                <w:bCs/>
                <w:color w:val="auto"/>
                <w:szCs w:val="21"/>
                <w:highlight w:val="none"/>
                <w:vertAlign w:val="superscript"/>
              </w:rPr>
              <w:t>3</w:t>
            </w:r>
            <w:r>
              <w:rPr>
                <w:rFonts w:ascii="Times New Roman" w:hAnsi="Times New Roman"/>
                <w:b/>
                <w:bCs/>
                <w:color w:val="auto"/>
                <w:szCs w:val="21"/>
                <w:highlight w:val="none"/>
              </w:rPr>
              <w:t>）</w:t>
            </w:r>
          </w:p>
        </w:tc>
        <w:tc>
          <w:tcPr>
            <w:tcW w:w="1385" w:type="dxa"/>
            <w:noWrap/>
            <w:vAlign w:val="center"/>
          </w:tcPr>
          <w:p>
            <w:pPr>
              <w:spacing w:line="360" w:lineRule="auto"/>
              <w:jc w:val="center"/>
              <w:rPr>
                <w:rFonts w:ascii="Times New Roman" w:hAnsi="Times New Roman"/>
                <w:b/>
                <w:bCs/>
                <w:color w:val="auto"/>
                <w:szCs w:val="21"/>
                <w:highlight w:val="none"/>
              </w:rPr>
            </w:pPr>
            <w:r>
              <w:rPr>
                <w:rFonts w:ascii="Times New Roman" w:hAnsi="Times New Roman"/>
                <w:b/>
                <w:bCs/>
                <w:color w:val="auto"/>
                <w:szCs w:val="21"/>
                <w:highlight w:val="none"/>
              </w:rPr>
              <w:t>二氧化氮月均值（ug/ m</w:t>
            </w:r>
            <w:r>
              <w:rPr>
                <w:rFonts w:ascii="Times New Roman" w:hAnsi="Times New Roman"/>
                <w:b/>
                <w:bCs/>
                <w:color w:val="auto"/>
                <w:szCs w:val="21"/>
                <w:highlight w:val="none"/>
                <w:vertAlign w:val="superscript"/>
              </w:rPr>
              <w:t>3</w:t>
            </w:r>
            <w:r>
              <w:rPr>
                <w:rFonts w:ascii="Times New Roman" w:hAnsi="Times New Roman"/>
                <w:b/>
                <w:bCs/>
                <w:color w:val="auto"/>
                <w:szCs w:val="21"/>
                <w:highlight w:val="none"/>
              </w:rPr>
              <w:t>）</w:t>
            </w:r>
          </w:p>
        </w:tc>
        <w:tc>
          <w:tcPr>
            <w:tcW w:w="1258" w:type="dxa"/>
            <w:noWrap/>
            <w:vAlign w:val="center"/>
          </w:tcPr>
          <w:p>
            <w:pPr>
              <w:spacing w:line="360" w:lineRule="auto"/>
              <w:jc w:val="center"/>
              <w:rPr>
                <w:rFonts w:ascii="Times New Roman" w:hAnsi="Times New Roman"/>
                <w:b/>
                <w:bCs/>
                <w:color w:val="auto"/>
                <w:szCs w:val="21"/>
                <w:highlight w:val="none"/>
              </w:rPr>
            </w:pPr>
            <w:r>
              <w:rPr>
                <w:rFonts w:ascii="Times New Roman" w:hAnsi="Times New Roman"/>
                <w:b/>
                <w:bCs/>
                <w:color w:val="auto"/>
                <w:szCs w:val="21"/>
                <w:highlight w:val="none"/>
              </w:rPr>
              <w:t>PM10月均值（ug/ m</w:t>
            </w:r>
            <w:r>
              <w:rPr>
                <w:rFonts w:ascii="Times New Roman" w:hAnsi="Times New Roman"/>
                <w:b/>
                <w:bCs/>
                <w:color w:val="auto"/>
                <w:szCs w:val="21"/>
                <w:highlight w:val="none"/>
                <w:vertAlign w:val="superscript"/>
              </w:rPr>
              <w:t>3</w:t>
            </w:r>
            <w:r>
              <w:rPr>
                <w:rFonts w:ascii="Times New Roman" w:hAnsi="Times New Roman"/>
                <w:b/>
                <w:bCs/>
                <w:color w:val="auto"/>
                <w:szCs w:val="21"/>
                <w:highlight w:val="none"/>
              </w:rPr>
              <w:t>）</w:t>
            </w:r>
          </w:p>
        </w:tc>
        <w:tc>
          <w:tcPr>
            <w:tcW w:w="1264" w:type="dxa"/>
            <w:noWrap/>
            <w:vAlign w:val="center"/>
          </w:tcPr>
          <w:p>
            <w:pPr>
              <w:spacing w:line="360" w:lineRule="auto"/>
              <w:jc w:val="center"/>
              <w:rPr>
                <w:rFonts w:ascii="Times New Roman" w:hAnsi="Times New Roman"/>
                <w:b/>
                <w:bCs/>
                <w:color w:val="auto"/>
                <w:szCs w:val="21"/>
                <w:highlight w:val="none"/>
              </w:rPr>
            </w:pPr>
            <w:r>
              <w:rPr>
                <w:rFonts w:ascii="Times New Roman" w:hAnsi="Times New Roman"/>
                <w:b/>
                <w:bCs/>
                <w:color w:val="auto"/>
                <w:szCs w:val="21"/>
                <w:highlight w:val="none"/>
              </w:rPr>
              <w:t>PM2.5月均值（ug/ m</w:t>
            </w:r>
            <w:r>
              <w:rPr>
                <w:rFonts w:ascii="Times New Roman" w:hAnsi="Times New Roman"/>
                <w:b/>
                <w:bCs/>
                <w:color w:val="auto"/>
                <w:szCs w:val="21"/>
                <w:highlight w:val="none"/>
                <w:vertAlign w:val="superscript"/>
              </w:rPr>
              <w:t>3</w:t>
            </w:r>
            <w:r>
              <w:rPr>
                <w:rFonts w:ascii="Times New Roman" w:hAnsi="Times New Roman"/>
                <w:b/>
                <w:bCs/>
                <w:color w:val="auto"/>
                <w:szCs w:val="21"/>
                <w:highlight w:val="none"/>
              </w:rPr>
              <w:t>)</w:t>
            </w:r>
          </w:p>
        </w:tc>
        <w:tc>
          <w:tcPr>
            <w:tcW w:w="1424" w:type="dxa"/>
            <w:noWrap/>
            <w:vAlign w:val="center"/>
          </w:tcPr>
          <w:p>
            <w:pPr>
              <w:spacing w:line="360" w:lineRule="auto"/>
              <w:jc w:val="center"/>
              <w:rPr>
                <w:rFonts w:ascii="Times New Roman" w:hAnsi="Times New Roman"/>
                <w:b/>
                <w:bCs/>
                <w:color w:val="auto"/>
                <w:szCs w:val="21"/>
                <w:highlight w:val="none"/>
              </w:rPr>
            </w:pPr>
            <w:r>
              <w:rPr>
                <w:rFonts w:ascii="Times New Roman" w:hAnsi="Times New Roman"/>
                <w:b/>
                <w:bCs/>
                <w:color w:val="auto"/>
                <w:szCs w:val="21"/>
                <w:highlight w:val="none"/>
              </w:rPr>
              <w:t>一氧化碳月均值（mg/ m</w:t>
            </w:r>
            <w:r>
              <w:rPr>
                <w:rFonts w:ascii="Times New Roman" w:hAnsi="Times New Roman"/>
                <w:b/>
                <w:bCs/>
                <w:color w:val="auto"/>
                <w:szCs w:val="21"/>
                <w:highlight w:val="none"/>
                <w:vertAlign w:val="superscript"/>
              </w:rPr>
              <w:t>3</w:t>
            </w:r>
            <w:r>
              <w:rPr>
                <w:rFonts w:ascii="Times New Roman" w:hAnsi="Times New Roman"/>
                <w:b/>
                <w:bCs/>
                <w:color w:val="auto"/>
                <w:szCs w:val="21"/>
                <w:highlight w:val="none"/>
              </w:rPr>
              <w:t>）</w:t>
            </w:r>
          </w:p>
        </w:tc>
        <w:tc>
          <w:tcPr>
            <w:tcW w:w="1324" w:type="dxa"/>
            <w:noWrap/>
            <w:vAlign w:val="center"/>
          </w:tcPr>
          <w:p>
            <w:pPr>
              <w:spacing w:line="360" w:lineRule="auto"/>
              <w:jc w:val="center"/>
              <w:rPr>
                <w:rFonts w:ascii="Times New Roman" w:hAnsi="Times New Roman"/>
                <w:b/>
                <w:bCs/>
                <w:color w:val="auto"/>
                <w:szCs w:val="21"/>
                <w:highlight w:val="none"/>
              </w:rPr>
            </w:pPr>
            <w:r>
              <w:rPr>
                <w:rFonts w:ascii="Times New Roman" w:hAnsi="Times New Roman"/>
                <w:b/>
                <w:bCs/>
                <w:color w:val="auto"/>
                <w:szCs w:val="21"/>
                <w:highlight w:val="none"/>
              </w:rPr>
              <w:t>臭氧8小时月均值（ug/m</w:t>
            </w:r>
            <w:r>
              <w:rPr>
                <w:rFonts w:ascii="Times New Roman" w:hAnsi="Times New Roman"/>
                <w:b/>
                <w:bCs/>
                <w:color w:val="auto"/>
                <w:szCs w:val="21"/>
                <w:highlight w:val="none"/>
                <w:vertAlign w:val="superscript"/>
              </w:rPr>
              <w:t>3</w:t>
            </w:r>
            <w:r>
              <w:rPr>
                <w:rFonts w:ascii="Times New Roman" w:hAnsi="Times New Roman"/>
                <w:b/>
                <w:bCs/>
                <w:color w:val="auto"/>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51"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1月</w:t>
            </w:r>
          </w:p>
        </w:tc>
        <w:tc>
          <w:tcPr>
            <w:tcW w:w="1385"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35.29</w:t>
            </w:r>
          </w:p>
        </w:tc>
        <w:tc>
          <w:tcPr>
            <w:tcW w:w="1385"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5.46</w:t>
            </w:r>
          </w:p>
        </w:tc>
        <w:tc>
          <w:tcPr>
            <w:tcW w:w="1258"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50.77</w:t>
            </w:r>
          </w:p>
        </w:tc>
        <w:tc>
          <w:tcPr>
            <w:tcW w:w="1264"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14.75</w:t>
            </w:r>
          </w:p>
        </w:tc>
        <w:tc>
          <w:tcPr>
            <w:tcW w:w="1424"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0.81</w:t>
            </w:r>
          </w:p>
        </w:tc>
        <w:tc>
          <w:tcPr>
            <w:tcW w:w="1324"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49.13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51"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2月</w:t>
            </w:r>
          </w:p>
        </w:tc>
        <w:tc>
          <w:tcPr>
            <w:tcW w:w="1385"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31.50</w:t>
            </w:r>
          </w:p>
        </w:tc>
        <w:tc>
          <w:tcPr>
            <w:tcW w:w="1385"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1.46</w:t>
            </w:r>
          </w:p>
        </w:tc>
        <w:tc>
          <w:tcPr>
            <w:tcW w:w="1258"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50.15</w:t>
            </w:r>
          </w:p>
        </w:tc>
        <w:tc>
          <w:tcPr>
            <w:tcW w:w="1264"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20.09</w:t>
            </w:r>
          </w:p>
        </w:tc>
        <w:tc>
          <w:tcPr>
            <w:tcW w:w="1424"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0.70</w:t>
            </w:r>
          </w:p>
        </w:tc>
        <w:tc>
          <w:tcPr>
            <w:tcW w:w="1324"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47.65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51"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3月</w:t>
            </w:r>
          </w:p>
        </w:tc>
        <w:tc>
          <w:tcPr>
            <w:tcW w:w="1385"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37.00</w:t>
            </w:r>
          </w:p>
        </w:tc>
        <w:tc>
          <w:tcPr>
            <w:tcW w:w="1385"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1.15</w:t>
            </w:r>
          </w:p>
        </w:tc>
        <w:tc>
          <w:tcPr>
            <w:tcW w:w="1258"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71.92</w:t>
            </w:r>
          </w:p>
        </w:tc>
        <w:tc>
          <w:tcPr>
            <w:tcW w:w="1264"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5.93</w:t>
            </w:r>
          </w:p>
        </w:tc>
        <w:tc>
          <w:tcPr>
            <w:tcW w:w="1424"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0.67</w:t>
            </w:r>
          </w:p>
        </w:tc>
        <w:tc>
          <w:tcPr>
            <w:tcW w:w="1324"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47.82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51"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4月</w:t>
            </w:r>
          </w:p>
        </w:tc>
        <w:tc>
          <w:tcPr>
            <w:tcW w:w="1385"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4.75</w:t>
            </w:r>
          </w:p>
        </w:tc>
        <w:tc>
          <w:tcPr>
            <w:tcW w:w="1385"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6.19</w:t>
            </w:r>
          </w:p>
        </w:tc>
        <w:tc>
          <w:tcPr>
            <w:tcW w:w="1258"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35.63</w:t>
            </w:r>
          </w:p>
        </w:tc>
        <w:tc>
          <w:tcPr>
            <w:tcW w:w="1264"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18.50</w:t>
            </w:r>
          </w:p>
        </w:tc>
        <w:tc>
          <w:tcPr>
            <w:tcW w:w="1424"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0.63</w:t>
            </w:r>
          </w:p>
        </w:tc>
        <w:tc>
          <w:tcPr>
            <w:tcW w:w="1324"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65.70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51"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5月</w:t>
            </w:r>
          </w:p>
        </w:tc>
        <w:tc>
          <w:tcPr>
            <w:tcW w:w="1385"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4.58</w:t>
            </w:r>
          </w:p>
        </w:tc>
        <w:tc>
          <w:tcPr>
            <w:tcW w:w="1385"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9.83</w:t>
            </w:r>
          </w:p>
        </w:tc>
        <w:tc>
          <w:tcPr>
            <w:tcW w:w="1258"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32.71</w:t>
            </w:r>
          </w:p>
        </w:tc>
        <w:tc>
          <w:tcPr>
            <w:tcW w:w="1264"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17.74</w:t>
            </w:r>
          </w:p>
        </w:tc>
        <w:tc>
          <w:tcPr>
            <w:tcW w:w="1424"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0.64</w:t>
            </w:r>
          </w:p>
        </w:tc>
        <w:tc>
          <w:tcPr>
            <w:tcW w:w="1324"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71.13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51"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6月</w:t>
            </w:r>
          </w:p>
        </w:tc>
        <w:tc>
          <w:tcPr>
            <w:tcW w:w="1385"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5.38</w:t>
            </w:r>
          </w:p>
        </w:tc>
        <w:tc>
          <w:tcPr>
            <w:tcW w:w="1385"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8.10</w:t>
            </w:r>
          </w:p>
        </w:tc>
        <w:tc>
          <w:tcPr>
            <w:tcW w:w="1258"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21.37</w:t>
            </w:r>
          </w:p>
        </w:tc>
        <w:tc>
          <w:tcPr>
            <w:tcW w:w="1264"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12.26</w:t>
            </w:r>
          </w:p>
        </w:tc>
        <w:tc>
          <w:tcPr>
            <w:tcW w:w="1424"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0.49</w:t>
            </w:r>
          </w:p>
        </w:tc>
        <w:tc>
          <w:tcPr>
            <w:tcW w:w="1324"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49.20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51"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7月</w:t>
            </w:r>
          </w:p>
        </w:tc>
        <w:tc>
          <w:tcPr>
            <w:tcW w:w="1385"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4.03</w:t>
            </w:r>
          </w:p>
        </w:tc>
        <w:tc>
          <w:tcPr>
            <w:tcW w:w="1385"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9.82</w:t>
            </w:r>
          </w:p>
        </w:tc>
        <w:tc>
          <w:tcPr>
            <w:tcW w:w="1258"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30.37</w:t>
            </w:r>
          </w:p>
        </w:tc>
        <w:tc>
          <w:tcPr>
            <w:tcW w:w="1264"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21.45</w:t>
            </w:r>
          </w:p>
        </w:tc>
        <w:tc>
          <w:tcPr>
            <w:tcW w:w="1424"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0.56</w:t>
            </w:r>
          </w:p>
        </w:tc>
        <w:tc>
          <w:tcPr>
            <w:tcW w:w="1324"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43.48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51"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8月</w:t>
            </w:r>
          </w:p>
        </w:tc>
        <w:tc>
          <w:tcPr>
            <w:tcW w:w="1385"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6.07</w:t>
            </w:r>
          </w:p>
        </w:tc>
        <w:tc>
          <w:tcPr>
            <w:tcW w:w="1385"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14.24</w:t>
            </w:r>
          </w:p>
        </w:tc>
        <w:tc>
          <w:tcPr>
            <w:tcW w:w="1258"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30.31</w:t>
            </w:r>
          </w:p>
        </w:tc>
        <w:tc>
          <w:tcPr>
            <w:tcW w:w="1264"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18.71</w:t>
            </w:r>
          </w:p>
        </w:tc>
        <w:tc>
          <w:tcPr>
            <w:tcW w:w="1424"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0.49</w:t>
            </w:r>
          </w:p>
        </w:tc>
        <w:tc>
          <w:tcPr>
            <w:tcW w:w="1324"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73.69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51"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9月</w:t>
            </w:r>
          </w:p>
        </w:tc>
        <w:tc>
          <w:tcPr>
            <w:tcW w:w="1385"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9.10</w:t>
            </w:r>
          </w:p>
        </w:tc>
        <w:tc>
          <w:tcPr>
            <w:tcW w:w="1385"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14.38</w:t>
            </w:r>
          </w:p>
        </w:tc>
        <w:tc>
          <w:tcPr>
            <w:tcW w:w="1258"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41.66</w:t>
            </w:r>
          </w:p>
        </w:tc>
        <w:tc>
          <w:tcPr>
            <w:tcW w:w="1264"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22.69</w:t>
            </w:r>
          </w:p>
        </w:tc>
        <w:tc>
          <w:tcPr>
            <w:tcW w:w="1424"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0.57</w:t>
            </w:r>
          </w:p>
        </w:tc>
        <w:tc>
          <w:tcPr>
            <w:tcW w:w="1324"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117.43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51"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10月</w:t>
            </w:r>
          </w:p>
        </w:tc>
        <w:tc>
          <w:tcPr>
            <w:tcW w:w="1385"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8.23</w:t>
            </w:r>
          </w:p>
        </w:tc>
        <w:tc>
          <w:tcPr>
            <w:tcW w:w="1385"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15.26</w:t>
            </w:r>
          </w:p>
        </w:tc>
        <w:tc>
          <w:tcPr>
            <w:tcW w:w="1258"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48.84</w:t>
            </w:r>
          </w:p>
        </w:tc>
        <w:tc>
          <w:tcPr>
            <w:tcW w:w="1264"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29.84</w:t>
            </w:r>
          </w:p>
        </w:tc>
        <w:tc>
          <w:tcPr>
            <w:tcW w:w="1424"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0.59</w:t>
            </w:r>
          </w:p>
        </w:tc>
        <w:tc>
          <w:tcPr>
            <w:tcW w:w="1324"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126.65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51"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11月</w:t>
            </w:r>
          </w:p>
        </w:tc>
        <w:tc>
          <w:tcPr>
            <w:tcW w:w="1385"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5.60</w:t>
            </w:r>
          </w:p>
        </w:tc>
        <w:tc>
          <w:tcPr>
            <w:tcW w:w="1385"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20.45</w:t>
            </w:r>
          </w:p>
        </w:tc>
        <w:tc>
          <w:tcPr>
            <w:tcW w:w="1258"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54.43</w:t>
            </w:r>
          </w:p>
        </w:tc>
        <w:tc>
          <w:tcPr>
            <w:tcW w:w="1264"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31.66</w:t>
            </w:r>
          </w:p>
        </w:tc>
        <w:tc>
          <w:tcPr>
            <w:tcW w:w="1424"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0.56</w:t>
            </w:r>
          </w:p>
        </w:tc>
        <w:tc>
          <w:tcPr>
            <w:tcW w:w="1324"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117.52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51"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12月</w:t>
            </w:r>
          </w:p>
        </w:tc>
        <w:tc>
          <w:tcPr>
            <w:tcW w:w="1385"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8.13</w:t>
            </w:r>
          </w:p>
        </w:tc>
        <w:tc>
          <w:tcPr>
            <w:tcW w:w="1385"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22.29</w:t>
            </w:r>
          </w:p>
        </w:tc>
        <w:tc>
          <w:tcPr>
            <w:tcW w:w="1258"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48.03</w:t>
            </w:r>
          </w:p>
        </w:tc>
        <w:tc>
          <w:tcPr>
            <w:tcW w:w="1264"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33.36</w:t>
            </w:r>
          </w:p>
        </w:tc>
        <w:tc>
          <w:tcPr>
            <w:tcW w:w="1424"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0.83</w:t>
            </w:r>
          </w:p>
        </w:tc>
        <w:tc>
          <w:tcPr>
            <w:tcW w:w="1324" w:type="dxa"/>
            <w:noWrap/>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89.87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51" w:type="dxa"/>
            <w:noWrap/>
            <w:vAlign w:val="center"/>
          </w:tcPr>
          <w:p>
            <w:pPr>
              <w:spacing w:line="360" w:lineRule="auto"/>
              <w:jc w:val="center"/>
              <w:rPr>
                <w:rFonts w:ascii="Times New Roman" w:hAnsi="Times New Roman"/>
                <w:b/>
                <w:bCs/>
                <w:color w:val="auto"/>
                <w:szCs w:val="21"/>
                <w:highlight w:val="none"/>
              </w:rPr>
            </w:pPr>
            <w:r>
              <w:rPr>
                <w:rFonts w:ascii="Times New Roman" w:hAnsi="Times New Roman"/>
                <w:b/>
                <w:bCs/>
                <w:color w:val="auto"/>
                <w:szCs w:val="21"/>
                <w:highlight w:val="none"/>
              </w:rPr>
              <w:t>总计</w:t>
            </w:r>
          </w:p>
        </w:tc>
        <w:tc>
          <w:tcPr>
            <w:tcW w:w="1385" w:type="dxa"/>
            <w:noWrap/>
            <w:vAlign w:val="center"/>
          </w:tcPr>
          <w:p>
            <w:pPr>
              <w:spacing w:line="360" w:lineRule="auto"/>
              <w:jc w:val="center"/>
              <w:rPr>
                <w:rFonts w:ascii="Times New Roman" w:hAnsi="Times New Roman"/>
                <w:b/>
                <w:bCs/>
                <w:color w:val="auto"/>
                <w:szCs w:val="21"/>
                <w:highlight w:val="none"/>
              </w:rPr>
            </w:pPr>
            <w:r>
              <w:rPr>
                <w:rFonts w:ascii="Times New Roman" w:hAnsi="Times New Roman"/>
                <w:b/>
                <w:bCs/>
                <w:color w:val="auto"/>
                <w:szCs w:val="21"/>
                <w:highlight w:val="none"/>
              </w:rPr>
              <w:t>12.15</w:t>
            </w:r>
          </w:p>
        </w:tc>
        <w:tc>
          <w:tcPr>
            <w:tcW w:w="1385" w:type="dxa"/>
            <w:noWrap/>
            <w:vAlign w:val="center"/>
          </w:tcPr>
          <w:p>
            <w:pPr>
              <w:spacing w:line="360" w:lineRule="auto"/>
              <w:jc w:val="center"/>
              <w:rPr>
                <w:rFonts w:ascii="Times New Roman" w:hAnsi="Times New Roman"/>
                <w:b/>
                <w:bCs/>
                <w:color w:val="auto"/>
                <w:szCs w:val="21"/>
                <w:highlight w:val="none"/>
              </w:rPr>
            </w:pPr>
            <w:r>
              <w:rPr>
                <w:rFonts w:ascii="Times New Roman" w:hAnsi="Times New Roman"/>
                <w:b/>
                <w:bCs/>
                <w:color w:val="auto"/>
                <w:szCs w:val="21"/>
                <w:highlight w:val="none"/>
              </w:rPr>
              <w:t>11.72</w:t>
            </w:r>
          </w:p>
        </w:tc>
        <w:tc>
          <w:tcPr>
            <w:tcW w:w="1258" w:type="dxa"/>
            <w:noWrap/>
            <w:vAlign w:val="center"/>
          </w:tcPr>
          <w:p>
            <w:pPr>
              <w:spacing w:line="360" w:lineRule="auto"/>
              <w:jc w:val="center"/>
              <w:rPr>
                <w:rFonts w:ascii="Times New Roman" w:hAnsi="Times New Roman"/>
                <w:b/>
                <w:bCs/>
                <w:color w:val="auto"/>
                <w:szCs w:val="21"/>
                <w:highlight w:val="none"/>
              </w:rPr>
            </w:pPr>
            <w:r>
              <w:rPr>
                <w:rFonts w:ascii="Times New Roman" w:hAnsi="Times New Roman"/>
                <w:b/>
                <w:bCs/>
                <w:color w:val="auto"/>
                <w:szCs w:val="21"/>
                <w:highlight w:val="none"/>
              </w:rPr>
              <w:t>41.78</w:t>
            </w:r>
          </w:p>
        </w:tc>
        <w:tc>
          <w:tcPr>
            <w:tcW w:w="1264" w:type="dxa"/>
            <w:noWrap/>
            <w:vAlign w:val="center"/>
          </w:tcPr>
          <w:p>
            <w:pPr>
              <w:spacing w:line="360" w:lineRule="auto"/>
              <w:jc w:val="center"/>
              <w:rPr>
                <w:rFonts w:ascii="Times New Roman" w:hAnsi="Times New Roman"/>
                <w:b/>
                <w:bCs/>
                <w:color w:val="auto"/>
                <w:szCs w:val="21"/>
                <w:highlight w:val="none"/>
              </w:rPr>
            </w:pPr>
            <w:r>
              <w:rPr>
                <w:rFonts w:ascii="Times New Roman" w:hAnsi="Times New Roman"/>
                <w:b/>
                <w:bCs/>
                <w:color w:val="auto"/>
                <w:szCs w:val="21"/>
                <w:highlight w:val="none"/>
              </w:rPr>
              <w:t>22.23</w:t>
            </w:r>
          </w:p>
        </w:tc>
        <w:tc>
          <w:tcPr>
            <w:tcW w:w="1424" w:type="dxa"/>
            <w:noWrap/>
            <w:vAlign w:val="center"/>
          </w:tcPr>
          <w:p>
            <w:pPr>
              <w:spacing w:line="360" w:lineRule="auto"/>
              <w:jc w:val="center"/>
              <w:rPr>
                <w:rFonts w:ascii="Times New Roman" w:hAnsi="Times New Roman"/>
                <w:b/>
                <w:bCs/>
                <w:color w:val="auto"/>
                <w:szCs w:val="21"/>
                <w:highlight w:val="none"/>
              </w:rPr>
            </w:pPr>
            <w:r>
              <w:rPr>
                <w:rFonts w:ascii="Times New Roman" w:hAnsi="Times New Roman"/>
                <w:b/>
                <w:bCs/>
                <w:color w:val="auto"/>
                <w:szCs w:val="21"/>
                <w:highlight w:val="none"/>
              </w:rPr>
              <w:t>0.63</w:t>
            </w:r>
          </w:p>
        </w:tc>
        <w:tc>
          <w:tcPr>
            <w:tcW w:w="1324" w:type="dxa"/>
            <w:noWrap/>
            <w:vAlign w:val="center"/>
          </w:tcPr>
          <w:p>
            <w:pPr>
              <w:spacing w:line="360" w:lineRule="auto"/>
              <w:jc w:val="center"/>
              <w:rPr>
                <w:rFonts w:ascii="Times New Roman" w:hAnsi="Times New Roman"/>
                <w:b/>
                <w:bCs/>
                <w:color w:val="auto"/>
                <w:szCs w:val="21"/>
                <w:highlight w:val="none"/>
              </w:rPr>
            </w:pPr>
            <w:r>
              <w:rPr>
                <w:rFonts w:ascii="Times New Roman" w:hAnsi="Times New Roman"/>
                <w:b/>
                <w:bCs/>
                <w:color w:val="auto"/>
                <w:szCs w:val="21"/>
                <w:highlight w:val="none"/>
              </w:rPr>
              <w:t>76.65</w:t>
            </w:r>
          </w:p>
        </w:tc>
      </w:tr>
    </w:tbl>
    <w:p>
      <w:pPr>
        <w:spacing w:line="360" w:lineRule="auto"/>
        <w:rPr>
          <w:rFonts w:ascii="Times New Roman" w:hAnsi="Times New Roman"/>
          <w:color w:val="auto"/>
          <w:sz w:val="24"/>
          <w:highlight w:val="none"/>
        </w:rPr>
      </w:pPr>
    </w:p>
    <w:p>
      <w:pPr>
        <w:pStyle w:val="6"/>
        <w:rPr>
          <w:rFonts w:ascii="Times New Roman" w:hAnsi="Times New Roman"/>
          <w:color w:val="auto"/>
          <w:highlight w:val="none"/>
        </w:rPr>
      </w:pPr>
      <w:bookmarkStart w:id="461" w:name="_Toc6042"/>
      <w:bookmarkStart w:id="462" w:name="_Toc60499723"/>
      <w:bookmarkStart w:id="463" w:name="_Toc60776414"/>
      <w:bookmarkStart w:id="464" w:name="_Toc54451087"/>
      <w:r>
        <w:rPr>
          <w:rFonts w:ascii="Times New Roman" w:hAnsi="Times New Roman"/>
          <w:color w:val="auto"/>
          <w:highlight w:val="none"/>
        </w:rPr>
        <w:t>35、地表水IV类及以上水体比率</w:t>
      </w:r>
      <w:bookmarkEnd w:id="461"/>
      <w:bookmarkEnd w:id="462"/>
      <w:bookmarkEnd w:id="463"/>
      <w:bookmarkEnd w:id="464"/>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指标要求：≥60%。</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计算方法：地表水IV 类及以上水体比率（%）=地表水体中达到和优于IV 类标准的监测断面数量/地表水体监测断面总量×100%。</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调查结果：以已收集资料最近一个月的数据统计，监测断面71个，IV 类水及以上断面≥53个，IV类及以上水体比率≥74.6%，</w:t>
      </w:r>
      <w:r>
        <w:rPr>
          <w:rFonts w:ascii="Times New Roman" w:hAnsi="Times New Roman"/>
          <w:b/>
          <w:color w:val="auto"/>
          <w:sz w:val="24"/>
          <w:highlight w:val="none"/>
        </w:rPr>
        <w:t>已达标</w:t>
      </w:r>
      <w:r>
        <w:rPr>
          <w:rFonts w:ascii="Times New Roman" w:hAnsi="Times New Roman"/>
          <w:color w:val="auto"/>
          <w:sz w:val="24"/>
          <w:highlight w:val="none"/>
        </w:rPr>
        <w:t>。</w:t>
      </w:r>
    </w:p>
    <w:p>
      <w:pPr>
        <w:spacing w:line="360" w:lineRule="auto"/>
        <w:jc w:val="center"/>
        <w:rPr>
          <w:rFonts w:ascii="Times New Roman" w:hAnsi="Times New Roman"/>
          <w:color w:val="auto"/>
          <w:sz w:val="24"/>
          <w:highlight w:val="none"/>
        </w:rPr>
      </w:pPr>
      <w:r>
        <w:rPr>
          <w:rFonts w:ascii="Times New Roman" w:hAnsi="Times New Roman"/>
          <w:b/>
          <w:color w:val="auto"/>
          <w:kern w:val="0"/>
          <w:position w:val="-4"/>
          <w:sz w:val="24"/>
          <w:highlight w:val="none"/>
        </w:rPr>
        <w:t>表4-</w:t>
      </w:r>
      <w:r>
        <w:rPr>
          <w:rFonts w:hint="eastAsia" w:ascii="Times New Roman" w:hAnsi="Times New Roman"/>
          <w:b/>
          <w:color w:val="auto"/>
          <w:kern w:val="0"/>
          <w:position w:val="-4"/>
          <w:sz w:val="24"/>
          <w:highlight w:val="none"/>
        </w:rPr>
        <w:t>8</w:t>
      </w:r>
      <w:r>
        <w:rPr>
          <w:rFonts w:ascii="Times New Roman" w:hAnsi="Times New Roman"/>
          <w:b/>
          <w:color w:val="auto"/>
          <w:kern w:val="0"/>
          <w:position w:val="-4"/>
          <w:sz w:val="24"/>
          <w:highlight w:val="none"/>
        </w:rPr>
        <w:t xml:space="preserve"> 地表水IV类及以上水体统计表</w:t>
      </w:r>
    </w:p>
    <w:tbl>
      <w:tblPr>
        <w:tblStyle w:val="20"/>
        <w:tblW w:w="8312" w:type="dxa"/>
        <w:jc w:val="center"/>
        <w:tblLayout w:type="fixed"/>
        <w:tblCellMar>
          <w:top w:w="0" w:type="dxa"/>
          <w:left w:w="0" w:type="dxa"/>
          <w:bottom w:w="0" w:type="dxa"/>
          <w:right w:w="0" w:type="dxa"/>
        </w:tblCellMar>
      </w:tblPr>
      <w:tblGrid>
        <w:gridCol w:w="1020"/>
        <w:gridCol w:w="1399"/>
        <w:gridCol w:w="1415"/>
        <w:gridCol w:w="1840"/>
        <w:gridCol w:w="2638"/>
      </w:tblGrid>
      <w:tr>
        <w:tblPrEx>
          <w:tblCellMar>
            <w:top w:w="0" w:type="dxa"/>
            <w:left w:w="0" w:type="dxa"/>
            <w:bottom w:w="0" w:type="dxa"/>
            <w:right w:w="0" w:type="dxa"/>
          </w:tblCellMar>
        </w:tblPrEx>
        <w:trPr>
          <w:trHeight w:val="975" w:hRule="exact"/>
          <w:jc w:val="center"/>
        </w:trPr>
        <w:tc>
          <w:tcPr>
            <w:tcW w:w="1020"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color w:val="auto"/>
                <w:highlight w:val="none"/>
              </w:rPr>
            </w:pPr>
            <w:r>
              <w:rPr>
                <w:rFonts w:ascii="Times New Roman" w:hAnsi="Times New Roman"/>
                <w:b/>
                <w:color w:val="auto"/>
                <w:highlight w:val="none"/>
              </w:rPr>
              <w:t>序号</w:t>
            </w:r>
          </w:p>
        </w:tc>
        <w:tc>
          <w:tcPr>
            <w:tcW w:w="1399"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color w:val="auto"/>
                <w:highlight w:val="none"/>
              </w:rPr>
            </w:pPr>
            <w:r>
              <w:rPr>
                <w:rFonts w:ascii="Times New Roman" w:hAnsi="Times New Roman"/>
                <w:b/>
                <w:color w:val="auto"/>
                <w:highlight w:val="none"/>
              </w:rPr>
              <w:t>行政区</w:t>
            </w:r>
          </w:p>
        </w:tc>
        <w:tc>
          <w:tcPr>
            <w:tcW w:w="1415"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color w:val="auto"/>
                <w:highlight w:val="none"/>
              </w:rPr>
            </w:pPr>
            <w:r>
              <w:rPr>
                <w:rFonts w:ascii="Times New Roman" w:hAnsi="Times New Roman"/>
                <w:b/>
                <w:color w:val="auto"/>
                <w:highlight w:val="none"/>
              </w:rPr>
              <w:t>监测断面数</w:t>
            </w:r>
          </w:p>
          <w:p>
            <w:pPr>
              <w:jc w:val="center"/>
              <w:rPr>
                <w:rFonts w:ascii="Times New Roman" w:hAnsi="Times New Roman"/>
                <w:b/>
                <w:color w:val="auto"/>
                <w:highlight w:val="none"/>
              </w:rPr>
            </w:pPr>
            <w:r>
              <w:rPr>
                <w:rFonts w:ascii="Times New Roman" w:hAnsi="Times New Roman"/>
                <w:b/>
                <w:color w:val="auto"/>
                <w:highlight w:val="none"/>
              </w:rPr>
              <w:t>（个）</w:t>
            </w:r>
          </w:p>
        </w:tc>
        <w:tc>
          <w:tcPr>
            <w:tcW w:w="1840"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color w:val="auto"/>
                <w:highlight w:val="none"/>
              </w:rPr>
            </w:pPr>
            <w:r>
              <w:rPr>
                <w:rFonts w:ascii="Times New Roman" w:hAnsi="Times New Roman"/>
                <w:b/>
                <w:color w:val="auto"/>
                <w:highlight w:val="none"/>
              </w:rPr>
              <w:t>IV 类水及以上断面（个）</w:t>
            </w:r>
          </w:p>
        </w:tc>
        <w:tc>
          <w:tcPr>
            <w:tcW w:w="2638"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color w:val="auto"/>
                <w:highlight w:val="none"/>
              </w:rPr>
            </w:pPr>
            <w:r>
              <w:rPr>
                <w:rFonts w:ascii="Times New Roman" w:hAnsi="Times New Roman"/>
                <w:b/>
                <w:color w:val="auto"/>
                <w:highlight w:val="none"/>
              </w:rPr>
              <w:t>IV类及以上水体比率</w:t>
            </w:r>
          </w:p>
          <w:p>
            <w:pPr>
              <w:jc w:val="center"/>
              <w:rPr>
                <w:rFonts w:ascii="Times New Roman" w:hAnsi="Times New Roman"/>
                <w:b/>
                <w:color w:val="auto"/>
                <w:highlight w:val="none"/>
              </w:rPr>
            </w:pPr>
            <w:r>
              <w:rPr>
                <w:rFonts w:ascii="Times New Roman" w:hAnsi="Times New Roman"/>
                <w:b/>
                <w:color w:val="auto"/>
                <w:highlight w:val="none"/>
              </w:rPr>
              <w:t>（%）</w:t>
            </w:r>
          </w:p>
        </w:tc>
      </w:tr>
      <w:tr>
        <w:tblPrEx>
          <w:tblCellMar>
            <w:top w:w="0" w:type="dxa"/>
            <w:left w:w="0" w:type="dxa"/>
            <w:bottom w:w="0" w:type="dxa"/>
            <w:right w:w="0" w:type="dxa"/>
          </w:tblCellMar>
        </w:tblPrEx>
        <w:trPr>
          <w:trHeight w:val="502" w:hRule="exact"/>
          <w:jc w:val="center"/>
        </w:trPr>
        <w:tc>
          <w:tcPr>
            <w:tcW w:w="1020"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1</w:t>
            </w:r>
          </w:p>
        </w:tc>
        <w:tc>
          <w:tcPr>
            <w:tcW w:w="1399"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海丰县</w:t>
            </w:r>
          </w:p>
        </w:tc>
        <w:tc>
          <w:tcPr>
            <w:tcW w:w="1415"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71</w:t>
            </w:r>
          </w:p>
        </w:tc>
        <w:tc>
          <w:tcPr>
            <w:tcW w:w="1840"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53</w:t>
            </w:r>
          </w:p>
        </w:tc>
        <w:tc>
          <w:tcPr>
            <w:tcW w:w="2638"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74.6</w:t>
            </w:r>
          </w:p>
        </w:tc>
      </w:tr>
    </w:tbl>
    <w:p>
      <w:pPr>
        <w:rPr>
          <w:rFonts w:ascii="Times New Roman" w:hAnsi="Times New Roman"/>
          <w:color w:val="auto"/>
          <w:highlight w:val="none"/>
        </w:rPr>
      </w:pPr>
      <w:bookmarkStart w:id="465" w:name="_Toc60499724"/>
      <w:bookmarkStart w:id="466" w:name="_Toc54451088"/>
    </w:p>
    <w:p>
      <w:pPr>
        <w:pStyle w:val="5"/>
        <w:rPr>
          <w:rFonts w:ascii="Times New Roman" w:hAnsi="Times New Roman" w:eastAsia="宋体"/>
          <w:color w:val="auto"/>
          <w:highlight w:val="none"/>
        </w:rPr>
      </w:pPr>
      <w:bookmarkStart w:id="467" w:name="_Toc14234"/>
      <w:bookmarkStart w:id="468" w:name="_Toc6483"/>
      <w:bookmarkStart w:id="469" w:name="_Toc15311"/>
      <w:bookmarkStart w:id="470" w:name="_Toc19709"/>
      <w:bookmarkStart w:id="471" w:name="_Toc3933"/>
      <w:bookmarkStart w:id="472" w:name="_Toc60776415"/>
      <w:bookmarkStart w:id="473" w:name="_Toc21279"/>
      <w:r>
        <w:rPr>
          <w:rFonts w:ascii="Times New Roman" w:hAnsi="Times New Roman" w:eastAsia="宋体"/>
          <w:color w:val="auto"/>
          <w:highlight w:val="none"/>
        </w:rPr>
        <w:t>五、市政设施</w:t>
      </w:r>
      <w:bookmarkEnd w:id="465"/>
      <w:bookmarkEnd w:id="466"/>
      <w:bookmarkEnd w:id="467"/>
      <w:bookmarkEnd w:id="468"/>
      <w:bookmarkEnd w:id="469"/>
      <w:bookmarkEnd w:id="470"/>
      <w:bookmarkEnd w:id="471"/>
      <w:bookmarkEnd w:id="472"/>
      <w:bookmarkEnd w:id="473"/>
    </w:p>
    <w:p>
      <w:pPr>
        <w:pStyle w:val="6"/>
        <w:rPr>
          <w:rFonts w:ascii="Times New Roman" w:hAnsi="Times New Roman"/>
          <w:color w:val="auto"/>
          <w:highlight w:val="none"/>
        </w:rPr>
      </w:pPr>
      <w:bookmarkStart w:id="474" w:name="_Toc60776416"/>
      <w:bookmarkStart w:id="475" w:name="_Toc6659"/>
      <w:bookmarkStart w:id="476" w:name="_Toc60499725"/>
      <w:bookmarkStart w:id="477" w:name="_Toc54451089"/>
      <w:r>
        <w:rPr>
          <w:rFonts w:ascii="Times New Roman" w:hAnsi="Times New Roman"/>
          <w:color w:val="auto"/>
          <w:highlight w:val="none"/>
        </w:rPr>
        <w:t>36、县容县貌</w:t>
      </w:r>
      <w:bookmarkEnd w:id="474"/>
      <w:bookmarkEnd w:id="475"/>
      <w:bookmarkEnd w:id="476"/>
      <w:bookmarkEnd w:id="477"/>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w:t>
      </w:r>
      <w:r>
        <w:rPr>
          <w:rFonts w:hint="default" w:ascii="Times New Roman" w:hAnsi="Times New Roman" w:cs="Times New Roman"/>
          <w:color w:val="auto"/>
          <w:sz w:val="24"/>
          <w:highlight w:val="none"/>
        </w:rPr>
        <w:t>①</w:t>
      </w:r>
      <w:r>
        <w:rPr>
          <w:rFonts w:ascii="Times New Roman" w:hAnsi="Times New Roman"/>
          <w:color w:val="auto"/>
          <w:sz w:val="24"/>
          <w:highlight w:val="none"/>
        </w:rPr>
        <w:t>建成区环境整洁有序，建（构）筑物、公共设施和广告设置等与周边环境相协调，无违章私搭乱建现象。居住小区和街道环卫保洁制度落实，无乱丢弃、乱张贴、乱排放等行为；</w:t>
      </w:r>
      <w:r>
        <w:rPr>
          <w:rFonts w:hint="default" w:ascii="Times New Roman" w:hAnsi="Times New Roman" w:cs="Times New Roman"/>
          <w:color w:val="auto"/>
          <w:sz w:val="24"/>
          <w:highlight w:val="none"/>
        </w:rPr>
        <w:t>②</w:t>
      </w:r>
      <w:r>
        <w:rPr>
          <w:rFonts w:ascii="Times New Roman" w:hAnsi="Times New Roman"/>
          <w:color w:val="auto"/>
          <w:sz w:val="24"/>
          <w:highlight w:val="none"/>
        </w:rPr>
        <w:t>商业店铺：灯箱、广告、招牌、霓虹灯、门楼装璜、店面装饰等设置符合建设管理要求，无违规设摊、占道经营现象；</w:t>
      </w:r>
      <w:r>
        <w:rPr>
          <w:rFonts w:hint="default" w:ascii="Times New Roman" w:hAnsi="Times New Roman" w:cs="Times New Roman"/>
          <w:color w:val="auto"/>
          <w:sz w:val="24"/>
          <w:highlight w:val="none"/>
        </w:rPr>
        <w:t>③</w:t>
      </w:r>
      <w:r>
        <w:rPr>
          <w:rFonts w:ascii="Times New Roman" w:hAnsi="Times New Roman"/>
          <w:color w:val="auto"/>
          <w:sz w:val="24"/>
          <w:highlight w:val="none"/>
        </w:rPr>
        <w:t>交通与停车管理：建成区交通安全管理有序，车辆停靠管理规范；</w:t>
      </w:r>
      <w:r>
        <w:rPr>
          <w:rFonts w:hint="default" w:ascii="Times New Roman" w:hAnsi="Times New Roman" w:cs="Times New Roman"/>
          <w:color w:val="auto"/>
          <w:sz w:val="24"/>
          <w:highlight w:val="none"/>
        </w:rPr>
        <w:t>④</w:t>
      </w:r>
      <w:r>
        <w:rPr>
          <w:rFonts w:ascii="Times New Roman" w:hAnsi="Times New Roman"/>
          <w:color w:val="auto"/>
          <w:sz w:val="24"/>
          <w:highlight w:val="none"/>
        </w:rPr>
        <w:t>公厕数量达标，且为II类以上；设置合理，管理到位。设置密度应≥3座/km</w:t>
      </w:r>
      <w:r>
        <w:rPr>
          <w:rFonts w:ascii="Times New Roman" w:hAnsi="Times New Roman"/>
          <w:color w:val="auto"/>
          <w:sz w:val="24"/>
          <w:highlight w:val="none"/>
          <w:vertAlign w:val="superscript"/>
        </w:rPr>
        <w:t>2</w:t>
      </w:r>
      <w:r>
        <w:rPr>
          <w:rFonts w:ascii="Times New Roman" w:hAnsi="Times New Roman"/>
          <w:color w:val="auto"/>
          <w:sz w:val="24"/>
          <w:highlight w:val="none"/>
        </w:rPr>
        <w:t>，设置间距应满足《环境卫生设施设置标准》相关要求。</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w:t>
      </w:r>
      <w:r>
        <w:rPr>
          <w:rFonts w:hint="default" w:ascii="Times New Roman" w:hAnsi="Times New Roman" w:cs="Times New Roman"/>
          <w:color w:val="auto"/>
          <w:sz w:val="24"/>
          <w:highlight w:val="none"/>
        </w:rPr>
        <w:t>①②③</w:t>
      </w:r>
      <w:r>
        <w:rPr>
          <w:rFonts w:ascii="Times New Roman" w:hAnsi="Times New Roman"/>
          <w:color w:val="auto"/>
          <w:sz w:val="24"/>
          <w:highlight w:val="none"/>
        </w:rPr>
        <w:t>县容县貌整体良好，市政街道比较干净，河道水体干净， 公园道路干净、平坦，商业店铺装饰整洁规范，交通有序，停车管理规范。</w:t>
      </w:r>
      <w:r>
        <w:rPr>
          <w:rFonts w:hint="default" w:ascii="Times New Roman" w:hAnsi="Times New Roman" w:cs="Times New Roman"/>
          <w:color w:val="auto"/>
          <w:sz w:val="24"/>
          <w:highlight w:val="none"/>
        </w:rPr>
        <w:t>④</w:t>
      </w:r>
      <w:r>
        <w:rPr>
          <w:rFonts w:ascii="Times New Roman" w:hAnsi="Times New Roman"/>
          <w:color w:val="auto"/>
          <w:sz w:val="24"/>
          <w:highlight w:val="none"/>
        </w:rPr>
        <w:t>主管单位需统计II类以上公厕数量。</w:t>
      </w:r>
      <w:r>
        <w:rPr>
          <w:rFonts w:ascii="Times New Roman" w:hAnsi="Times New Roman"/>
          <w:b/>
          <w:color w:val="auto"/>
          <w:sz w:val="24"/>
          <w:highlight w:val="none"/>
        </w:rPr>
        <w:t>已达标</w:t>
      </w:r>
      <w:r>
        <w:rPr>
          <w:rFonts w:hint="eastAsia" w:ascii="Times New Roman" w:hAnsi="Times New Roman"/>
          <w:color w:val="auto"/>
          <w:sz w:val="24"/>
          <w:highlight w:val="none"/>
        </w:rPr>
        <w:t>。</w:t>
      </w:r>
    </w:p>
    <w:p>
      <w:pPr>
        <w:pStyle w:val="6"/>
        <w:rPr>
          <w:rFonts w:ascii="Times New Roman" w:hAnsi="Times New Roman"/>
          <w:color w:val="auto"/>
          <w:highlight w:val="none"/>
        </w:rPr>
      </w:pPr>
      <w:bookmarkStart w:id="478" w:name="_Toc60499726"/>
      <w:bookmarkStart w:id="479" w:name="_Toc60776417"/>
      <w:bookmarkStart w:id="480" w:name="_Toc54451090"/>
      <w:bookmarkStart w:id="481" w:name="_Toc12318"/>
      <w:r>
        <w:rPr>
          <w:rFonts w:ascii="Times New Roman" w:hAnsi="Times New Roman"/>
          <w:color w:val="auto"/>
          <w:highlight w:val="none"/>
        </w:rPr>
        <w:t>37、管网水检测项目合格率</w:t>
      </w:r>
      <w:bookmarkEnd w:id="478"/>
      <w:bookmarkEnd w:id="479"/>
      <w:bookmarkEnd w:id="480"/>
      <w:bookmarkEnd w:id="481"/>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指标要求：≥95%。</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计算方法：市管网水检验项目合格率（%）=城市管网水检验合格的项 目数量/城市管网水检验的项目数量*100%。注：管网水检验项目合格率为浑浊度、色度、臭和味、余氯、细菌总数、总大肠菌群、COD</w:t>
      </w:r>
      <w:r>
        <w:rPr>
          <w:rFonts w:ascii="Times New Roman" w:hAnsi="Times New Roman"/>
          <w:color w:val="auto"/>
          <w:sz w:val="24"/>
          <w:highlight w:val="none"/>
          <w:vertAlign w:val="subscript"/>
        </w:rPr>
        <w:t>Mn</w:t>
      </w:r>
      <w:r>
        <w:rPr>
          <w:rFonts w:ascii="Times New Roman" w:hAnsi="Times New Roman"/>
          <w:color w:val="auto"/>
          <w:sz w:val="24"/>
          <w:highlight w:val="none"/>
        </w:rPr>
        <w:t>共7项指标的合格率。</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调查结果：根据海丰县水质检测中心的检测数据，受检的管网点水样品的平均合格率为100%，</w:t>
      </w:r>
      <w:r>
        <w:rPr>
          <w:rFonts w:ascii="Times New Roman" w:hAnsi="Times New Roman"/>
          <w:b/>
          <w:color w:val="auto"/>
          <w:sz w:val="24"/>
          <w:highlight w:val="none"/>
        </w:rPr>
        <w:t>已达标</w:t>
      </w:r>
      <w:r>
        <w:rPr>
          <w:rFonts w:ascii="Times New Roman" w:hAnsi="Times New Roman"/>
          <w:color w:val="auto"/>
          <w:sz w:val="24"/>
          <w:highlight w:val="none"/>
        </w:rPr>
        <w:t>。</w:t>
      </w:r>
    </w:p>
    <w:p>
      <w:pPr>
        <w:spacing w:line="360" w:lineRule="auto"/>
        <w:jc w:val="center"/>
        <w:rPr>
          <w:rFonts w:ascii="Times New Roman" w:hAnsi="Times New Roman"/>
          <w:b/>
          <w:color w:val="auto"/>
          <w:sz w:val="24"/>
          <w:highlight w:val="none"/>
        </w:rPr>
      </w:pPr>
      <w:r>
        <w:rPr>
          <w:rFonts w:ascii="Times New Roman" w:hAnsi="Times New Roman"/>
          <w:b/>
          <w:color w:val="auto"/>
          <w:sz w:val="24"/>
          <w:highlight w:val="none"/>
        </w:rPr>
        <w:t>表5-1 全县管网水质分析</w:t>
      </w:r>
    </w:p>
    <w:tbl>
      <w:tblPr>
        <w:tblStyle w:val="20"/>
        <w:tblW w:w="88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6"/>
        <w:gridCol w:w="966"/>
        <w:gridCol w:w="966"/>
        <w:gridCol w:w="921"/>
        <w:gridCol w:w="966"/>
        <w:gridCol w:w="966"/>
        <w:gridCol w:w="966"/>
        <w:gridCol w:w="1003"/>
        <w:gridCol w:w="11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0" w:hRule="atLeast"/>
          <w:jc w:val="center"/>
        </w:trPr>
        <w:tc>
          <w:tcPr>
            <w:tcW w:w="996" w:type="dxa"/>
            <w:vAlign w:val="center"/>
          </w:tcPr>
          <w:p>
            <w:pPr>
              <w:spacing w:line="360" w:lineRule="auto"/>
              <w:jc w:val="center"/>
              <w:rPr>
                <w:rFonts w:ascii="Times New Roman" w:hAnsi="Times New Roman"/>
                <w:b/>
                <w:color w:val="auto"/>
                <w:szCs w:val="21"/>
                <w:highlight w:val="none"/>
              </w:rPr>
            </w:pPr>
            <w:r>
              <w:rPr>
                <w:rFonts w:ascii="Times New Roman" w:hAnsi="Times New Roman"/>
                <w:b/>
                <w:color w:val="auto"/>
                <w:szCs w:val="21"/>
                <w:highlight w:val="none"/>
              </w:rPr>
              <w:t>检测项目</w:t>
            </w:r>
          </w:p>
        </w:tc>
        <w:tc>
          <w:tcPr>
            <w:tcW w:w="966" w:type="dxa"/>
            <w:vAlign w:val="center"/>
          </w:tcPr>
          <w:p>
            <w:pPr>
              <w:spacing w:line="360" w:lineRule="auto"/>
              <w:jc w:val="center"/>
              <w:rPr>
                <w:rFonts w:ascii="Times New Roman" w:hAnsi="Times New Roman"/>
                <w:b/>
                <w:color w:val="auto"/>
                <w:szCs w:val="21"/>
                <w:highlight w:val="none"/>
              </w:rPr>
            </w:pPr>
            <w:r>
              <w:rPr>
                <w:rFonts w:ascii="Times New Roman" w:hAnsi="Times New Roman"/>
                <w:b/>
                <w:color w:val="auto"/>
                <w:szCs w:val="21"/>
                <w:highlight w:val="none"/>
              </w:rPr>
              <w:t>浑浊度（%）</w:t>
            </w:r>
          </w:p>
        </w:tc>
        <w:tc>
          <w:tcPr>
            <w:tcW w:w="966" w:type="dxa"/>
            <w:vAlign w:val="center"/>
          </w:tcPr>
          <w:p>
            <w:pPr>
              <w:spacing w:line="360" w:lineRule="auto"/>
              <w:jc w:val="center"/>
              <w:rPr>
                <w:rFonts w:ascii="Times New Roman" w:hAnsi="Times New Roman"/>
                <w:b/>
                <w:color w:val="auto"/>
                <w:szCs w:val="21"/>
                <w:highlight w:val="none"/>
              </w:rPr>
            </w:pPr>
            <w:r>
              <w:rPr>
                <w:rFonts w:ascii="Times New Roman" w:hAnsi="Times New Roman"/>
                <w:b/>
                <w:color w:val="auto"/>
                <w:szCs w:val="21"/>
                <w:highlight w:val="none"/>
              </w:rPr>
              <w:t>色度（%）</w:t>
            </w:r>
          </w:p>
        </w:tc>
        <w:tc>
          <w:tcPr>
            <w:tcW w:w="921" w:type="dxa"/>
            <w:vAlign w:val="center"/>
          </w:tcPr>
          <w:p>
            <w:pPr>
              <w:spacing w:line="360" w:lineRule="auto"/>
              <w:jc w:val="center"/>
              <w:rPr>
                <w:rFonts w:ascii="Times New Roman" w:hAnsi="Times New Roman"/>
                <w:b/>
                <w:color w:val="auto"/>
                <w:szCs w:val="21"/>
                <w:highlight w:val="none"/>
              </w:rPr>
            </w:pPr>
            <w:r>
              <w:rPr>
                <w:rFonts w:ascii="Times New Roman" w:hAnsi="Times New Roman"/>
                <w:b/>
                <w:color w:val="auto"/>
                <w:szCs w:val="21"/>
                <w:highlight w:val="none"/>
              </w:rPr>
              <w:t>臭和味</w:t>
            </w:r>
          </w:p>
        </w:tc>
        <w:tc>
          <w:tcPr>
            <w:tcW w:w="966" w:type="dxa"/>
            <w:vAlign w:val="center"/>
          </w:tcPr>
          <w:p>
            <w:pPr>
              <w:spacing w:line="360" w:lineRule="auto"/>
              <w:jc w:val="center"/>
              <w:rPr>
                <w:rFonts w:ascii="Times New Roman" w:hAnsi="Times New Roman"/>
                <w:b/>
                <w:color w:val="auto"/>
                <w:szCs w:val="21"/>
                <w:highlight w:val="none"/>
              </w:rPr>
            </w:pPr>
            <w:r>
              <w:rPr>
                <w:rFonts w:ascii="Times New Roman" w:hAnsi="Times New Roman"/>
                <w:b/>
                <w:color w:val="auto"/>
                <w:szCs w:val="21"/>
                <w:highlight w:val="none"/>
              </w:rPr>
              <w:t>二氧化氯（%）</w:t>
            </w:r>
          </w:p>
        </w:tc>
        <w:tc>
          <w:tcPr>
            <w:tcW w:w="966" w:type="dxa"/>
            <w:vAlign w:val="center"/>
          </w:tcPr>
          <w:p>
            <w:pPr>
              <w:spacing w:line="360" w:lineRule="auto"/>
              <w:jc w:val="center"/>
              <w:rPr>
                <w:rFonts w:ascii="Times New Roman" w:hAnsi="Times New Roman"/>
                <w:b/>
                <w:color w:val="auto"/>
                <w:szCs w:val="21"/>
                <w:highlight w:val="none"/>
              </w:rPr>
            </w:pPr>
            <w:r>
              <w:rPr>
                <w:rFonts w:ascii="Times New Roman" w:hAnsi="Times New Roman"/>
                <w:b/>
                <w:color w:val="auto"/>
                <w:szCs w:val="21"/>
                <w:highlight w:val="none"/>
              </w:rPr>
              <w:t>菌落总数（%）</w:t>
            </w:r>
          </w:p>
        </w:tc>
        <w:tc>
          <w:tcPr>
            <w:tcW w:w="966" w:type="dxa"/>
            <w:vAlign w:val="center"/>
          </w:tcPr>
          <w:p>
            <w:pPr>
              <w:spacing w:line="360" w:lineRule="auto"/>
              <w:jc w:val="center"/>
              <w:rPr>
                <w:rFonts w:ascii="Times New Roman" w:hAnsi="Times New Roman"/>
                <w:b/>
                <w:color w:val="auto"/>
                <w:szCs w:val="21"/>
                <w:highlight w:val="none"/>
              </w:rPr>
            </w:pPr>
            <w:r>
              <w:rPr>
                <w:rFonts w:ascii="Times New Roman" w:hAnsi="Times New Roman"/>
                <w:b/>
                <w:color w:val="auto"/>
                <w:szCs w:val="21"/>
                <w:highlight w:val="none"/>
              </w:rPr>
              <w:t>总大肠菌群（%）</w:t>
            </w:r>
          </w:p>
        </w:tc>
        <w:tc>
          <w:tcPr>
            <w:tcW w:w="1003" w:type="dxa"/>
            <w:vAlign w:val="center"/>
          </w:tcPr>
          <w:p>
            <w:pPr>
              <w:spacing w:line="360" w:lineRule="auto"/>
              <w:jc w:val="center"/>
              <w:rPr>
                <w:rFonts w:ascii="Times New Roman" w:hAnsi="Times New Roman"/>
                <w:b/>
                <w:color w:val="auto"/>
                <w:szCs w:val="21"/>
                <w:highlight w:val="none"/>
              </w:rPr>
            </w:pPr>
            <w:r>
              <w:rPr>
                <w:rFonts w:ascii="Times New Roman" w:hAnsi="Times New Roman"/>
                <w:b/>
                <w:color w:val="auto"/>
                <w:szCs w:val="21"/>
                <w:highlight w:val="none"/>
              </w:rPr>
              <w:t>COD</w:t>
            </w:r>
            <w:r>
              <w:rPr>
                <w:rFonts w:ascii="Times New Roman" w:hAnsi="Times New Roman"/>
                <w:b/>
                <w:color w:val="auto"/>
                <w:szCs w:val="21"/>
                <w:highlight w:val="none"/>
                <w:vertAlign w:val="subscript"/>
              </w:rPr>
              <w:t>Mn</w:t>
            </w:r>
            <w:r>
              <w:rPr>
                <w:rFonts w:ascii="Times New Roman" w:hAnsi="Times New Roman"/>
                <w:b/>
                <w:color w:val="auto"/>
                <w:szCs w:val="21"/>
                <w:highlight w:val="none"/>
              </w:rPr>
              <w:t>（%）</w:t>
            </w:r>
          </w:p>
        </w:tc>
        <w:tc>
          <w:tcPr>
            <w:tcW w:w="1149" w:type="dxa"/>
            <w:vAlign w:val="center"/>
          </w:tcPr>
          <w:p>
            <w:pPr>
              <w:spacing w:line="360" w:lineRule="auto"/>
              <w:jc w:val="center"/>
              <w:rPr>
                <w:rFonts w:ascii="Times New Roman" w:hAnsi="Times New Roman"/>
                <w:b/>
                <w:color w:val="auto"/>
                <w:szCs w:val="21"/>
                <w:highlight w:val="none"/>
              </w:rPr>
            </w:pPr>
            <w:r>
              <w:rPr>
                <w:rFonts w:ascii="Times New Roman" w:hAnsi="Times New Roman"/>
                <w:b/>
                <w:color w:val="auto"/>
                <w:szCs w:val="21"/>
                <w:highlight w:val="none"/>
              </w:rPr>
              <w:t>管网水合格率（7项%）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99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1月</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21"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003"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149"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2" w:hRule="atLeast"/>
          <w:jc w:val="center"/>
        </w:trPr>
        <w:tc>
          <w:tcPr>
            <w:tcW w:w="99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2月</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21"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003"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149"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99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3月</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21"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003"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149"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99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4月</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21"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003"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149"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 w:hRule="atLeast"/>
          <w:jc w:val="center"/>
        </w:trPr>
        <w:tc>
          <w:tcPr>
            <w:tcW w:w="99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5月</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21"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003"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149"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99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6月</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21"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003"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149"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99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7月</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21"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003"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149"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 w:hRule="atLeast"/>
          <w:jc w:val="center"/>
        </w:trPr>
        <w:tc>
          <w:tcPr>
            <w:tcW w:w="99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8月</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21"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003"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149"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99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9月</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21"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003"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149"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99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10月</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21"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003"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149"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 w:hRule="atLeast"/>
          <w:jc w:val="center"/>
        </w:trPr>
        <w:tc>
          <w:tcPr>
            <w:tcW w:w="99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11月</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21"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003"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149"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99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12月</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21"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003"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149"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99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平均值</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21"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66"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003"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1149" w:type="dxa"/>
            <w:vAlign w:val="center"/>
          </w:tcPr>
          <w:p>
            <w:pPr>
              <w:spacing w:line="360" w:lineRule="auto"/>
              <w:jc w:val="center"/>
              <w:rPr>
                <w:rFonts w:ascii="Times New Roman" w:hAnsi="Times New Roman"/>
                <w:color w:val="auto"/>
                <w:szCs w:val="21"/>
                <w:highlight w:val="none"/>
              </w:rPr>
            </w:pPr>
            <w:r>
              <w:rPr>
                <w:rFonts w:ascii="Times New Roman" w:hAnsi="Times New Roman"/>
                <w:color w:val="auto"/>
                <w:szCs w:val="21"/>
                <w:highlight w:val="none"/>
              </w:rPr>
              <w:t>100.00</w:t>
            </w:r>
          </w:p>
        </w:tc>
      </w:tr>
    </w:tbl>
    <w:p>
      <w:pPr>
        <w:spacing w:line="360" w:lineRule="auto"/>
        <w:rPr>
          <w:rFonts w:ascii="Times New Roman" w:hAnsi="Times New Roman"/>
          <w:color w:val="auto"/>
          <w:sz w:val="24"/>
          <w:highlight w:val="none"/>
        </w:rPr>
      </w:pPr>
    </w:p>
    <w:p>
      <w:pPr>
        <w:spacing w:line="360" w:lineRule="auto"/>
        <w:jc w:val="center"/>
        <w:rPr>
          <w:rFonts w:ascii="Times New Roman" w:hAnsi="Times New Roman"/>
          <w:b/>
          <w:color w:val="auto"/>
          <w:sz w:val="24"/>
          <w:highlight w:val="none"/>
        </w:rPr>
      </w:pPr>
      <w:r>
        <w:rPr>
          <w:rFonts w:ascii="Times New Roman" w:hAnsi="Times New Roman"/>
          <w:b/>
          <w:color w:val="auto"/>
          <w:sz w:val="24"/>
          <w:highlight w:val="none"/>
        </w:rPr>
        <w:t>表5-2 全县管网水质分析取样点</w:t>
      </w:r>
    </w:p>
    <w:tbl>
      <w:tblPr>
        <w:tblStyle w:val="20"/>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
        <w:gridCol w:w="75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trPr>
        <w:tc>
          <w:tcPr>
            <w:tcW w:w="928" w:type="dxa"/>
            <w:vMerge w:val="restart"/>
            <w:vAlign w:val="center"/>
          </w:tcPr>
          <w:p>
            <w:pPr>
              <w:spacing w:line="360" w:lineRule="auto"/>
              <w:jc w:val="center"/>
              <w:rPr>
                <w:rFonts w:ascii="Times New Roman" w:hAnsi="Times New Roman"/>
                <w:b/>
                <w:color w:val="auto"/>
                <w:sz w:val="24"/>
                <w:highlight w:val="none"/>
              </w:rPr>
            </w:pPr>
            <w:r>
              <w:rPr>
                <w:rFonts w:ascii="Times New Roman" w:hAnsi="Times New Roman"/>
                <w:b/>
                <w:color w:val="auto"/>
                <w:sz w:val="24"/>
                <w:highlight w:val="none"/>
              </w:rPr>
              <w:t>取样点</w:t>
            </w:r>
          </w:p>
        </w:tc>
        <w:tc>
          <w:tcPr>
            <w:tcW w:w="7594" w:type="dxa"/>
          </w:tcPr>
          <w:p>
            <w:pPr>
              <w:spacing w:line="360" w:lineRule="auto"/>
              <w:rPr>
                <w:rFonts w:ascii="Times New Roman" w:hAnsi="Times New Roman"/>
                <w:color w:val="auto"/>
                <w:sz w:val="24"/>
                <w:highlight w:val="none"/>
              </w:rPr>
            </w:pPr>
            <w:r>
              <w:rPr>
                <w:rFonts w:ascii="Times New Roman" w:hAnsi="Times New Roman"/>
                <w:color w:val="auto"/>
                <w:sz w:val="24"/>
                <w:highlight w:val="none"/>
              </w:rPr>
              <w:t>1、海城镇中心小学       2、嘉年华大酒店         3、云岭山庄       4、永福小区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trPr>
        <w:tc>
          <w:tcPr>
            <w:tcW w:w="928" w:type="dxa"/>
            <w:vMerge w:val="continue"/>
          </w:tcPr>
          <w:p>
            <w:pPr>
              <w:spacing w:line="360" w:lineRule="auto"/>
              <w:rPr>
                <w:rFonts w:ascii="Times New Roman" w:hAnsi="Times New Roman"/>
                <w:color w:val="auto"/>
                <w:sz w:val="24"/>
                <w:highlight w:val="none"/>
              </w:rPr>
            </w:pPr>
          </w:p>
        </w:tc>
        <w:tc>
          <w:tcPr>
            <w:tcW w:w="7594" w:type="dxa"/>
          </w:tcPr>
          <w:p>
            <w:pPr>
              <w:spacing w:line="360" w:lineRule="auto"/>
              <w:rPr>
                <w:rFonts w:ascii="Times New Roman" w:hAnsi="Times New Roman"/>
                <w:color w:val="auto"/>
                <w:sz w:val="24"/>
                <w:highlight w:val="none"/>
              </w:rPr>
            </w:pPr>
            <w:r>
              <w:rPr>
                <w:rFonts w:ascii="Times New Roman" w:hAnsi="Times New Roman"/>
                <w:color w:val="auto"/>
                <w:sz w:val="24"/>
                <w:highlight w:val="none"/>
              </w:rPr>
              <w:t>5、联河海富苑           6、海丰碧桂园店铺       7、彭湃故居       8、富盛小区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trPr>
        <w:tc>
          <w:tcPr>
            <w:tcW w:w="928" w:type="dxa"/>
            <w:vMerge w:val="continue"/>
          </w:tcPr>
          <w:p>
            <w:pPr>
              <w:spacing w:line="360" w:lineRule="auto"/>
              <w:rPr>
                <w:rFonts w:ascii="Times New Roman" w:hAnsi="Times New Roman"/>
                <w:color w:val="auto"/>
                <w:sz w:val="24"/>
                <w:highlight w:val="none"/>
              </w:rPr>
            </w:pPr>
          </w:p>
        </w:tc>
        <w:tc>
          <w:tcPr>
            <w:tcW w:w="7594" w:type="dxa"/>
          </w:tcPr>
          <w:p>
            <w:pPr>
              <w:spacing w:line="360" w:lineRule="auto"/>
              <w:rPr>
                <w:rFonts w:ascii="Times New Roman" w:hAnsi="Times New Roman"/>
                <w:color w:val="auto"/>
                <w:sz w:val="24"/>
                <w:highlight w:val="none"/>
              </w:rPr>
            </w:pPr>
            <w:r>
              <w:rPr>
                <w:rFonts w:ascii="Times New Roman" w:hAnsi="Times New Roman"/>
                <w:color w:val="auto"/>
                <w:sz w:val="24"/>
                <w:highlight w:val="none"/>
              </w:rPr>
              <w:t>9、海丽花园            10、鑫湖花园店铺        11、金伯爵花园     12、南湖收费处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trPr>
        <w:tc>
          <w:tcPr>
            <w:tcW w:w="928" w:type="dxa"/>
            <w:vMerge w:val="continue"/>
          </w:tcPr>
          <w:p>
            <w:pPr>
              <w:spacing w:line="360" w:lineRule="auto"/>
              <w:rPr>
                <w:rFonts w:ascii="Times New Roman" w:hAnsi="Times New Roman"/>
                <w:color w:val="auto"/>
                <w:sz w:val="24"/>
                <w:highlight w:val="none"/>
              </w:rPr>
            </w:pPr>
          </w:p>
        </w:tc>
        <w:tc>
          <w:tcPr>
            <w:tcW w:w="7594" w:type="dxa"/>
          </w:tcPr>
          <w:p>
            <w:pPr>
              <w:spacing w:line="360" w:lineRule="auto"/>
              <w:rPr>
                <w:rFonts w:ascii="Times New Roman" w:hAnsi="Times New Roman"/>
                <w:color w:val="auto"/>
                <w:sz w:val="24"/>
                <w:highlight w:val="none"/>
              </w:rPr>
            </w:pPr>
            <w:r>
              <w:rPr>
                <w:rFonts w:ascii="Times New Roman" w:hAnsi="Times New Roman"/>
                <w:color w:val="auto"/>
                <w:sz w:val="24"/>
                <w:highlight w:val="none"/>
              </w:rPr>
              <w:t>13、华夏花园           14、黄土坎公路局        15、正大新村       16、步霞西兴路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trPr>
        <w:tc>
          <w:tcPr>
            <w:tcW w:w="928" w:type="dxa"/>
            <w:vMerge w:val="continue"/>
          </w:tcPr>
          <w:p>
            <w:pPr>
              <w:spacing w:line="360" w:lineRule="auto"/>
              <w:rPr>
                <w:rFonts w:ascii="Times New Roman" w:hAnsi="Times New Roman"/>
                <w:color w:val="auto"/>
                <w:sz w:val="24"/>
                <w:highlight w:val="none"/>
              </w:rPr>
            </w:pPr>
          </w:p>
        </w:tc>
        <w:tc>
          <w:tcPr>
            <w:tcW w:w="7594" w:type="dxa"/>
          </w:tcPr>
          <w:p>
            <w:pPr>
              <w:spacing w:line="360" w:lineRule="auto"/>
              <w:rPr>
                <w:rFonts w:ascii="Times New Roman" w:hAnsi="Times New Roman"/>
                <w:color w:val="auto"/>
                <w:sz w:val="24"/>
                <w:highlight w:val="none"/>
              </w:rPr>
            </w:pPr>
            <w:r>
              <w:rPr>
                <w:rFonts w:ascii="Times New Roman" w:hAnsi="Times New Roman"/>
                <w:color w:val="auto"/>
                <w:sz w:val="24"/>
                <w:highlight w:val="none"/>
              </w:rPr>
              <w:t>17、公司收费处         18、叠翠名城            19、南湖小学       20、老酒厂海珠楼</w:t>
            </w:r>
          </w:p>
        </w:tc>
      </w:tr>
    </w:tbl>
    <w:p>
      <w:pPr>
        <w:rPr>
          <w:rFonts w:ascii="Times New Roman" w:hAnsi="Times New Roman"/>
          <w:color w:val="auto"/>
          <w:highlight w:val="none"/>
        </w:rPr>
      </w:pPr>
      <w:bookmarkStart w:id="482" w:name="_Toc54451091"/>
    </w:p>
    <w:p>
      <w:pPr>
        <w:pStyle w:val="6"/>
        <w:rPr>
          <w:rFonts w:ascii="Times New Roman" w:hAnsi="Times New Roman"/>
          <w:color w:val="auto"/>
          <w:highlight w:val="none"/>
        </w:rPr>
      </w:pPr>
      <w:bookmarkStart w:id="483" w:name="_Toc60776418"/>
      <w:bookmarkStart w:id="484" w:name="_Toc60499727"/>
      <w:bookmarkStart w:id="485" w:name="_Toc26646"/>
      <w:r>
        <w:rPr>
          <w:rFonts w:ascii="Times New Roman" w:hAnsi="Times New Roman"/>
          <w:color w:val="auto"/>
          <w:highlight w:val="none"/>
        </w:rPr>
        <w:t>38、污水处理</w:t>
      </w:r>
      <w:bookmarkEnd w:id="482"/>
      <w:bookmarkEnd w:id="483"/>
      <w:bookmarkEnd w:id="484"/>
      <w:bookmarkEnd w:id="485"/>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指标要求：污水处理率≥85%。</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计算方法：城市污水处理率（%）=经过污水处理设施处理并达到排放标准的污水量（万吨）/城市污水排放总量（万吨）×100%。注：城市污水排放总量为城市生活污水和工业污水排放总量之和；经处理后达到《城镇污水处理厂污染物排放标准》和《污水综合排放标准》要求的出厂水均为达标排放。</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w:t>
      </w:r>
      <w:r>
        <w:rPr>
          <w:rFonts w:hint="eastAsia" w:ascii="Times New Roman" w:hAnsi="Times New Roman"/>
          <w:color w:val="auto"/>
          <w:sz w:val="24"/>
          <w:highlight w:val="none"/>
        </w:rPr>
        <w:t>2019年海丰县生活污水处理量为2286万吨，供水总量3127，按照0.8的排污系数计算，污水排放量2501.6万吨，污水处理率91.38%，</w:t>
      </w:r>
      <w:r>
        <w:rPr>
          <w:rFonts w:hint="eastAsia" w:ascii="Times New Roman" w:hAnsi="Times New Roman"/>
          <w:b/>
          <w:color w:val="auto"/>
          <w:sz w:val="24"/>
          <w:highlight w:val="none"/>
        </w:rPr>
        <w:t>已达标。</w:t>
      </w:r>
    </w:p>
    <w:p>
      <w:pPr>
        <w:pStyle w:val="6"/>
        <w:rPr>
          <w:rFonts w:ascii="Times New Roman" w:hAnsi="Times New Roman"/>
          <w:color w:val="auto"/>
          <w:highlight w:val="none"/>
        </w:rPr>
      </w:pPr>
      <w:bookmarkStart w:id="486" w:name="_Toc60499728"/>
      <w:bookmarkStart w:id="487" w:name="_Toc54451092"/>
      <w:bookmarkStart w:id="488" w:name="_Toc60776419"/>
      <w:bookmarkStart w:id="489" w:name="_Toc27656"/>
      <w:r>
        <w:rPr>
          <w:rFonts w:ascii="Times New Roman" w:hAnsi="Times New Roman"/>
          <w:color w:val="auto"/>
          <w:highlight w:val="none"/>
        </w:rPr>
        <w:t>39、生活垃圾无害化处理率</w:t>
      </w:r>
      <w:bookmarkEnd w:id="486"/>
      <w:bookmarkEnd w:id="487"/>
      <w:bookmarkEnd w:id="488"/>
      <w:bookmarkEnd w:id="489"/>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w:t>
      </w:r>
      <w:r>
        <w:rPr>
          <w:rFonts w:hint="default" w:ascii="Times New Roman" w:hAnsi="Times New Roman" w:cs="Times New Roman"/>
          <w:color w:val="auto"/>
          <w:sz w:val="24"/>
          <w:highlight w:val="none"/>
        </w:rPr>
        <w:t>①</w:t>
      </w:r>
      <w:r>
        <w:rPr>
          <w:rFonts w:ascii="Times New Roman" w:hAnsi="Times New Roman"/>
          <w:color w:val="auto"/>
          <w:sz w:val="24"/>
          <w:highlight w:val="none"/>
        </w:rPr>
        <w:t>生活垃圾处理率≥95%；</w:t>
      </w:r>
      <w:r>
        <w:rPr>
          <w:rFonts w:hint="default" w:ascii="Times New Roman" w:hAnsi="Times New Roman" w:cs="Times New Roman"/>
          <w:color w:val="auto"/>
          <w:sz w:val="24"/>
          <w:highlight w:val="none"/>
        </w:rPr>
        <w:t>②</w:t>
      </w:r>
      <w:r>
        <w:rPr>
          <w:rFonts w:ascii="Times New Roman" w:hAnsi="Times New Roman"/>
          <w:color w:val="auto"/>
          <w:sz w:val="24"/>
          <w:highlight w:val="none"/>
        </w:rPr>
        <w:t>鼓励实施垃圾减量、分类回收，积极开展有关宣传教育；</w:t>
      </w:r>
      <w:r>
        <w:rPr>
          <w:rFonts w:hint="default" w:ascii="Times New Roman" w:hAnsi="Times New Roman" w:cs="Times New Roman"/>
          <w:color w:val="auto"/>
          <w:sz w:val="24"/>
          <w:highlight w:val="none"/>
        </w:rPr>
        <w:t>③</w:t>
      </w:r>
      <w:r>
        <w:rPr>
          <w:rFonts w:ascii="Times New Roman" w:hAnsi="Times New Roman"/>
          <w:color w:val="auto"/>
          <w:sz w:val="24"/>
          <w:highlight w:val="none"/>
        </w:rPr>
        <w:t>垃圾填埋场达到二级标准，垃圾焚烧厂达到2A标准。</w:t>
      </w:r>
    </w:p>
    <w:p>
      <w:pPr>
        <w:spacing w:line="360" w:lineRule="auto"/>
        <w:rPr>
          <w:rFonts w:ascii="Times New Roman" w:hAnsi="Times New Roman"/>
          <w:color w:val="auto"/>
          <w:sz w:val="24"/>
          <w:highlight w:val="none"/>
        </w:rPr>
      </w:pPr>
      <w:r>
        <w:rPr>
          <w:rFonts w:ascii="Times New Roman" w:hAnsi="Times New Roman"/>
          <w:color w:val="auto"/>
          <w:sz w:val="24"/>
          <w:highlight w:val="none"/>
        </w:rPr>
        <w:t>计算方法：城市生活垃圾无害化处理率是指城市建成区生活垃圾无害化处理量占生活垃圾产生量（以清运量代替）的百分比。</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调查结果：海丰县县环卫站2019年生活垃圾清运量（进场量）为169628.19吨，全部进行无害化处理（填埋）。其中运往三峰处理58261.84吨，运往陆丰处理111366.35吨，处理率为100%。</w:t>
      </w:r>
      <w:r>
        <w:rPr>
          <w:rFonts w:hint="eastAsia" w:ascii="Times New Roman" w:hAnsi="Times New Roman"/>
          <w:b/>
          <w:color w:val="auto"/>
          <w:sz w:val="24"/>
          <w:highlight w:val="none"/>
        </w:rPr>
        <w:t>已</w:t>
      </w:r>
      <w:r>
        <w:rPr>
          <w:rFonts w:ascii="Times New Roman" w:hAnsi="Times New Roman"/>
          <w:b/>
          <w:color w:val="auto"/>
          <w:sz w:val="24"/>
          <w:highlight w:val="none"/>
        </w:rPr>
        <w:t>达标</w:t>
      </w:r>
      <w:r>
        <w:rPr>
          <w:rFonts w:ascii="Times New Roman" w:hAnsi="Times New Roman"/>
          <w:color w:val="auto"/>
          <w:sz w:val="24"/>
          <w:highlight w:val="none"/>
        </w:rPr>
        <w:t>。</w:t>
      </w:r>
    </w:p>
    <w:p>
      <w:pPr>
        <w:spacing w:line="360" w:lineRule="auto"/>
        <w:jc w:val="center"/>
        <w:rPr>
          <w:rFonts w:ascii="Times New Roman" w:hAnsi="Times New Roman"/>
          <w:color w:val="auto"/>
          <w:sz w:val="24"/>
          <w:highlight w:val="none"/>
        </w:rPr>
      </w:pPr>
      <w:r>
        <w:rPr>
          <w:rFonts w:ascii="Times New Roman" w:hAnsi="Times New Roman"/>
          <w:b/>
          <w:color w:val="auto"/>
          <w:kern w:val="0"/>
          <w:position w:val="-4"/>
          <w:sz w:val="24"/>
          <w:highlight w:val="none"/>
        </w:rPr>
        <w:t>表5-</w:t>
      </w:r>
      <w:r>
        <w:rPr>
          <w:rFonts w:hint="eastAsia" w:ascii="Times New Roman" w:hAnsi="Times New Roman"/>
          <w:b/>
          <w:color w:val="auto"/>
          <w:kern w:val="0"/>
          <w:position w:val="-4"/>
          <w:sz w:val="24"/>
          <w:highlight w:val="none"/>
        </w:rPr>
        <w:t>3</w:t>
      </w:r>
      <w:r>
        <w:rPr>
          <w:rFonts w:ascii="Times New Roman" w:hAnsi="Times New Roman"/>
          <w:b/>
          <w:color w:val="auto"/>
          <w:kern w:val="0"/>
          <w:position w:val="-4"/>
          <w:sz w:val="24"/>
          <w:highlight w:val="none"/>
        </w:rPr>
        <w:t xml:space="preserve"> 海丰县2019年县城生活垃圾无害化处理率统计表</w:t>
      </w:r>
    </w:p>
    <w:tbl>
      <w:tblPr>
        <w:tblStyle w:val="20"/>
        <w:tblW w:w="8312" w:type="dxa"/>
        <w:jc w:val="center"/>
        <w:tblLayout w:type="fixed"/>
        <w:tblCellMar>
          <w:top w:w="0" w:type="dxa"/>
          <w:left w:w="0" w:type="dxa"/>
          <w:bottom w:w="0" w:type="dxa"/>
          <w:right w:w="0" w:type="dxa"/>
        </w:tblCellMar>
      </w:tblPr>
      <w:tblGrid>
        <w:gridCol w:w="647"/>
        <w:gridCol w:w="905"/>
        <w:gridCol w:w="1352"/>
        <w:gridCol w:w="1352"/>
        <w:gridCol w:w="1352"/>
        <w:gridCol w:w="1352"/>
        <w:gridCol w:w="1352"/>
      </w:tblGrid>
      <w:tr>
        <w:tblPrEx>
          <w:tblCellMar>
            <w:top w:w="0" w:type="dxa"/>
            <w:left w:w="0" w:type="dxa"/>
            <w:bottom w:w="0" w:type="dxa"/>
            <w:right w:w="0" w:type="dxa"/>
          </w:tblCellMar>
        </w:tblPrEx>
        <w:trPr>
          <w:trHeight w:val="975" w:hRule="exact"/>
          <w:jc w:val="center"/>
        </w:trPr>
        <w:tc>
          <w:tcPr>
            <w:tcW w:w="647"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color w:val="auto"/>
                <w:highlight w:val="none"/>
              </w:rPr>
            </w:pPr>
            <w:r>
              <w:rPr>
                <w:rFonts w:ascii="Times New Roman" w:hAnsi="Times New Roman"/>
                <w:b/>
                <w:color w:val="auto"/>
                <w:highlight w:val="none"/>
              </w:rPr>
              <w:t>序号</w:t>
            </w:r>
          </w:p>
        </w:tc>
        <w:tc>
          <w:tcPr>
            <w:tcW w:w="905"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color w:val="auto"/>
                <w:highlight w:val="none"/>
              </w:rPr>
            </w:pPr>
            <w:r>
              <w:rPr>
                <w:rFonts w:ascii="Times New Roman" w:hAnsi="Times New Roman"/>
                <w:b/>
                <w:color w:val="auto"/>
                <w:highlight w:val="none"/>
              </w:rPr>
              <w:t>行政区</w:t>
            </w:r>
          </w:p>
        </w:tc>
        <w:tc>
          <w:tcPr>
            <w:tcW w:w="1352"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color w:val="auto"/>
                <w:highlight w:val="none"/>
              </w:rPr>
            </w:pPr>
            <w:r>
              <w:rPr>
                <w:rFonts w:ascii="Times New Roman" w:hAnsi="Times New Roman"/>
                <w:b/>
                <w:color w:val="auto"/>
                <w:highlight w:val="none"/>
              </w:rPr>
              <w:t>2019年生活垃圾清运量</w:t>
            </w:r>
          </w:p>
          <w:p>
            <w:pPr>
              <w:jc w:val="center"/>
              <w:rPr>
                <w:rFonts w:ascii="Times New Roman" w:hAnsi="Times New Roman"/>
                <w:b/>
                <w:color w:val="auto"/>
                <w:highlight w:val="none"/>
              </w:rPr>
            </w:pPr>
            <w:r>
              <w:rPr>
                <w:rFonts w:ascii="Times New Roman" w:hAnsi="Times New Roman"/>
                <w:b/>
                <w:color w:val="auto"/>
                <w:highlight w:val="none"/>
              </w:rPr>
              <w:t>（吨）</w:t>
            </w:r>
          </w:p>
        </w:tc>
        <w:tc>
          <w:tcPr>
            <w:tcW w:w="1352"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color w:val="auto"/>
                <w:highlight w:val="none"/>
              </w:rPr>
            </w:pPr>
            <w:r>
              <w:rPr>
                <w:rFonts w:ascii="Times New Roman" w:hAnsi="Times New Roman"/>
                <w:b/>
                <w:color w:val="auto"/>
                <w:highlight w:val="none"/>
              </w:rPr>
              <w:t>2019年生活垃圾无害化处理量（吨）</w:t>
            </w:r>
          </w:p>
          <w:p>
            <w:pPr>
              <w:jc w:val="center"/>
              <w:rPr>
                <w:rFonts w:ascii="Times New Roman" w:hAnsi="Times New Roman"/>
                <w:b/>
                <w:color w:val="auto"/>
                <w:highlight w:val="none"/>
              </w:rPr>
            </w:pPr>
            <w:r>
              <w:rPr>
                <w:rFonts w:ascii="Times New Roman" w:hAnsi="Times New Roman"/>
                <w:b/>
                <w:color w:val="auto"/>
                <w:highlight w:val="none"/>
              </w:rPr>
              <w:t>（吨）</w:t>
            </w:r>
          </w:p>
        </w:tc>
        <w:tc>
          <w:tcPr>
            <w:tcW w:w="1352"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color w:val="auto"/>
                <w:highlight w:val="none"/>
              </w:rPr>
            </w:pPr>
            <w:r>
              <w:rPr>
                <w:rFonts w:ascii="Times New Roman" w:hAnsi="Times New Roman"/>
                <w:b/>
                <w:color w:val="auto"/>
                <w:highlight w:val="none"/>
              </w:rPr>
              <w:t>运往三峰处理</w:t>
            </w:r>
          </w:p>
          <w:p>
            <w:pPr>
              <w:jc w:val="center"/>
              <w:rPr>
                <w:rFonts w:ascii="Times New Roman" w:hAnsi="Times New Roman"/>
                <w:b/>
                <w:color w:val="auto"/>
                <w:highlight w:val="none"/>
              </w:rPr>
            </w:pPr>
            <w:r>
              <w:rPr>
                <w:rFonts w:ascii="Times New Roman" w:hAnsi="Times New Roman"/>
                <w:b/>
                <w:color w:val="auto"/>
                <w:highlight w:val="none"/>
              </w:rPr>
              <w:t>（吨）</w:t>
            </w:r>
          </w:p>
        </w:tc>
        <w:tc>
          <w:tcPr>
            <w:tcW w:w="1352"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color w:val="auto"/>
                <w:highlight w:val="none"/>
              </w:rPr>
            </w:pPr>
            <w:r>
              <w:rPr>
                <w:rFonts w:ascii="Times New Roman" w:hAnsi="Times New Roman"/>
                <w:b/>
                <w:color w:val="auto"/>
                <w:highlight w:val="none"/>
              </w:rPr>
              <w:t>运往陆丰处理（吨）</w:t>
            </w:r>
          </w:p>
        </w:tc>
        <w:tc>
          <w:tcPr>
            <w:tcW w:w="1352"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color w:val="auto"/>
                <w:highlight w:val="none"/>
              </w:rPr>
            </w:pPr>
            <w:r>
              <w:rPr>
                <w:rFonts w:ascii="Times New Roman" w:hAnsi="Times New Roman"/>
                <w:b/>
                <w:color w:val="auto"/>
                <w:highlight w:val="none"/>
              </w:rPr>
              <w:t>生活垃圾无害化处理率（%）</w:t>
            </w:r>
          </w:p>
        </w:tc>
      </w:tr>
      <w:tr>
        <w:tblPrEx>
          <w:tblCellMar>
            <w:top w:w="0" w:type="dxa"/>
            <w:left w:w="0" w:type="dxa"/>
            <w:bottom w:w="0" w:type="dxa"/>
            <w:right w:w="0" w:type="dxa"/>
          </w:tblCellMar>
        </w:tblPrEx>
        <w:trPr>
          <w:trHeight w:val="502" w:hRule="exact"/>
          <w:jc w:val="center"/>
        </w:trPr>
        <w:tc>
          <w:tcPr>
            <w:tcW w:w="647"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1</w:t>
            </w:r>
          </w:p>
        </w:tc>
        <w:tc>
          <w:tcPr>
            <w:tcW w:w="905"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海丰县</w:t>
            </w:r>
          </w:p>
        </w:tc>
        <w:tc>
          <w:tcPr>
            <w:tcW w:w="1352"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40121.90</w:t>
            </w:r>
          </w:p>
        </w:tc>
        <w:tc>
          <w:tcPr>
            <w:tcW w:w="1352"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40121.90</w:t>
            </w:r>
          </w:p>
        </w:tc>
        <w:tc>
          <w:tcPr>
            <w:tcW w:w="1352"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58261.84</w:t>
            </w:r>
          </w:p>
        </w:tc>
        <w:tc>
          <w:tcPr>
            <w:tcW w:w="1352"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111366.35</w:t>
            </w:r>
          </w:p>
        </w:tc>
        <w:tc>
          <w:tcPr>
            <w:tcW w:w="1352"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100</w:t>
            </w:r>
          </w:p>
        </w:tc>
      </w:tr>
    </w:tbl>
    <w:p>
      <w:pPr>
        <w:spacing w:line="360" w:lineRule="auto"/>
        <w:jc w:val="center"/>
        <w:rPr>
          <w:rFonts w:ascii="Times New Roman" w:hAnsi="Times New Roman"/>
          <w:b/>
          <w:color w:val="auto"/>
          <w:sz w:val="24"/>
          <w:highlight w:val="none"/>
        </w:rPr>
      </w:pPr>
    </w:p>
    <w:p>
      <w:pPr>
        <w:spacing w:line="360" w:lineRule="auto"/>
        <w:jc w:val="center"/>
        <w:rPr>
          <w:rFonts w:ascii="Times New Roman" w:hAnsi="Times New Roman"/>
          <w:b/>
          <w:color w:val="auto"/>
          <w:sz w:val="24"/>
          <w:highlight w:val="none"/>
        </w:rPr>
      </w:pPr>
      <w:r>
        <w:rPr>
          <w:rFonts w:ascii="Times New Roman" w:hAnsi="Times New Roman"/>
          <w:b/>
          <w:color w:val="auto"/>
          <w:sz w:val="24"/>
          <w:highlight w:val="none"/>
        </w:rPr>
        <w:t>表5-</w:t>
      </w:r>
      <w:r>
        <w:rPr>
          <w:rFonts w:hint="eastAsia" w:ascii="Times New Roman" w:hAnsi="Times New Roman"/>
          <w:b/>
          <w:color w:val="auto"/>
          <w:sz w:val="24"/>
          <w:highlight w:val="none"/>
        </w:rPr>
        <w:t>4</w:t>
      </w:r>
      <w:r>
        <w:rPr>
          <w:rFonts w:ascii="Times New Roman" w:hAnsi="Times New Roman"/>
          <w:b/>
          <w:color w:val="auto"/>
          <w:sz w:val="24"/>
          <w:highlight w:val="none"/>
        </w:rPr>
        <w:t xml:space="preserve"> 海丰县2019年县城生活垃圾处理量汇总表</w:t>
      </w:r>
    </w:p>
    <w:tbl>
      <w:tblPr>
        <w:tblStyle w:val="20"/>
        <w:tblW w:w="8522" w:type="dxa"/>
        <w:tblInd w:w="0" w:type="dxa"/>
        <w:tblLayout w:type="fixed"/>
        <w:tblCellMar>
          <w:top w:w="0" w:type="dxa"/>
          <w:left w:w="108" w:type="dxa"/>
          <w:bottom w:w="0" w:type="dxa"/>
          <w:right w:w="108" w:type="dxa"/>
        </w:tblCellMar>
      </w:tblPr>
      <w:tblGrid>
        <w:gridCol w:w="1096"/>
        <w:gridCol w:w="1110"/>
        <w:gridCol w:w="1015"/>
        <w:gridCol w:w="1015"/>
        <w:gridCol w:w="1015"/>
        <w:gridCol w:w="1015"/>
        <w:gridCol w:w="1017"/>
        <w:gridCol w:w="1239"/>
      </w:tblGrid>
      <w:tr>
        <w:tblPrEx>
          <w:tblCellMar>
            <w:top w:w="0" w:type="dxa"/>
            <w:left w:w="108" w:type="dxa"/>
            <w:bottom w:w="0" w:type="dxa"/>
            <w:right w:w="108" w:type="dxa"/>
          </w:tblCellMar>
        </w:tblPrEx>
        <w:trPr>
          <w:trHeight w:val="600" w:hRule="atLeast"/>
          <w:tblHeader/>
        </w:trPr>
        <w:tc>
          <w:tcPr>
            <w:tcW w:w="1096" w:type="dxa"/>
            <w:vMerge w:val="restart"/>
            <w:tcBorders>
              <w:top w:val="single" w:color="auto" w:sz="4" w:space="0"/>
              <w:left w:val="single" w:color="auto" w:sz="4" w:space="0"/>
              <w:bottom w:val="single" w:color="000000" w:sz="4" w:space="0"/>
              <w:right w:val="single" w:color="auto" w:sz="4" w:space="0"/>
            </w:tcBorders>
            <w:shd w:val="clear" w:color="auto" w:fill="auto"/>
            <w:noWrap/>
            <w:vAlign w:val="center"/>
          </w:tcPr>
          <w:p>
            <w:pPr>
              <w:widowControl/>
              <w:jc w:val="center"/>
              <w:rPr>
                <w:rFonts w:ascii="Times New Roman" w:hAnsi="Times New Roman"/>
                <w:b/>
                <w:bCs/>
                <w:color w:val="auto"/>
                <w:kern w:val="0"/>
                <w:sz w:val="24"/>
                <w:highlight w:val="none"/>
              </w:rPr>
            </w:pPr>
            <w:r>
              <w:rPr>
                <w:rFonts w:ascii="Times New Roman" w:hAnsi="Times New Roman"/>
                <w:b/>
                <w:bCs/>
                <w:color w:val="auto"/>
                <w:kern w:val="0"/>
                <w:sz w:val="24"/>
                <w:highlight w:val="none"/>
              </w:rPr>
              <w:t>月份</w:t>
            </w:r>
          </w:p>
        </w:tc>
        <w:tc>
          <w:tcPr>
            <w:tcW w:w="3140" w:type="dxa"/>
            <w:gridSpan w:val="3"/>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b/>
                <w:bCs/>
                <w:color w:val="auto"/>
                <w:kern w:val="0"/>
                <w:sz w:val="24"/>
                <w:highlight w:val="none"/>
              </w:rPr>
            </w:pPr>
            <w:r>
              <w:rPr>
                <w:rFonts w:ascii="Times New Roman" w:hAnsi="Times New Roman"/>
                <w:b/>
                <w:bCs/>
                <w:color w:val="auto"/>
                <w:kern w:val="0"/>
                <w:sz w:val="24"/>
                <w:highlight w:val="none"/>
              </w:rPr>
              <w:t>运往三峰</w:t>
            </w:r>
            <w:r>
              <w:rPr>
                <w:rFonts w:hint="eastAsia" w:ascii="Times New Roman" w:hAnsi="Times New Roman"/>
                <w:b/>
                <w:bCs/>
                <w:color w:val="auto"/>
                <w:kern w:val="0"/>
                <w:sz w:val="24"/>
                <w:highlight w:val="none"/>
              </w:rPr>
              <w:t>（</w:t>
            </w:r>
            <w:r>
              <w:rPr>
                <w:rFonts w:ascii="Times New Roman" w:hAnsi="Times New Roman"/>
                <w:b/>
                <w:color w:val="auto"/>
                <w:sz w:val="24"/>
                <w:highlight w:val="none"/>
              </w:rPr>
              <w:t>吨</w:t>
            </w:r>
            <w:r>
              <w:rPr>
                <w:rFonts w:hint="eastAsia" w:ascii="Times New Roman" w:hAnsi="Times New Roman"/>
                <w:b/>
                <w:bCs/>
                <w:color w:val="auto"/>
                <w:kern w:val="0"/>
                <w:sz w:val="24"/>
                <w:highlight w:val="none"/>
              </w:rPr>
              <w:t>）</w:t>
            </w:r>
          </w:p>
        </w:tc>
        <w:tc>
          <w:tcPr>
            <w:tcW w:w="3047" w:type="dxa"/>
            <w:gridSpan w:val="3"/>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b/>
                <w:bCs/>
                <w:color w:val="auto"/>
                <w:kern w:val="0"/>
                <w:sz w:val="24"/>
                <w:highlight w:val="none"/>
              </w:rPr>
            </w:pPr>
            <w:r>
              <w:rPr>
                <w:rFonts w:ascii="Times New Roman" w:hAnsi="Times New Roman"/>
                <w:b/>
                <w:bCs/>
                <w:color w:val="auto"/>
                <w:kern w:val="0"/>
                <w:sz w:val="24"/>
                <w:highlight w:val="none"/>
              </w:rPr>
              <w:t>运往陆丰</w:t>
            </w:r>
            <w:r>
              <w:rPr>
                <w:rFonts w:hint="eastAsia" w:ascii="Times New Roman" w:hAnsi="Times New Roman"/>
                <w:b/>
                <w:bCs/>
                <w:color w:val="auto"/>
                <w:kern w:val="0"/>
                <w:sz w:val="24"/>
                <w:highlight w:val="none"/>
              </w:rPr>
              <w:t>（</w:t>
            </w:r>
            <w:r>
              <w:rPr>
                <w:rFonts w:ascii="Times New Roman" w:hAnsi="Times New Roman"/>
                <w:b/>
                <w:color w:val="auto"/>
                <w:sz w:val="24"/>
                <w:highlight w:val="none"/>
              </w:rPr>
              <w:t>吨</w:t>
            </w:r>
            <w:r>
              <w:rPr>
                <w:rFonts w:hint="eastAsia" w:ascii="Times New Roman" w:hAnsi="Times New Roman"/>
                <w:b/>
                <w:bCs/>
                <w:color w:val="auto"/>
                <w:kern w:val="0"/>
                <w:sz w:val="24"/>
                <w:highlight w:val="none"/>
              </w:rPr>
              <w:t>）</w:t>
            </w:r>
          </w:p>
        </w:tc>
        <w:tc>
          <w:tcPr>
            <w:tcW w:w="1239" w:type="dxa"/>
            <w:vMerge w:val="restart"/>
            <w:tcBorders>
              <w:top w:val="single" w:color="auto" w:sz="4" w:space="0"/>
              <w:left w:val="single" w:color="auto" w:sz="4" w:space="0"/>
              <w:bottom w:val="single" w:color="000000" w:sz="4" w:space="0"/>
              <w:right w:val="single" w:color="auto" w:sz="4" w:space="0"/>
            </w:tcBorders>
            <w:shd w:val="clear" w:color="auto" w:fill="auto"/>
            <w:noWrap/>
            <w:vAlign w:val="center"/>
          </w:tcPr>
          <w:p>
            <w:pPr>
              <w:widowControl/>
              <w:jc w:val="center"/>
              <w:rPr>
                <w:rFonts w:ascii="Times New Roman" w:hAnsi="Times New Roman"/>
                <w:b/>
                <w:bCs/>
                <w:color w:val="auto"/>
                <w:kern w:val="0"/>
                <w:sz w:val="24"/>
                <w:highlight w:val="none"/>
              </w:rPr>
            </w:pPr>
            <w:r>
              <w:rPr>
                <w:rFonts w:ascii="Times New Roman" w:hAnsi="Times New Roman"/>
                <w:b/>
                <w:bCs/>
                <w:color w:val="auto"/>
                <w:kern w:val="0"/>
                <w:sz w:val="24"/>
                <w:highlight w:val="none"/>
              </w:rPr>
              <w:t>每月合计</w:t>
            </w:r>
            <w:r>
              <w:rPr>
                <w:rFonts w:hint="eastAsia" w:ascii="Times New Roman" w:hAnsi="Times New Roman"/>
                <w:b/>
                <w:bCs/>
                <w:color w:val="auto"/>
                <w:kern w:val="0"/>
                <w:sz w:val="24"/>
                <w:highlight w:val="none"/>
              </w:rPr>
              <w:t>（</w:t>
            </w:r>
            <w:r>
              <w:rPr>
                <w:rFonts w:ascii="Times New Roman" w:hAnsi="Times New Roman"/>
                <w:b/>
                <w:color w:val="auto"/>
                <w:sz w:val="24"/>
                <w:highlight w:val="none"/>
              </w:rPr>
              <w:t>吨</w:t>
            </w:r>
            <w:r>
              <w:rPr>
                <w:rFonts w:hint="eastAsia" w:ascii="Times New Roman" w:hAnsi="Times New Roman"/>
                <w:b/>
                <w:bCs/>
                <w:color w:val="auto"/>
                <w:kern w:val="0"/>
                <w:sz w:val="24"/>
                <w:highlight w:val="none"/>
              </w:rPr>
              <w:t>）</w:t>
            </w:r>
          </w:p>
        </w:tc>
      </w:tr>
      <w:tr>
        <w:tblPrEx>
          <w:tblCellMar>
            <w:top w:w="0" w:type="dxa"/>
            <w:left w:w="108" w:type="dxa"/>
            <w:bottom w:w="0" w:type="dxa"/>
            <w:right w:w="108" w:type="dxa"/>
          </w:tblCellMar>
        </w:tblPrEx>
        <w:trPr>
          <w:trHeight w:val="600" w:hRule="atLeast"/>
          <w:tblHeader/>
        </w:trPr>
        <w:tc>
          <w:tcPr>
            <w:tcW w:w="1096" w:type="dxa"/>
            <w:vMerge w:val="continue"/>
            <w:tcBorders>
              <w:top w:val="single" w:color="auto" w:sz="4" w:space="0"/>
              <w:left w:val="single" w:color="auto" w:sz="4" w:space="0"/>
              <w:bottom w:val="single" w:color="000000" w:sz="4" w:space="0"/>
              <w:right w:val="single" w:color="auto" w:sz="4" w:space="0"/>
            </w:tcBorders>
            <w:vAlign w:val="center"/>
          </w:tcPr>
          <w:p>
            <w:pPr>
              <w:widowControl/>
              <w:jc w:val="left"/>
              <w:rPr>
                <w:rFonts w:ascii="Times New Roman" w:hAnsi="Times New Roman"/>
                <w:b/>
                <w:bCs/>
                <w:color w:val="auto"/>
                <w:kern w:val="0"/>
                <w:sz w:val="24"/>
                <w:highlight w:val="none"/>
              </w:rPr>
            </w:pPr>
          </w:p>
        </w:tc>
        <w:tc>
          <w:tcPr>
            <w:tcW w:w="1110"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b/>
                <w:bCs/>
                <w:color w:val="auto"/>
                <w:kern w:val="0"/>
                <w:sz w:val="24"/>
                <w:highlight w:val="none"/>
              </w:rPr>
            </w:pPr>
            <w:r>
              <w:rPr>
                <w:rFonts w:ascii="Times New Roman" w:hAnsi="Times New Roman"/>
                <w:b/>
                <w:bCs/>
                <w:color w:val="auto"/>
                <w:kern w:val="0"/>
                <w:sz w:val="24"/>
                <w:highlight w:val="none"/>
              </w:rPr>
              <w:t>海城镇</w:t>
            </w:r>
          </w:p>
        </w:tc>
        <w:tc>
          <w:tcPr>
            <w:tcW w:w="1015"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b/>
                <w:bCs/>
                <w:color w:val="auto"/>
                <w:kern w:val="0"/>
                <w:sz w:val="24"/>
                <w:highlight w:val="none"/>
              </w:rPr>
            </w:pPr>
            <w:r>
              <w:rPr>
                <w:rFonts w:ascii="Times New Roman" w:hAnsi="Times New Roman"/>
                <w:b/>
                <w:bCs/>
                <w:color w:val="auto"/>
                <w:kern w:val="0"/>
                <w:sz w:val="24"/>
                <w:highlight w:val="none"/>
              </w:rPr>
              <w:t>附城镇</w:t>
            </w:r>
          </w:p>
        </w:tc>
        <w:tc>
          <w:tcPr>
            <w:tcW w:w="1015"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b/>
                <w:bCs/>
                <w:color w:val="auto"/>
                <w:kern w:val="0"/>
                <w:sz w:val="24"/>
                <w:highlight w:val="none"/>
              </w:rPr>
            </w:pPr>
            <w:r>
              <w:rPr>
                <w:rFonts w:ascii="Times New Roman" w:hAnsi="Times New Roman"/>
                <w:b/>
                <w:bCs/>
                <w:color w:val="auto"/>
                <w:kern w:val="0"/>
                <w:sz w:val="24"/>
                <w:highlight w:val="none"/>
              </w:rPr>
              <w:t>城东镇</w:t>
            </w:r>
          </w:p>
        </w:tc>
        <w:tc>
          <w:tcPr>
            <w:tcW w:w="1015"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b/>
                <w:bCs/>
                <w:color w:val="auto"/>
                <w:kern w:val="0"/>
                <w:sz w:val="24"/>
                <w:highlight w:val="none"/>
              </w:rPr>
            </w:pPr>
            <w:r>
              <w:rPr>
                <w:rFonts w:ascii="Times New Roman" w:hAnsi="Times New Roman"/>
                <w:b/>
                <w:bCs/>
                <w:color w:val="auto"/>
                <w:kern w:val="0"/>
                <w:sz w:val="24"/>
                <w:highlight w:val="none"/>
              </w:rPr>
              <w:t>海城镇</w:t>
            </w:r>
          </w:p>
        </w:tc>
        <w:tc>
          <w:tcPr>
            <w:tcW w:w="1015"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b/>
                <w:bCs/>
                <w:color w:val="auto"/>
                <w:kern w:val="0"/>
                <w:sz w:val="24"/>
                <w:highlight w:val="none"/>
              </w:rPr>
            </w:pPr>
            <w:r>
              <w:rPr>
                <w:rFonts w:ascii="Times New Roman" w:hAnsi="Times New Roman"/>
                <w:b/>
                <w:bCs/>
                <w:color w:val="auto"/>
                <w:kern w:val="0"/>
                <w:sz w:val="24"/>
                <w:highlight w:val="none"/>
              </w:rPr>
              <w:t>附城镇</w:t>
            </w:r>
          </w:p>
        </w:tc>
        <w:tc>
          <w:tcPr>
            <w:tcW w:w="1017"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b/>
                <w:bCs/>
                <w:color w:val="auto"/>
                <w:kern w:val="0"/>
                <w:sz w:val="24"/>
                <w:highlight w:val="none"/>
              </w:rPr>
            </w:pPr>
            <w:r>
              <w:rPr>
                <w:rFonts w:ascii="Times New Roman" w:hAnsi="Times New Roman"/>
                <w:b/>
                <w:bCs/>
                <w:color w:val="auto"/>
                <w:kern w:val="0"/>
                <w:sz w:val="24"/>
                <w:highlight w:val="none"/>
              </w:rPr>
              <w:t>城东镇</w:t>
            </w:r>
          </w:p>
        </w:tc>
        <w:tc>
          <w:tcPr>
            <w:tcW w:w="1239" w:type="dxa"/>
            <w:vMerge w:val="continue"/>
            <w:tcBorders>
              <w:top w:val="single" w:color="auto" w:sz="4" w:space="0"/>
              <w:left w:val="single" w:color="auto" w:sz="4" w:space="0"/>
              <w:bottom w:val="single" w:color="000000" w:sz="4" w:space="0"/>
              <w:right w:val="single" w:color="auto" w:sz="4" w:space="0"/>
            </w:tcBorders>
            <w:vAlign w:val="center"/>
          </w:tcPr>
          <w:p>
            <w:pPr>
              <w:widowControl/>
              <w:jc w:val="left"/>
              <w:rPr>
                <w:rFonts w:ascii="Times New Roman" w:hAnsi="Times New Roman"/>
                <w:b/>
                <w:bCs/>
                <w:color w:val="auto"/>
                <w:kern w:val="0"/>
                <w:sz w:val="24"/>
                <w:highlight w:val="none"/>
              </w:rPr>
            </w:pPr>
          </w:p>
        </w:tc>
      </w:tr>
      <w:tr>
        <w:tblPrEx>
          <w:tblCellMar>
            <w:top w:w="0" w:type="dxa"/>
            <w:left w:w="108" w:type="dxa"/>
            <w:bottom w:w="0" w:type="dxa"/>
            <w:right w:w="108" w:type="dxa"/>
          </w:tblCellMar>
        </w:tblPrEx>
        <w:trPr>
          <w:trHeight w:val="499" w:hRule="atLeast"/>
        </w:trPr>
        <w:tc>
          <w:tcPr>
            <w:tcW w:w="1096"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1月份</w:t>
            </w:r>
          </w:p>
        </w:tc>
        <w:tc>
          <w:tcPr>
            <w:tcW w:w="3140" w:type="dxa"/>
            <w:gridSpan w:val="3"/>
            <w:tcBorders>
              <w:top w:val="single" w:color="auto" w:sz="4" w:space="0"/>
              <w:left w:val="nil"/>
              <w:bottom w:val="single" w:color="auto" w:sz="4" w:space="0"/>
              <w:right w:val="single" w:color="000000"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8318.00</w:t>
            </w:r>
          </w:p>
        </w:tc>
        <w:tc>
          <w:tcPr>
            <w:tcW w:w="3047" w:type="dxa"/>
            <w:gridSpan w:val="3"/>
            <w:tcBorders>
              <w:top w:val="single" w:color="auto" w:sz="4" w:space="0"/>
              <w:left w:val="nil"/>
              <w:bottom w:val="single" w:color="auto" w:sz="4" w:space="0"/>
              <w:right w:val="single" w:color="000000"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7497.83</w:t>
            </w:r>
          </w:p>
        </w:tc>
        <w:tc>
          <w:tcPr>
            <w:tcW w:w="1239"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15815.83</w:t>
            </w:r>
          </w:p>
        </w:tc>
      </w:tr>
      <w:tr>
        <w:tblPrEx>
          <w:tblCellMar>
            <w:top w:w="0" w:type="dxa"/>
            <w:left w:w="108" w:type="dxa"/>
            <w:bottom w:w="0" w:type="dxa"/>
            <w:right w:w="108" w:type="dxa"/>
          </w:tblCellMar>
        </w:tblPrEx>
        <w:trPr>
          <w:trHeight w:val="499" w:hRule="atLeast"/>
        </w:trPr>
        <w:tc>
          <w:tcPr>
            <w:tcW w:w="1096"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2月份</w:t>
            </w:r>
          </w:p>
        </w:tc>
        <w:tc>
          <w:tcPr>
            <w:tcW w:w="3140" w:type="dxa"/>
            <w:gridSpan w:val="3"/>
            <w:tcBorders>
              <w:top w:val="single" w:color="auto" w:sz="4" w:space="0"/>
              <w:left w:val="nil"/>
              <w:bottom w:val="single" w:color="auto" w:sz="4" w:space="0"/>
              <w:right w:val="single" w:color="000000"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6756.88</w:t>
            </w:r>
          </w:p>
        </w:tc>
        <w:tc>
          <w:tcPr>
            <w:tcW w:w="3047" w:type="dxa"/>
            <w:gridSpan w:val="3"/>
            <w:tcBorders>
              <w:top w:val="single" w:color="auto" w:sz="4" w:space="0"/>
              <w:left w:val="nil"/>
              <w:bottom w:val="single" w:color="auto" w:sz="4" w:space="0"/>
              <w:right w:val="single" w:color="000000"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9703.22</w:t>
            </w:r>
          </w:p>
        </w:tc>
        <w:tc>
          <w:tcPr>
            <w:tcW w:w="1239"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16460.10</w:t>
            </w:r>
          </w:p>
        </w:tc>
      </w:tr>
      <w:tr>
        <w:tblPrEx>
          <w:tblCellMar>
            <w:top w:w="0" w:type="dxa"/>
            <w:left w:w="108" w:type="dxa"/>
            <w:bottom w:w="0" w:type="dxa"/>
            <w:right w:w="108" w:type="dxa"/>
          </w:tblCellMar>
        </w:tblPrEx>
        <w:trPr>
          <w:trHeight w:val="499" w:hRule="atLeast"/>
        </w:trPr>
        <w:tc>
          <w:tcPr>
            <w:tcW w:w="1096"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3月份</w:t>
            </w:r>
          </w:p>
        </w:tc>
        <w:tc>
          <w:tcPr>
            <w:tcW w:w="3140" w:type="dxa"/>
            <w:gridSpan w:val="3"/>
            <w:tcBorders>
              <w:top w:val="single" w:color="auto" w:sz="4" w:space="0"/>
              <w:left w:val="nil"/>
              <w:bottom w:val="single" w:color="auto" w:sz="4" w:space="0"/>
              <w:right w:val="single" w:color="000000"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4728.66</w:t>
            </w:r>
          </w:p>
        </w:tc>
        <w:tc>
          <w:tcPr>
            <w:tcW w:w="3047" w:type="dxa"/>
            <w:gridSpan w:val="3"/>
            <w:tcBorders>
              <w:top w:val="single" w:color="auto" w:sz="4" w:space="0"/>
              <w:left w:val="nil"/>
              <w:bottom w:val="single" w:color="auto" w:sz="4" w:space="0"/>
              <w:right w:val="single" w:color="000000"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9361.22</w:t>
            </w:r>
          </w:p>
        </w:tc>
        <w:tc>
          <w:tcPr>
            <w:tcW w:w="1239"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14089.88</w:t>
            </w:r>
          </w:p>
        </w:tc>
      </w:tr>
      <w:tr>
        <w:tblPrEx>
          <w:tblCellMar>
            <w:top w:w="0" w:type="dxa"/>
            <w:left w:w="108" w:type="dxa"/>
            <w:bottom w:w="0" w:type="dxa"/>
            <w:right w:w="108" w:type="dxa"/>
          </w:tblCellMar>
        </w:tblPrEx>
        <w:trPr>
          <w:trHeight w:val="499" w:hRule="atLeast"/>
        </w:trPr>
        <w:tc>
          <w:tcPr>
            <w:tcW w:w="1096"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4月份</w:t>
            </w:r>
          </w:p>
        </w:tc>
        <w:tc>
          <w:tcPr>
            <w:tcW w:w="3140" w:type="dxa"/>
            <w:gridSpan w:val="3"/>
            <w:tcBorders>
              <w:top w:val="single" w:color="auto" w:sz="4" w:space="0"/>
              <w:left w:val="nil"/>
              <w:bottom w:val="single" w:color="auto" w:sz="4" w:space="0"/>
              <w:right w:val="single" w:color="000000"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5889.86</w:t>
            </w:r>
          </w:p>
        </w:tc>
        <w:tc>
          <w:tcPr>
            <w:tcW w:w="3047" w:type="dxa"/>
            <w:gridSpan w:val="3"/>
            <w:tcBorders>
              <w:top w:val="single" w:color="auto" w:sz="4" w:space="0"/>
              <w:left w:val="nil"/>
              <w:bottom w:val="single" w:color="auto" w:sz="4" w:space="0"/>
              <w:right w:val="single" w:color="000000"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7722.43</w:t>
            </w:r>
          </w:p>
        </w:tc>
        <w:tc>
          <w:tcPr>
            <w:tcW w:w="1239"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13612.29</w:t>
            </w:r>
          </w:p>
        </w:tc>
      </w:tr>
      <w:tr>
        <w:tblPrEx>
          <w:tblCellMar>
            <w:top w:w="0" w:type="dxa"/>
            <w:left w:w="108" w:type="dxa"/>
            <w:bottom w:w="0" w:type="dxa"/>
            <w:right w:w="108" w:type="dxa"/>
          </w:tblCellMar>
        </w:tblPrEx>
        <w:trPr>
          <w:trHeight w:val="499" w:hRule="atLeast"/>
        </w:trPr>
        <w:tc>
          <w:tcPr>
            <w:tcW w:w="1096"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5月份</w:t>
            </w:r>
          </w:p>
        </w:tc>
        <w:tc>
          <w:tcPr>
            <w:tcW w:w="1110"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1450.06</w:t>
            </w:r>
          </w:p>
        </w:tc>
        <w:tc>
          <w:tcPr>
            <w:tcW w:w="1015"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1230.76</w:t>
            </w:r>
          </w:p>
        </w:tc>
        <w:tc>
          <w:tcPr>
            <w:tcW w:w="1015"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2139.74</w:t>
            </w:r>
          </w:p>
        </w:tc>
        <w:tc>
          <w:tcPr>
            <w:tcW w:w="1015"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3489.62</w:t>
            </w:r>
          </w:p>
        </w:tc>
        <w:tc>
          <w:tcPr>
            <w:tcW w:w="1015"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3462.55</w:t>
            </w:r>
          </w:p>
        </w:tc>
        <w:tc>
          <w:tcPr>
            <w:tcW w:w="1017"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2805.74</w:t>
            </w:r>
          </w:p>
        </w:tc>
        <w:tc>
          <w:tcPr>
            <w:tcW w:w="1239"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14578.47</w:t>
            </w:r>
          </w:p>
        </w:tc>
      </w:tr>
      <w:tr>
        <w:tblPrEx>
          <w:tblCellMar>
            <w:top w:w="0" w:type="dxa"/>
            <w:left w:w="108" w:type="dxa"/>
            <w:bottom w:w="0" w:type="dxa"/>
            <w:right w:w="108" w:type="dxa"/>
          </w:tblCellMar>
        </w:tblPrEx>
        <w:trPr>
          <w:trHeight w:val="499" w:hRule="atLeast"/>
        </w:trPr>
        <w:tc>
          <w:tcPr>
            <w:tcW w:w="1096"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6月份</w:t>
            </w:r>
          </w:p>
        </w:tc>
        <w:tc>
          <w:tcPr>
            <w:tcW w:w="1110"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1286.76</w:t>
            </w:r>
          </w:p>
        </w:tc>
        <w:tc>
          <w:tcPr>
            <w:tcW w:w="1015"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2411.54</w:t>
            </w:r>
          </w:p>
        </w:tc>
        <w:tc>
          <w:tcPr>
            <w:tcW w:w="1015"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1020.70</w:t>
            </w:r>
          </w:p>
        </w:tc>
        <w:tc>
          <w:tcPr>
            <w:tcW w:w="1015"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4237.07</w:t>
            </w:r>
          </w:p>
        </w:tc>
        <w:tc>
          <w:tcPr>
            <w:tcW w:w="1015"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2973.61</w:t>
            </w:r>
          </w:p>
        </w:tc>
        <w:tc>
          <w:tcPr>
            <w:tcW w:w="1017"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1505.22</w:t>
            </w:r>
          </w:p>
        </w:tc>
        <w:tc>
          <w:tcPr>
            <w:tcW w:w="1239"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13434.90</w:t>
            </w:r>
          </w:p>
        </w:tc>
      </w:tr>
      <w:tr>
        <w:tblPrEx>
          <w:tblCellMar>
            <w:top w:w="0" w:type="dxa"/>
            <w:left w:w="108" w:type="dxa"/>
            <w:bottom w:w="0" w:type="dxa"/>
            <w:right w:w="108" w:type="dxa"/>
          </w:tblCellMar>
        </w:tblPrEx>
        <w:trPr>
          <w:trHeight w:val="499" w:hRule="atLeast"/>
        </w:trPr>
        <w:tc>
          <w:tcPr>
            <w:tcW w:w="1096"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7月份</w:t>
            </w:r>
          </w:p>
        </w:tc>
        <w:tc>
          <w:tcPr>
            <w:tcW w:w="1110"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940.96</w:t>
            </w:r>
          </w:p>
        </w:tc>
        <w:tc>
          <w:tcPr>
            <w:tcW w:w="1015"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2613.74</w:t>
            </w:r>
          </w:p>
        </w:tc>
        <w:tc>
          <w:tcPr>
            <w:tcW w:w="1015"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971.12</w:t>
            </w:r>
          </w:p>
        </w:tc>
        <w:tc>
          <w:tcPr>
            <w:tcW w:w="1015"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2966.36</w:t>
            </w:r>
          </w:p>
        </w:tc>
        <w:tc>
          <w:tcPr>
            <w:tcW w:w="1015"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3919.49</w:t>
            </w:r>
          </w:p>
        </w:tc>
        <w:tc>
          <w:tcPr>
            <w:tcW w:w="1017"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1986.21</w:t>
            </w:r>
          </w:p>
        </w:tc>
        <w:tc>
          <w:tcPr>
            <w:tcW w:w="1239"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13397.88</w:t>
            </w:r>
          </w:p>
        </w:tc>
      </w:tr>
      <w:tr>
        <w:tblPrEx>
          <w:tblCellMar>
            <w:top w:w="0" w:type="dxa"/>
            <w:left w:w="108" w:type="dxa"/>
            <w:bottom w:w="0" w:type="dxa"/>
            <w:right w:w="108" w:type="dxa"/>
          </w:tblCellMar>
        </w:tblPrEx>
        <w:trPr>
          <w:trHeight w:val="499" w:hRule="atLeast"/>
        </w:trPr>
        <w:tc>
          <w:tcPr>
            <w:tcW w:w="1096"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8月份</w:t>
            </w:r>
          </w:p>
        </w:tc>
        <w:tc>
          <w:tcPr>
            <w:tcW w:w="1110"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733.56</w:t>
            </w:r>
          </w:p>
        </w:tc>
        <w:tc>
          <w:tcPr>
            <w:tcW w:w="1015"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1830.06</w:t>
            </w:r>
          </w:p>
        </w:tc>
        <w:tc>
          <w:tcPr>
            <w:tcW w:w="1015"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770.00</w:t>
            </w:r>
          </w:p>
        </w:tc>
        <w:tc>
          <w:tcPr>
            <w:tcW w:w="1015"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2911.88</w:t>
            </w:r>
          </w:p>
        </w:tc>
        <w:tc>
          <w:tcPr>
            <w:tcW w:w="1015"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4554.99</w:t>
            </w:r>
          </w:p>
        </w:tc>
        <w:tc>
          <w:tcPr>
            <w:tcW w:w="1017"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3196.68</w:t>
            </w:r>
          </w:p>
        </w:tc>
        <w:tc>
          <w:tcPr>
            <w:tcW w:w="1239"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13997.17</w:t>
            </w:r>
          </w:p>
        </w:tc>
      </w:tr>
      <w:tr>
        <w:tblPrEx>
          <w:tblCellMar>
            <w:top w:w="0" w:type="dxa"/>
            <w:left w:w="108" w:type="dxa"/>
            <w:bottom w:w="0" w:type="dxa"/>
            <w:right w:w="108" w:type="dxa"/>
          </w:tblCellMar>
        </w:tblPrEx>
        <w:trPr>
          <w:trHeight w:val="499" w:hRule="atLeast"/>
        </w:trPr>
        <w:tc>
          <w:tcPr>
            <w:tcW w:w="1096"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9月份</w:t>
            </w:r>
          </w:p>
        </w:tc>
        <w:tc>
          <w:tcPr>
            <w:tcW w:w="1110"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750.18</w:t>
            </w:r>
          </w:p>
        </w:tc>
        <w:tc>
          <w:tcPr>
            <w:tcW w:w="1015"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1903.60</w:t>
            </w:r>
          </w:p>
        </w:tc>
        <w:tc>
          <w:tcPr>
            <w:tcW w:w="1015"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696.74</w:t>
            </w:r>
          </w:p>
        </w:tc>
        <w:tc>
          <w:tcPr>
            <w:tcW w:w="1015"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3033.38</w:t>
            </w:r>
          </w:p>
        </w:tc>
        <w:tc>
          <w:tcPr>
            <w:tcW w:w="1015"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3920.73</w:t>
            </w:r>
          </w:p>
        </w:tc>
        <w:tc>
          <w:tcPr>
            <w:tcW w:w="1017"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3036.69</w:t>
            </w:r>
          </w:p>
        </w:tc>
        <w:tc>
          <w:tcPr>
            <w:tcW w:w="1239"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13341.32</w:t>
            </w:r>
          </w:p>
        </w:tc>
      </w:tr>
      <w:tr>
        <w:tblPrEx>
          <w:tblCellMar>
            <w:top w:w="0" w:type="dxa"/>
            <w:left w:w="108" w:type="dxa"/>
            <w:bottom w:w="0" w:type="dxa"/>
            <w:right w:w="108" w:type="dxa"/>
          </w:tblCellMar>
        </w:tblPrEx>
        <w:trPr>
          <w:trHeight w:val="499" w:hRule="atLeast"/>
        </w:trPr>
        <w:tc>
          <w:tcPr>
            <w:tcW w:w="1096"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10月份</w:t>
            </w:r>
          </w:p>
        </w:tc>
        <w:tc>
          <w:tcPr>
            <w:tcW w:w="1110"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349.36</w:t>
            </w:r>
          </w:p>
        </w:tc>
        <w:tc>
          <w:tcPr>
            <w:tcW w:w="1015"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2173.36</w:t>
            </w:r>
          </w:p>
        </w:tc>
        <w:tc>
          <w:tcPr>
            <w:tcW w:w="1015"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591.76</w:t>
            </w:r>
          </w:p>
        </w:tc>
        <w:tc>
          <w:tcPr>
            <w:tcW w:w="1015"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4131.82</w:t>
            </w:r>
          </w:p>
        </w:tc>
        <w:tc>
          <w:tcPr>
            <w:tcW w:w="1015"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3611.60</w:t>
            </w:r>
          </w:p>
        </w:tc>
        <w:tc>
          <w:tcPr>
            <w:tcW w:w="1017"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3239.54</w:t>
            </w:r>
          </w:p>
        </w:tc>
        <w:tc>
          <w:tcPr>
            <w:tcW w:w="1239"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14097.44</w:t>
            </w:r>
          </w:p>
        </w:tc>
      </w:tr>
      <w:tr>
        <w:tblPrEx>
          <w:tblCellMar>
            <w:top w:w="0" w:type="dxa"/>
            <w:left w:w="108" w:type="dxa"/>
            <w:bottom w:w="0" w:type="dxa"/>
            <w:right w:w="108" w:type="dxa"/>
          </w:tblCellMar>
        </w:tblPrEx>
        <w:trPr>
          <w:trHeight w:val="499" w:hRule="atLeast"/>
        </w:trPr>
        <w:tc>
          <w:tcPr>
            <w:tcW w:w="1096"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11月份</w:t>
            </w:r>
          </w:p>
        </w:tc>
        <w:tc>
          <w:tcPr>
            <w:tcW w:w="1110"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0.00</w:t>
            </w:r>
          </w:p>
        </w:tc>
        <w:tc>
          <w:tcPr>
            <w:tcW w:w="1015"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1831.18</w:t>
            </w:r>
          </w:p>
        </w:tc>
        <w:tc>
          <w:tcPr>
            <w:tcW w:w="1015"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2293.36</w:t>
            </w:r>
          </w:p>
        </w:tc>
        <w:tc>
          <w:tcPr>
            <w:tcW w:w="1015"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3860.33</w:t>
            </w:r>
          </w:p>
        </w:tc>
        <w:tc>
          <w:tcPr>
            <w:tcW w:w="1015"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1111.49</w:t>
            </w:r>
          </w:p>
        </w:tc>
        <w:tc>
          <w:tcPr>
            <w:tcW w:w="1017"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3564.70</w:t>
            </w:r>
          </w:p>
        </w:tc>
        <w:tc>
          <w:tcPr>
            <w:tcW w:w="1239"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12661.06</w:t>
            </w:r>
          </w:p>
        </w:tc>
      </w:tr>
      <w:tr>
        <w:tblPrEx>
          <w:tblCellMar>
            <w:top w:w="0" w:type="dxa"/>
            <w:left w:w="108" w:type="dxa"/>
            <w:bottom w:w="0" w:type="dxa"/>
            <w:right w:w="108" w:type="dxa"/>
          </w:tblCellMar>
        </w:tblPrEx>
        <w:trPr>
          <w:trHeight w:val="499" w:hRule="atLeast"/>
        </w:trPr>
        <w:tc>
          <w:tcPr>
            <w:tcW w:w="1096"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12月份</w:t>
            </w:r>
          </w:p>
        </w:tc>
        <w:tc>
          <w:tcPr>
            <w:tcW w:w="1110"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161.28</w:t>
            </w:r>
          </w:p>
        </w:tc>
        <w:tc>
          <w:tcPr>
            <w:tcW w:w="1015"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1553.58</w:t>
            </w:r>
          </w:p>
        </w:tc>
        <w:tc>
          <w:tcPr>
            <w:tcW w:w="1015"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2865.04</w:t>
            </w:r>
          </w:p>
        </w:tc>
        <w:tc>
          <w:tcPr>
            <w:tcW w:w="1015"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4420.87</w:t>
            </w:r>
          </w:p>
        </w:tc>
        <w:tc>
          <w:tcPr>
            <w:tcW w:w="1015"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1496.02</w:t>
            </w:r>
          </w:p>
        </w:tc>
        <w:tc>
          <w:tcPr>
            <w:tcW w:w="1017"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3645.06</w:t>
            </w:r>
          </w:p>
        </w:tc>
        <w:tc>
          <w:tcPr>
            <w:tcW w:w="1239"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14141.85</w:t>
            </w:r>
          </w:p>
        </w:tc>
      </w:tr>
      <w:tr>
        <w:tblPrEx>
          <w:tblCellMar>
            <w:top w:w="0" w:type="dxa"/>
            <w:left w:w="108" w:type="dxa"/>
            <w:bottom w:w="0" w:type="dxa"/>
            <w:right w:w="108" w:type="dxa"/>
          </w:tblCellMar>
        </w:tblPrEx>
        <w:trPr>
          <w:trHeight w:val="495" w:hRule="atLeast"/>
        </w:trPr>
        <w:tc>
          <w:tcPr>
            <w:tcW w:w="1096"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年度总计</w:t>
            </w:r>
          </w:p>
        </w:tc>
        <w:tc>
          <w:tcPr>
            <w:tcW w:w="3140" w:type="dxa"/>
            <w:gridSpan w:val="3"/>
            <w:tcBorders>
              <w:top w:val="single" w:color="auto" w:sz="4" w:space="0"/>
              <w:left w:val="nil"/>
              <w:bottom w:val="single" w:color="auto" w:sz="4" w:space="0"/>
              <w:right w:val="single" w:color="000000"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58261.84</w:t>
            </w:r>
          </w:p>
        </w:tc>
        <w:tc>
          <w:tcPr>
            <w:tcW w:w="3047" w:type="dxa"/>
            <w:gridSpan w:val="3"/>
            <w:tcBorders>
              <w:top w:val="single" w:color="auto" w:sz="4" w:space="0"/>
              <w:left w:val="nil"/>
              <w:bottom w:val="single" w:color="auto" w:sz="4" w:space="0"/>
              <w:right w:val="single" w:color="000000"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111366.35</w:t>
            </w:r>
          </w:p>
        </w:tc>
        <w:tc>
          <w:tcPr>
            <w:tcW w:w="1239"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color w:val="auto"/>
                <w:kern w:val="0"/>
                <w:sz w:val="22"/>
                <w:highlight w:val="none"/>
              </w:rPr>
            </w:pPr>
            <w:r>
              <w:rPr>
                <w:rFonts w:ascii="Times New Roman" w:hAnsi="Times New Roman"/>
                <w:color w:val="auto"/>
                <w:kern w:val="0"/>
                <w:sz w:val="22"/>
                <w:highlight w:val="none"/>
              </w:rPr>
              <w:t>169628.19</w:t>
            </w:r>
          </w:p>
        </w:tc>
      </w:tr>
    </w:tbl>
    <w:p>
      <w:pPr>
        <w:spacing w:line="360" w:lineRule="auto"/>
        <w:rPr>
          <w:rFonts w:ascii="Times New Roman" w:hAnsi="Times New Roman"/>
          <w:color w:val="auto"/>
          <w:sz w:val="24"/>
          <w:highlight w:val="none"/>
        </w:rPr>
      </w:pPr>
    </w:p>
    <w:p>
      <w:pPr>
        <w:pStyle w:val="6"/>
        <w:rPr>
          <w:rFonts w:ascii="Times New Roman" w:hAnsi="Times New Roman"/>
          <w:color w:val="auto"/>
          <w:highlight w:val="none"/>
        </w:rPr>
      </w:pPr>
      <w:bookmarkStart w:id="490" w:name="_Toc60776420"/>
      <w:bookmarkStart w:id="491" w:name="_Toc60499729"/>
      <w:bookmarkStart w:id="492" w:name="_Toc19600"/>
      <w:bookmarkStart w:id="493" w:name="_Toc54451093"/>
      <w:r>
        <w:rPr>
          <w:rFonts w:ascii="Times New Roman" w:hAnsi="Times New Roman"/>
          <w:color w:val="auto"/>
          <w:highlight w:val="none"/>
        </w:rPr>
        <w:t>40、公共供水用水普及率</w:t>
      </w:r>
      <w:bookmarkEnd w:id="490"/>
      <w:bookmarkEnd w:id="491"/>
      <w:bookmarkEnd w:id="492"/>
      <w:bookmarkEnd w:id="493"/>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指标要求：≥95%。</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计算方法：供水普及率是指城市供水覆盖范围内的人口数目与城市总人口的比率。</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调查结果：海丰县现有供水公司（水厂）2个，实际日供水能力18万吨，供水管网基本完善，已经形成环状供水，目前城市供水管道建设满足城市发展的要求，2019年县城公共用水普及率达100%，</w:t>
      </w:r>
      <w:r>
        <w:rPr>
          <w:rFonts w:ascii="Times New Roman" w:hAnsi="Times New Roman"/>
          <w:b/>
          <w:color w:val="auto"/>
          <w:sz w:val="24"/>
          <w:highlight w:val="none"/>
        </w:rPr>
        <w:t>已达标</w:t>
      </w:r>
      <w:r>
        <w:rPr>
          <w:rFonts w:ascii="Times New Roman" w:hAnsi="Times New Roman"/>
          <w:color w:val="auto"/>
          <w:sz w:val="24"/>
          <w:highlight w:val="none"/>
        </w:rPr>
        <w:t>。</w:t>
      </w:r>
    </w:p>
    <w:p>
      <w:pPr>
        <w:spacing w:line="360" w:lineRule="auto"/>
        <w:jc w:val="center"/>
        <w:rPr>
          <w:rFonts w:ascii="Times New Roman" w:hAnsi="Times New Roman"/>
          <w:b/>
          <w:color w:val="auto"/>
          <w:sz w:val="24"/>
          <w:highlight w:val="none"/>
        </w:rPr>
      </w:pPr>
      <w:r>
        <w:rPr>
          <w:rFonts w:ascii="Times New Roman" w:hAnsi="Times New Roman"/>
          <w:b/>
          <w:color w:val="auto"/>
          <w:sz w:val="24"/>
          <w:highlight w:val="none"/>
        </w:rPr>
        <w:t>表5-</w:t>
      </w:r>
      <w:r>
        <w:rPr>
          <w:rFonts w:hint="eastAsia" w:ascii="Times New Roman" w:hAnsi="Times New Roman"/>
          <w:b/>
          <w:color w:val="auto"/>
          <w:sz w:val="24"/>
          <w:highlight w:val="none"/>
        </w:rPr>
        <w:t>5</w:t>
      </w:r>
      <w:r>
        <w:rPr>
          <w:rFonts w:ascii="Times New Roman" w:hAnsi="Times New Roman"/>
          <w:b/>
          <w:color w:val="auto"/>
          <w:sz w:val="24"/>
          <w:highlight w:val="none"/>
        </w:rPr>
        <w:t xml:space="preserve"> 海丰县县城公共供水普及率统计表</w:t>
      </w:r>
    </w:p>
    <w:tbl>
      <w:tblPr>
        <w:tblStyle w:val="20"/>
        <w:tblW w:w="8312" w:type="dxa"/>
        <w:jc w:val="center"/>
        <w:tblLayout w:type="fixed"/>
        <w:tblCellMar>
          <w:top w:w="0" w:type="dxa"/>
          <w:left w:w="0" w:type="dxa"/>
          <w:bottom w:w="0" w:type="dxa"/>
          <w:right w:w="0" w:type="dxa"/>
        </w:tblCellMar>
      </w:tblPr>
      <w:tblGrid>
        <w:gridCol w:w="647"/>
        <w:gridCol w:w="905"/>
        <w:gridCol w:w="1352"/>
        <w:gridCol w:w="1352"/>
        <w:gridCol w:w="1352"/>
        <w:gridCol w:w="1352"/>
        <w:gridCol w:w="1352"/>
      </w:tblGrid>
      <w:tr>
        <w:tblPrEx>
          <w:tblCellMar>
            <w:top w:w="0" w:type="dxa"/>
            <w:left w:w="0" w:type="dxa"/>
            <w:bottom w:w="0" w:type="dxa"/>
            <w:right w:w="0" w:type="dxa"/>
          </w:tblCellMar>
        </w:tblPrEx>
        <w:trPr>
          <w:trHeight w:val="975" w:hRule="exact"/>
          <w:jc w:val="center"/>
        </w:trPr>
        <w:tc>
          <w:tcPr>
            <w:tcW w:w="647"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color w:val="auto"/>
                <w:highlight w:val="none"/>
              </w:rPr>
            </w:pPr>
            <w:r>
              <w:rPr>
                <w:rFonts w:ascii="Times New Roman" w:hAnsi="Times New Roman"/>
                <w:b/>
                <w:color w:val="auto"/>
                <w:highlight w:val="none"/>
              </w:rPr>
              <w:t>序号</w:t>
            </w:r>
          </w:p>
        </w:tc>
        <w:tc>
          <w:tcPr>
            <w:tcW w:w="905"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color w:val="auto"/>
                <w:highlight w:val="none"/>
              </w:rPr>
            </w:pPr>
            <w:r>
              <w:rPr>
                <w:rFonts w:ascii="Times New Roman" w:hAnsi="Times New Roman"/>
                <w:b/>
                <w:color w:val="auto"/>
                <w:highlight w:val="none"/>
              </w:rPr>
              <w:t>行政区</w:t>
            </w:r>
          </w:p>
        </w:tc>
        <w:tc>
          <w:tcPr>
            <w:tcW w:w="1352"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color w:val="auto"/>
                <w:highlight w:val="none"/>
              </w:rPr>
            </w:pPr>
            <w:r>
              <w:rPr>
                <w:rFonts w:ascii="Times New Roman" w:hAnsi="Times New Roman"/>
                <w:b/>
                <w:color w:val="auto"/>
                <w:highlight w:val="none"/>
              </w:rPr>
              <w:t>供水公司数量</w:t>
            </w:r>
          </w:p>
          <w:p>
            <w:pPr>
              <w:jc w:val="center"/>
              <w:rPr>
                <w:rFonts w:ascii="Times New Roman" w:hAnsi="Times New Roman"/>
                <w:b/>
                <w:color w:val="auto"/>
                <w:highlight w:val="none"/>
              </w:rPr>
            </w:pPr>
            <w:r>
              <w:rPr>
                <w:rFonts w:ascii="Times New Roman" w:hAnsi="Times New Roman"/>
                <w:b/>
                <w:color w:val="auto"/>
                <w:highlight w:val="none"/>
              </w:rPr>
              <w:t>（个）</w:t>
            </w:r>
          </w:p>
        </w:tc>
        <w:tc>
          <w:tcPr>
            <w:tcW w:w="1352"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color w:val="auto"/>
                <w:highlight w:val="none"/>
              </w:rPr>
            </w:pPr>
            <w:r>
              <w:rPr>
                <w:rFonts w:ascii="Times New Roman" w:hAnsi="Times New Roman"/>
                <w:b/>
                <w:color w:val="auto"/>
                <w:highlight w:val="none"/>
              </w:rPr>
              <w:t>日供水能力（万吨）</w:t>
            </w:r>
          </w:p>
        </w:tc>
        <w:tc>
          <w:tcPr>
            <w:tcW w:w="1352"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color w:val="auto"/>
                <w:highlight w:val="none"/>
              </w:rPr>
            </w:pPr>
            <w:r>
              <w:rPr>
                <w:rFonts w:ascii="Times New Roman" w:hAnsi="Times New Roman"/>
                <w:b/>
                <w:color w:val="auto"/>
                <w:highlight w:val="none"/>
              </w:rPr>
              <w:t>供水覆盖人口（万人）</w:t>
            </w:r>
          </w:p>
        </w:tc>
        <w:tc>
          <w:tcPr>
            <w:tcW w:w="1352"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color w:val="auto"/>
                <w:highlight w:val="none"/>
              </w:rPr>
            </w:pPr>
            <w:r>
              <w:rPr>
                <w:rFonts w:ascii="Times New Roman" w:hAnsi="Times New Roman"/>
                <w:b/>
                <w:color w:val="auto"/>
                <w:highlight w:val="none"/>
              </w:rPr>
              <w:t>县城建成区总人口（万人）</w:t>
            </w:r>
          </w:p>
        </w:tc>
        <w:tc>
          <w:tcPr>
            <w:tcW w:w="1352"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color w:val="auto"/>
                <w:highlight w:val="none"/>
              </w:rPr>
            </w:pPr>
            <w:r>
              <w:rPr>
                <w:rFonts w:ascii="Times New Roman" w:hAnsi="Times New Roman"/>
                <w:b/>
                <w:color w:val="auto"/>
                <w:highlight w:val="none"/>
              </w:rPr>
              <w:t>公共供水用水普及率（%）</w:t>
            </w:r>
          </w:p>
        </w:tc>
      </w:tr>
      <w:tr>
        <w:tblPrEx>
          <w:tblCellMar>
            <w:top w:w="0" w:type="dxa"/>
            <w:left w:w="0" w:type="dxa"/>
            <w:bottom w:w="0" w:type="dxa"/>
            <w:right w:w="0" w:type="dxa"/>
          </w:tblCellMar>
        </w:tblPrEx>
        <w:trPr>
          <w:trHeight w:val="502" w:hRule="exact"/>
          <w:jc w:val="center"/>
        </w:trPr>
        <w:tc>
          <w:tcPr>
            <w:tcW w:w="647"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1</w:t>
            </w:r>
          </w:p>
        </w:tc>
        <w:tc>
          <w:tcPr>
            <w:tcW w:w="905"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海丰县</w:t>
            </w:r>
          </w:p>
        </w:tc>
        <w:tc>
          <w:tcPr>
            <w:tcW w:w="1352"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2</w:t>
            </w:r>
          </w:p>
        </w:tc>
        <w:tc>
          <w:tcPr>
            <w:tcW w:w="1352"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18</w:t>
            </w:r>
          </w:p>
        </w:tc>
        <w:tc>
          <w:tcPr>
            <w:tcW w:w="1352"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2</w:t>
            </w:r>
            <w:r>
              <w:rPr>
                <w:rFonts w:hint="eastAsia" w:ascii="Times New Roman" w:hAnsi="Times New Roman"/>
                <w:color w:val="auto"/>
                <w:highlight w:val="none"/>
              </w:rPr>
              <w:t>8</w:t>
            </w:r>
            <w:r>
              <w:rPr>
                <w:rFonts w:ascii="Times New Roman" w:hAnsi="Times New Roman"/>
                <w:color w:val="auto"/>
                <w:highlight w:val="none"/>
              </w:rPr>
              <w:t>.73</w:t>
            </w:r>
          </w:p>
        </w:tc>
        <w:tc>
          <w:tcPr>
            <w:tcW w:w="1352"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2</w:t>
            </w:r>
            <w:r>
              <w:rPr>
                <w:rFonts w:hint="eastAsia" w:ascii="Times New Roman" w:hAnsi="Times New Roman"/>
                <w:color w:val="auto"/>
                <w:highlight w:val="none"/>
              </w:rPr>
              <w:t>8</w:t>
            </w:r>
            <w:r>
              <w:rPr>
                <w:rFonts w:ascii="Times New Roman" w:hAnsi="Times New Roman"/>
                <w:color w:val="auto"/>
                <w:highlight w:val="none"/>
              </w:rPr>
              <w:t>.73</w:t>
            </w:r>
          </w:p>
        </w:tc>
        <w:tc>
          <w:tcPr>
            <w:tcW w:w="1352"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100</w:t>
            </w:r>
          </w:p>
        </w:tc>
      </w:tr>
    </w:tbl>
    <w:p>
      <w:pPr>
        <w:rPr>
          <w:rFonts w:ascii="Times New Roman" w:hAnsi="Times New Roman"/>
          <w:color w:val="auto"/>
          <w:highlight w:val="none"/>
        </w:rPr>
      </w:pPr>
      <w:bookmarkStart w:id="494" w:name="_Toc54451094"/>
    </w:p>
    <w:p>
      <w:pPr>
        <w:pStyle w:val="6"/>
        <w:rPr>
          <w:rFonts w:ascii="Times New Roman" w:hAnsi="Times New Roman"/>
          <w:color w:val="auto"/>
          <w:highlight w:val="none"/>
        </w:rPr>
      </w:pPr>
      <w:bookmarkStart w:id="495" w:name="_Toc60499730"/>
      <w:bookmarkStart w:id="496" w:name="_Toc60776421"/>
      <w:bookmarkStart w:id="497" w:name="_Toc22029"/>
      <w:r>
        <w:rPr>
          <w:rFonts w:ascii="Times New Roman" w:hAnsi="Times New Roman"/>
          <w:color w:val="auto"/>
          <w:highlight w:val="none"/>
        </w:rPr>
        <w:t>41、道路完好率</w:t>
      </w:r>
      <w:bookmarkEnd w:id="494"/>
      <w:bookmarkEnd w:id="495"/>
      <w:bookmarkEnd w:id="496"/>
      <w:bookmarkEnd w:id="497"/>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指标要求：≥95%。</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计算方法：城市道路完好率指城市建成区内路面完好的道路面积与城市道路总面积的比率。道路路面完好是指路面没有破损，具有良好的稳定性和足够的强度，并满足平整、抗滑和排水等要求。</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调查结果：建成区共有主次干道</w:t>
      </w:r>
      <w:r>
        <w:rPr>
          <w:rFonts w:hint="eastAsia" w:ascii="Times New Roman" w:hAnsi="Times New Roman"/>
          <w:color w:val="auto"/>
          <w:sz w:val="24"/>
          <w:highlight w:val="none"/>
        </w:rPr>
        <w:t>105</w:t>
      </w:r>
      <w:r>
        <w:rPr>
          <w:rFonts w:ascii="Times New Roman" w:hAnsi="Times New Roman"/>
          <w:color w:val="auto"/>
          <w:sz w:val="24"/>
          <w:highlight w:val="none"/>
        </w:rPr>
        <w:t>条，道路总面积3023229 m</w:t>
      </w:r>
      <w:r>
        <w:rPr>
          <w:rFonts w:ascii="Times New Roman" w:hAnsi="Times New Roman"/>
          <w:color w:val="auto"/>
          <w:sz w:val="24"/>
          <w:highlight w:val="none"/>
          <w:vertAlign w:val="superscript"/>
        </w:rPr>
        <w:t>2</w:t>
      </w:r>
      <w:r>
        <w:rPr>
          <w:rFonts w:ascii="Times New Roman" w:hAnsi="Times New Roman"/>
          <w:color w:val="auto"/>
          <w:sz w:val="24"/>
          <w:highlight w:val="none"/>
        </w:rPr>
        <w:t>，其中路面完好的道路面积3023229 m</w:t>
      </w:r>
      <w:r>
        <w:rPr>
          <w:rFonts w:ascii="Times New Roman" w:hAnsi="Times New Roman"/>
          <w:color w:val="auto"/>
          <w:sz w:val="24"/>
          <w:highlight w:val="none"/>
          <w:vertAlign w:val="superscript"/>
        </w:rPr>
        <w:t>2</w:t>
      </w:r>
      <w:r>
        <w:rPr>
          <w:rFonts w:ascii="Times New Roman" w:hAnsi="Times New Roman"/>
          <w:color w:val="auto"/>
          <w:sz w:val="24"/>
          <w:highlight w:val="none"/>
        </w:rPr>
        <w:t>，道路完好率100%，</w:t>
      </w:r>
      <w:r>
        <w:rPr>
          <w:rFonts w:ascii="Times New Roman" w:hAnsi="Times New Roman"/>
          <w:b/>
          <w:color w:val="auto"/>
          <w:sz w:val="24"/>
          <w:highlight w:val="none"/>
        </w:rPr>
        <w:t>已达标</w:t>
      </w:r>
      <w:r>
        <w:rPr>
          <w:rFonts w:ascii="Times New Roman" w:hAnsi="Times New Roman"/>
          <w:color w:val="auto"/>
          <w:sz w:val="24"/>
          <w:highlight w:val="none"/>
        </w:rPr>
        <w:t>。</w:t>
      </w:r>
    </w:p>
    <w:p>
      <w:pPr>
        <w:spacing w:line="360" w:lineRule="auto"/>
        <w:jc w:val="center"/>
        <w:rPr>
          <w:rFonts w:ascii="Times New Roman" w:hAnsi="Times New Roman"/>
          <w:color w:val="auto"/>
          <w:sz w:val="24"/>
          <w:highlight w:val="none"/>
        </w:rPr>
      </w:pPr>
      <w:r>
        <w:rPr>
          <w:rFonts w:ascii="Times New Roman" w:hAnsi="Times New Roman"/>
          <w:b/>
          <w:color w:val="auto"/>
          <w:sz w:val="24"/>
          <w:highlight w:val="none"/>
        </w:rPr>
        <w:t>表5-</w:t>
      </w:r>
      <w:r>
        <w:rPr>
          <w:rFonts w:hint="eastAsia" w:ascii="Times New Roman" w:hAnsi="Times New Roman"/>
          <w:b/>
          <w:color w:val="auto"/>
          <w:sz w:val="24"/>
          <w:highlight w:val="none"/>
        </w:rPr>
        <w:t>6</w:t>
      </w:r>
      <w:r>
        <w:rPr>
          <w:rFonts w:ascii="Times New Roman" w:hAnsi="Times New Roman"/>
          <w:b/>
          <w:color w:val="auto"/>
          <w:sz w:val="24"/>
          <w:highlight w:val="none"/>
        </w:rPr>
        <w:t xml:space="preserve"> 海丰县建成区道路完好率统计表</w:t>
      </w:r>
    </w:p>
    <w:tbl>
      <w:tblPr>
        <w:tblStyle w:val="20"/>
        <w:tblW w:w="8314" w:type="dxa"/>
        <w:tblInd w:w="0" w:type="dxa"/>
        <w:tblLayout w:type="fixed"/>
        <w:tblCellMar>
          <w:top w:w="0" w:type="dxa"/>
          <w:left w:w="0" w:type="dxa"/>
          <w:bottom w:w="0" w:type="dxa"/>
          <w:right w:w="0" w:type="dxa"/>
        </w:tblCellMar>
      </w:tblPr>
      <w:tblGrid>
        <w:gridCol w:w="1510"/>
        <w:gridCol w:w="1560"/>
        <w:gridCol w:w="1558"/>
        <w:gridCol w:w="1558"/>
        <w:gridCol w:w="2128"/>
      </w:tblGrid>
      <w:tr>
        <w:tblPrEx>
          <w:tblCellMar>
            <w:top w:w="0" w:type="dxa"/>
            <w:left w:w="0" w:type="dxa"/>
            <w:bottom w:w="0" w:type="dxa"/>
            <w:right w:w="0" w:type="dxa"/>
          </w:tblCellMar>
        </w:tblPrEx>
        <w:trPr>
          <w:trHeight w:val="1000" w:hRule="exact"/>
        </w:trPr>
        <w:tc>
          <w:tcPr>
            <w:tcW w:w="1510"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color w:val="auto"/>
                <w:highlight w:val="none"/>
              </w:rPr>
            </w:pPr>
            <w:r>
              <w:rPr>
                <w:rFonts w:ascii="Times New Roman" w:hAnsi="Times New Roman"/>
                <w:b/>
                <w:color w:val="auto"/>
                <w:highlight w:val="none"/>
              </w:rPr>
              <w:t>序号</w:t>
            </w:r>
          </w:p>
        </w:tc>
        <w:tc>
          <w:tcPr>
            <w:tcW w:w="1560"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color w:val="auto"/>
                <w:highlight w:val="none"/>
              </w:rPr>
            </w:pPr>
            <w:r>
              <w:rPr>
                <w:rFonts w:ascii="Times New Roman" w:hAnsi="Times New Roman"/>
                <w:b/>
                <w:color w:val="auto"/>
                <w:highlight w:val="none"/>
              </w:rPr>
              <w:t>统计单位</w:t>
            </w:r>
          </w:p>
        </w:tc>
        <w:tc>
          <w:tcPr>
            <w:tcW w:w="1558"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color w:val="auto"/>
                <w:highlight w:val="none"/>
              </w:rPr>
            </w:pPr>
            <w:r>
              <w:rPr>
                <w:rFonts w:ascii="Times New Roman" w:hAnsi="Times New Roman"/>
                <w:b/>
                <w:color w:val="auto"/>
                <w:highlight w:val="none"/>
              </w:rPr>
              <w:t>建成区道路总面积（m</w:t>
            </w:r>
            <w:r>
              <w:rPr>
                <w:rFonts w:ascii="Times New Roman" w:hAnsi="Times New Roman"/>
                <w:b/>
                <w:color w:val="auto"/>
                <w:highlight w:val="none"/>
                <w:vertAlign w:val="superscript"/>
              </w:rPr>
              <w:t>2</w:t>
            </w:r>
            <w:r>
              <w:rPr>
                <w:rFonts w:ascii="Times New Roman" w:hAnsi="Times New Roman"/>
                <w:b/>
                <w:color w:val="auto"/>
                <w:highlight w:val="none"/>
              </w:rPr>
              <w:t>）</w:t>
            </w:r>
          </w:p>
        </w:tc>
        <w:tc>
          <w:tcPr>
            <w:tcW w:w="1558"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color w:val="auto"/>
                <w:highlight w:val="none"/>
              </w:rPr>
            </w:pPr>
            <w:r>
              <w:rPr>
                <w:rFonts w:ascii="Times New Roman" w:hAnsi="Times New Roman"/>
                <w:b/>
                <w:color w:val="auto"/>
                <w:highlight w:val="none"/>
              </w:rPr>
              <w:t>路面完好的道路面积（m</w:t>
            </w:r>
            <w:r>
              <w:rPr>
                <w:rFonts w:ascii="Times New Roman" w:hAnsi="Times New Roman"/>
                <w:b/>
                <w:color w:val="auto"/>
                <w:highlight w:val="none"/>
                <w:vertAlign w:val="superscript"/>
              </w:rPr>
              <w:t>2</w:t>
            </w:r>
            <w:r>
              <w:rPr>
                <w:rFonts w:ascii="Times New Roman" w:hAnsi="Times New Roman"/>
                <w:b/>
                <w:color w:val="auto"/>
                <w:highlight w:val="none"/>
              </w:rPr>
              <w:t>）</w:t>
            </w:r>
          </w:p>
        </w:tc>
        <w:tc>
          <w:tcPr>
            <w:tcW w:w="2128"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color w:val="auto"/>
                <w:highlight w:val="none"/>
              </w:rPr>
            </w:pPr>
            <w:r>
              <w:rPr>
                <w:rFonts w:ascii="Times New Roman" w:hAnsi="Times New Roman"/>
                <w:b/>
                <w:color w:val="auto"/>
                <w:highlight w:val="none"/>
              </w:rPr>
              <w:t>城市道路绿化普及率（%）</w:t>
            </w:r>
          </w:p>
        </w:tc>
      </w:tr>
      <w:tr>
        <w:tblPrEx>
          <w:tblCellMar>
            <w:top w:w="0" w:type="dxa"/>
            <w:left w:w="0" w:type="dxa"/>
            <w:bottom w:w="0" w:type="dxa"/>
            <w:right w:w="0" w:type="dxa"/>
          </w:tblCellMar>
        </w:tblPrEx>
        <w:trPr>
          <w:trHeight w:val="398" w:hRule="exact"/>
        </w:trPr>
        <w:tc>
          <w:tcPr>
            <w:tcW w:w="1510"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1</w:t>
            </w:r>
          </w:p>
        </w:tc>
        <w:tc>
          <w:tcPr>
            <w:tcW w:w="1560"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海丰县</w:t>
            </w:r>
          </w:p>
        </w:tc>
        <w:tc>
          <w:tcPr>
            <w:tcW w:w="1558"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3023229</w:t>
            </w:r>
          </w:p>
        </w:tc>
        <w:tc>
          <w:tcPr>
            <w:tcW w:w="1558"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3023229</w:t>
            </w:r>
          </w:p>
        </w:tc>
        <w:tc>
          <w:tcPr>
            <w:tcW w:w="2128"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highlight w:val="none"/>
              </w:rPr>
            </w:pPr>
            <w:r>
              <w:rPr>
                <w:rFonts w:ascii="Times New Roman" w:hAnsi="Times New Roman"/>
                <w:color w:val="auto"/>
                <w:highlight w:val="none"/>
              </w:rPr>
              <w:t>100</w:t>
            </w:r>
          </w:p>
        </w:tc>
      </w:tr>
    </w:tbl>
    <w:p>
      <w:pPr>
        <w:spacing w:line="360" w:lineRule="auto"/>
        <w:rPr>
          <w:rFonts w:ascii="Times New Roman" w:hAnsi="Times New Roman"/>
          <w:color w:val="auto"/>
          <w:sz w:val="24"/>
          <w:highlight w:val="none"/>
        </w:rPr>
      </w:pPr>
    </w:p>
    <w:p>
      <w:pPr>
        <w:spacing w:line="360" w:lineRule="auto"/>
        <w:jc w:val="center"/>
        <w:rPr>
          <w:rFonts w:ascii="Times New Roman" w:hAnsi="Times New Roman"/>
          <w:color w:val="auto"/>
          <w:sz w:val="24"/>
          <w:highlight w:val="none"/>
        </w:rPr>
      </w:pPr>
      <w:r>
        <w:rPr>
          <w:rFonts w:ascii="Times New Roman" w:hAnsi="Times New Roman"/>
          <w:b/>
          <w:color w:val="auto"/>
          <w:sz w:val="24"/>
          <w:highlight w:val="none"/>
        </w:rPr>
        <w:t>表5-</w:t>
      </w:r>
      <w:r>
        <w:rPr>
          <w:rFonts w:hint="eastAsia" w:ascii="Times New Roman" w:hAnsi="Times New Roman"/>
          <w:b/>
          <w:color w:val="auto"/>
          <w:sz w:val="24"/>
          <w:highlight w:val="none"/>
        </w:rPr>
        <w:t>7</w:t>
      </w:r>
      <w:r>
        <w:rPr>
          <w:rFonts w:ascii="Times New Roman" w:hAnsi="Times New Roman"/>
          <w:color w:val="auto"/>
          <w:sz w:val="24"/>
          <w:highlight w:val="none"/>
        </w:rPr>
        <w:t xml:space="preserve"> </w:t>
      </w:r>
      <w:r>
        <w:rPr>
          <w:rFonts w:ascii="Times New Roman" w:hAnsi="Times New Roman"/>
          <w:b/>
          <w:color w:val="auto"/>
          <w:sz w:val="24"/>
          <w:highlight w:val="none"/>
        </w:rPr>
        <w:t>海丰县建成区道路完好率明细表</w:t>
      </w:r>
    </w:p>
    <w:tbl>
      <w:tblPr>
        <w:tblStyle w:val="20"/>
        <w:tblW w:w="91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1"/>
        <w:gridCol w:w="2635"/>
        <w:gridCol w:w="984"/>
        <w:gridCol w:w="984"/>
        <w:gridCol w:w="984"/>
        <w:gridCol w:w="984"/>
        <w:gridCol w:w="984"/>
        <w:gridCol w:w="9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blHeader/>
          <w:jc w:val="center"/>
        </w:trPr>
        <w:tc>
          <w:tcPr>
            <w:tcW w:w="641" w:type="dxa"/>
            <w:vMerge w:val="restart"/>
            <w:noWrap/>
            <w:vAlign w:val="center"/>
          </w:tcPr>
          <w:p>
            <w:pPr>
              <w:jc w:val="center"/>
              <w:rPr>
                <w:rFonts w:ascii="Times New Roman" w:hAnsi="Times New Roman"/>
                <w:b/>
                <w:bCs/>
                <w:color w:val="auto"/>
                <w:szCs w:val="21"/>
                <w:highlight w:val="none"/>
              </w:rPr>
            </w:pPr>
            <w:r>
              <w:rPr>
                <w:rFonts w:ascii="Times New Roman" w:hAnsi="Times New Roman"/>
                <w:b/>
                <w:bCs/>
                <w:color w:val="auto"/>
                <w:szCs w:val="21"/>
                <w:highlight w:val="none"/>
              </w:rPr>
              <w:t>序号</w:t>
            </w:r>
          </w:p>
        </w:tc>
        <w:tc>
          <w:tcPr>
            <w:tcW w:w="2635" w:type="dxa"/>
            <w:vMerge w:val="restart"/>
            <w:noWrap/>
            <w:vAlign w:val="center"/>
          </w:tcPr>
          <w:p>
            <w:pPr>
              <w:jc w:val="center"/>
              <w:rPr>
                <w:rFonts w:ascii="Times New Roman" w:hAnsi="Times New Roman"/>
                <w:b/>
                <w:bCs/>
                <w:color w:val="auto"/>
                <w:szCs w:val="21"/>
                <w:highlight w:val="none"/>
              </w:rPr>
            </w:pPr>
            <w:r>
              <w:rPr>
                <w:rFonts w:ascii="Times New Roman" w:hAnsi="Times New Roman"/>
                <w:b/>
                <w:bCs/>
                <w:color w:val="auto"/>
                <w:szCs w:val="21"/>
                <w:highlight w:val="none"/>
              </w:rPr>
              <w:t>道路名称</w:t>
            </w:r>
          </w:p>
        </w:tc>
        <w:tc>
          <w:tcPr>
            <w:tcW w:w="984" w:type="dxa"/>
            <w:vMerge w:val="restart"/>
            <w:vAlign w:val="center"/>
          </w:tcPr>
          <w:p>
            <w:pPr>
              <w:jc w:val="center"/>
              <w:rPr>
                <w:rFonts w:ascii="Times New Roman" w:hAnsi="Times New Roman"/>
                <w:b/>
                <w:bCs/>
                <w:color w:val="auto"/>
                <w:szCs w:val="21"/>
                <w:highlight w:val="none"/>
              </w:rPr>
            </w:pPr>
            <w:r>
              <w:rPr>
                <w:rFonts w:ascii="Times New Roman" w:hAnsi="Times New Roman"/>
                <w:b/>
                <w:bCs/>
                <w:color w:val="auto"/>
                <w:szCs w:val="21"/>
                <w:highlight w:val="none"/>
              </w:rPr>
              <w:t>道路长度（m）</w:t>
            </w:r>
          </w:p>
        </w:tc>
        <w:tc>
          <w:tcPr>
            <w:tcW w:w="984" w:type="dxa"/>
            <w:vMerge w:val="restart"/>
            <w:vAlign w:val="center"/>
          </w:tcPr>
          <w:p>
            <w:pPr>
              <w:jc w:val="center"/>
              <w:rPr>
                <w:rFonts w:ascii="Times New Roman" w:hAnsi="Times New Roman"/>
                <w:b/>
                <w:bCs/>
                <w:color w:val="auto"/>
                <w:szCs w:val="21"/>
                <w:highlight w:val="none"/>
              </w:rPr>
            </w:pPr>
            <w:r>
              <w:rPr>
                <w:rFonts w:ascii="Times New Roman" w:hAnsi="Times New Roman"/>
                <w:b/>
                <w:bCs/>
                <w:color w:val="auto"/>
                <w:szCs w:val="21"/>
                <w:highlight w:val="none"/>
              </w:rPr>
              <w:t>总宽度（m）</w:t>
            </w:r>
          </w:p>
        </w:tc>
        <w:tc>
          <w:tcPr>
            <w:tcW w:w="984" w:type="dxa"/>
            <w:vMerge w:val="restart"/>
            <w:vAlign w:val="center"/>
          </w:tcPr>
          <w:p>
            <w:pPr>
              <w:jc w:val="center"/>
              <w:rPr>
                <w:rFonts w:ascii="Times New Roman" w:hAnsi="Times New Roman"/>
                <w:b/>
                <w:bCs/>
                <w:color w:val="auto"/>
                <w:szCs w:val="21"/>
                <w:highlight w:val="none"/>
              </w:rPr>
            </w:pPr>
            <w:r>
              <w:rPr>
                <w:rFonts w:ascii="Times New Roman" w:hAnsi="Times New Roman"/>
                <w:b/>
                <w:bCs/>
                <w:color w:val="auto"/>
                <w:szCs w:val="21"/>
                <w:highlight w:val="none"/>
              </w:rPr>
              <w:t>道路面积（m</w:t>
            </w:r>
            <w:r>
              <w:rPr>
                <w:rFonts w:ascii="Times New Roman" w:hAnsi="Times New Roman"/>
                <w:b/>
                <w:bCs/>
                <w:color w:val="auto"/>
                <w:szCs w:val="21"/>
                <w:highlight w:val="none"/>
                <w:vertAlign w:val="superscript"/>
              </w:rPr>
              <w:t>2</w:t>
            </w:r>
            <w:r>
              <w:rPr>
                <w:rFonts w:ascii="Times New Roman" w:hAnsi="Times New Roman"/>
                <w:b/>
                <w:bCs/>
                <w:color w:val="auto"/>
                <w:szCs w:val="21"/>
                <w:highlight w:val="none"/>
              </w:rPr>
              <w:t>）</w:t>
            </w:r>
          </w:p>
        </w:tc>
        <w:tc>
          <w:tcPr>
            <w:tcW w:w="984" w:type="dxa"/>
            <w:vMerge w:val="restart"/>
            <w:vAlign w:val="center"/>
          </w:tcPr>
          <w:p>
            <w:pPr>
              <w:jc w:val="center"/>
              <w:rPr>
                <w:rFonts w:ascii="Times New Roman" w:hAnsi="Times New Roman"/>
                <w:b/>
                <w:bCs/>
                <w:color w:val="auto"/>
                <w:szCs w:val="21"/>
                <w:highlight w:val="none"/>
              </w:rPr>
            </w:pPr>
            <w:r>
              <w:rPr>
                <w:rFonts w:ascii="Times New Roman" w:hAnsi="Times New Roman"/>
                <w:b/>
                <w:bCs/>
                <w:color w:val="auto"/>
                <w:szCs w:val="21"/>
                <w:highlight w:val="none"/>
              </w:rPr>
              <w:t>路面完好的道路长度（m）</w:t>
            </w:r>
          </w:p>
        </w:tc>
        <w:tc>
          <w:tcPr>
            <w:tcW w:w="984" w:type="dxa"/>
            <w:vMerge w:val="restart"/>
            <w:vAlign w:val="center"/>
          </w:tcPr>
          <w:p>
            <w:pPr>
              <w:jc w:val="center"/>
              <w:rPr>
                <w:rFonts w:ascii="Times New Roman" w:hAnsi="Times New Roman"/>
                <w:b/>
                <w:bCs/>
                <w:color w:val="auto"/>
                <w:szCs w:val="21"/>
                <w:highlight w:val="none"/>
              </w:rPr>
            </w:pPr>
            <w:r>
              <w:rPr>
                <w:rFonts w:ascii="Times New Roman" w:hAnsi="Times New Roman"/>
                <w:b/>
                <w:bCs/>
                <w:color w:val="auto"/>
                <w:szCs w:val="21"/>
                <w:highlight w:val="none"/>
              </w:rPr>
              <w:t>路面完好的宽度（m）</w:t>
            </w:r>
          </w:p>
        </w:tc>
        <w:tc>
          <w:tcPr>
            <w:tcW w:w="984" w:type="dxa"/>
            <w:vMerge w:val="restart"/>
            <w:vAlign w:val="center"/>
          </w:tcPr>
          <w:p>
            <w:pPr>
              <w:jc w:val="center"/>
              <w:rPr>
                <w:rFonts w:ascii="Times New Roman" w:hAnsi="Times New Roman"/>
                <w:b/>
                <w:bCs/>
                <w:color w:val="auto"/>
                <w:szCs w:val="21"/>
                <w:highlight w:val="none"/>
              </w:rPr>
            </w:pPr>
            <w:r>
              <w:rPr>
                <w:rFonts w:ascii="Times New Roman" w:hAnsi="Times New Roman"/>
                <w:b/>
                <w:bCs/>
                <w:color w:val="auto"/>
                <w:szCs w:val="21"/>
                <w:highlight w:val="none"/>
              </w:rPr>
              <w:t>路面完好的道路面积（m</w:t>
            </w:r>
            <w:r>
              <w:rPr>
                <w:rFonts w:ascii="Times New Roman" w:hAnsi="Times New Roman"/>
                <w:b/>
                <w:bCs/>
                <w:color w:val="auto"/>
                <w:szCs w:val="21"/>
                <w:highlight w:val="none"/>
                <w:vertAlign w:val="superscript"/>
              </w:rPr>
              <w:t>2</w:t>
            </w:r>
            <w:r>
              <w:rPr>
                <w:rFonts w:ascii="Times New Roman" w:hAnsi="Times New Roman"/>
                <w:b/>
                <w:bCs/>
                <w:color w:val="auto"/>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blHeader/>
          <w:jc w:val="center"/>
        </w:trPr>
        <w:tc>
          <w:tcPr>
            <w:tcW w:w="641" w:type="dxa"/>
            <w:vMerge w:val="continue"/>
            <w:vAlign w:val="center"/>
          </w:tcPr>
          <w:p>
            <w:pPr>
              <w:jc w:val="center"/>
              <w:rPr>
                <w:rFonts w:ascii="Times New Roman" w:hAnsi="Times New Roman"/>
                <w:bCs/>
                <w:color w:val="auto"/>
                <w:szCs w:val="21"/>
                <w:highlight w:val="none"/>
              </w:rPr>
            </w:pPr>
          </w:p>
        </w:tc>
        <w:tc>
          <w:tcPr>
            <w:tcW w:w="2635" w:type="dxa"/>
            <w:vMerge w:val="continue"/>
            <w:vAlign w:val="center"/>
          </w:tcPr>
          <w:p>
            <w:pPr>
              <w:jc w:val="center"/>
              <w:rPr>
                <w:rFonts w:ascii="Times New Roman" w:hAnsi="Times New Roman"/>
                <w:bCs/>
                <w:color w:val="auto"/>
                <w:szCs w:val="21"/>
                <w:highlight w:val="none"/>
              </w:rPr>
            </w:pPr>
          </w:p>
        </w:tc>
        <w:tc>
          <w:tcPr>
            <w:tcW w:w="984" w:type="dxa"/>
            <w:vMerge w:val="continue"/>
            <w:vAlign w:val="center"/>
          </w:tcPr>
          <w:p>
            <w:pPr>
              <w:jc w:val="center"/>
              <w:rPr>
                <w:rFonts w:ascii="Times New Roman" w:hAnsi="Times New Roman"/>
                <w:bCs/>
                <w:color w:val="auto"/>
                <w:szCs w:val="21"/>
                <w:highlight w:val="none"/>
              </w:rPr>
            </w:pPr>
          </w:p>
        </w:tc>
        <w:tc>
          <w:tcPr>
            <w:tcW w:w="984" w:type="dxa"/>
            <w:vMerge w:val="continue"/>
            <w:vAlign w:val="center"/>
          </w:tcPr>
          <w:p>
            <w:pPr>
              <w:jc w:val="center"/>
              <w:rPr>
                <w:rFonts w:ascii="Times New Roman" w:hAnsi="Times New Roman"/>
                <w:bCs/>
                <w:color w:val="auto"/>
                <w:szCs w:val="21"/>
                <w:highlight w:val="none"/>
              </w:rPr>
            </w:pPr>
          </w:p>
        </w:tc>
        <w:tc>
          <w:tcPr>
            <w:tcW w:w="984" w:type="dxa"/>
            <w:vMerge w:val="continue"/>
            <w:vAlign w:val="center"/>
          </w:tcPr>
          <w:p>
            <w:pPr>
              <w:jc w:val="center"/>
              <w:rPr>
                <w:rFonts w:ascii="Times New Roman" w:hAnsi="Times New Roman"/>
                <w:bCs/>
                <w:color w:val="auto"/>
                <w:szCs w:val="21"/>
                <w:highlight w:val="none"/>
              </w:rPr>
            </w:pPr>
          </w:p>
        </w:tc>
        <w:tc>
          <w:tcPr>
            <w:tcW w:w="984" w:type="dxa"/>
            <w:vMerge w:val="continue"/>
            <w:vAlign w:val="center"/>
          </w:tcPr>
          <w:p>
            <w:pPr>
              <w:jc w:val="center"/>
              <w:rPr>
                <w:rFonts w:ascii="Times New Roman" w:hAnsi="Times New Roman"/>
                <w:bCs/>
                <w:color w:val="auto"/>
                <w:szCs w:val="21"/>
                <w:highlight w:val="none"/>
              </w:rPr>
            </w:pPr>
          </w:p>
        </w:tc>
        <w:tc>
          <w:tcPr>
            <w:tcW w:w="984" w:type="dxa"/>
            <w:vMerge w:val="continue"/>
            <w:vAlign w:val="center"/>
          </w:tcPr>
          <w:p>
            <w:pPr>
              <w:jc w:val="center"/>
              <w:rPr>
                <w:rFonts w:ascii="Times New Roman" w:hAnsi="Times New Roman"/>
                <w:bCs/>
                <w:color w:val="auto"/>
                <w:szCs w:val="21"/>
                <w:highlight w:val="none"/>
              </w:rPr>
            </w:pPr>
          </w:p>
        </w:tc>
        <w:tc>
          <w:tcPr>
            <w:tcW w:w="984" w:type="dxa"/>
            <w:vMerge w:val="continue"/>
            <w:vAlign w:val="center"/>
          </w:tcPr>
          <w:p>
            <w:pPr>
              <w:jc w:val="center"/>
              <w:rPr>
                <w:rFonts w:ascii="Times New Roman" w:hAnsi="Times New Roman"/>
                <w:bCs/>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vMerge w:val="restart"/>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w:t>
            </w:r>
          </w:p>
        </w:tc>
        <w:tc>
          <w:tcPr>
            <w:tcW w:w="2635" w:type="dxa"/>
            <w:vMerge w:val="restart"/>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红城大道</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2284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125620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2284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125620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vMerge w:val="continue"/>
            <w:vAlign w:val="center"/>
          </w:tcPr>
          <w:p>
            <w:pPr>
              <w:jc w:val="center"/>
              <w:rPr>
                <w:rFonts w:ascii="Times New Roman" w:hAnsi="Times New Roman"/>
                <w:color w:val="auto"/>
                <w:szCs w:val="21"/>
                <w:highlight w:val="none"/>
              </w:rPr>
            </w:pPr>
          </w:p>
        </w:tc>
        <w:tc>
          <w:tcPr>
            <w:tcW w:w="2635" w:type="dxa"/>
            <w:vMerge w:val="continue"/>
            <w:vAlign w:val="center"/>
          </w:tcPr>
          <w:p>
            <w:pPr>
              <w:jc w:val="center"/>
              <w:rPr>
                <w:rFonts w:ascii="Times New Roman" w:hAnsi="Times New Roman"/>
                <w:color w:val="auto"/>
                <w:szCs w:val="21"/>
                <w:highlight w:val="none"/>
              </w:rPr>
            </w:pP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2581</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103240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2581</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103240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vMerge w:val="continue"/>
            <w:vAlign w:val="center"/>
          </w:tcPr>
          <w:p>
            <w:pPr>
              <w:jc w:val="center"/>
              <w:rPr>
                <w:rFonts w:ascii="Times New Roman" w:hAnsi="Times New Roman"/>
                <w:color w:val="auto"/>
                <w:szCs w:val="21"/>
                <w:highlight w:val="none"/>
              </w:rPr>
            </w:pPr>
          </w:p>
        </w:tc>
        <w:tc>
          <w:tcPr>
            <w:tcW w:w="2635" w:type="dxa"/>
            <w:vMerge w:val="continue"/>
            <w:vAlign w:val="center"/>
          </w:tcPr>
          <w:p>
            <w:pPr>
              <w:jc w:val="center"/>
              <w:rPr>
                <w:rFonts w:ascii="Times New Roman" w:hAnsi="Times New Roman"/>
                <w:color w:val="auto"/>
                <w:szCs w:val="21"/>
                <w:highlight w:val="none"/>
              </w:rPr>
            </w:pP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4143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36</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149148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4143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36</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149148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vMerge w:val="restart"/>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w:t>
            </w:r>
          </w:p>
        </w:tc>
        <w:tc>
          <w:tcPr>
            <w:tcW w:w="2635" w:type="dxa"/>
            <w:vMerge w:val="restart"/>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二环路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1476</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88560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1476</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88560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vMerge w:val="continue"/>
            <w:vAlign w:val="center"/>
          </w:tcPr>
          <w:p>
            <w:pPr>
              <w:jc w:val="center"/>
              <w:rPr>
                <w:rFonts w:ascii="Times New Roman" w:hAnsi="Times New Roman"/>
                <w:color w:val="auto"/>
                <w:szCs w:val="21"/>
                <w:highlight w:val="none"/>
              </w:rPr>
            </w:pPr>
          </w:p>
        </w:tc>
        <w:tc>
          <w:tcPr>
            <w:tcW w:w="2635" w:type="dxa"/>
            <w:vMerge w:val="continue"/>
            <w:vAlign w:val="center"/>
          </w:tcPr>
          <w:p>
            <w:pPr>
              <w:jc w:val="center"/>
              <w:rPr>
                <w:rFonts w:ascii="Times New Roman" w:hAnsi="Times New Roman"/>
                <w:color w:val="auto"/>
                <w:szCs w:val="21"/>
                <w:highlight w:val="none"/>
              </w:rPr>
            </w:pP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1373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82380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1373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82380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vMerge w:val="continue"/>
            <w:vAlign w:val="center"/>
          </w:tcPr>
          <w:p>
            <w:pPr>
              <w:jc w:val="center"/>
              <w:rPr>
                <w:rFonts w:ascii="Times New Roman" w:hAnsi="Times New Roman"/>
                <w:color w:val="auto"/>
                <w:szCs w:val="21"/>
                <w:highlight w:val="none"/>
              </w:rPr>
            </w:pPr>
          </w:p>
        </w:tc>
        <w:tc>
          <w:tcPr>
            <w:tcW w:w="2635" w:type="dxa"/>
            <w:vMerge w:val="continue"/>
            <w:vAlign w:val="center"/>
          </w:tcPr>
          <w:p>
            <w:pPr>
              <w:jc w:val="center"/>
              <w:rPr>
                <w:rFonts w:ascii="Times New Roman" w:hAnsi="Times New Roman"/>
                <w:color w:val="auto"/>
                <w:szCs w:val="21"/>
                <w:highlight w:val="none"/>
              </w:rPr>
            </w:pP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3639</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218340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3639</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218340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vMerge w:val="continue"/>
            <w:vAlign w:val="center"/>
          </w:tcPr>
          <w:p>
            <w:pPr>
              <w:jc w:val="center"/>
              <w:rPr>
                <w:rFonts w:ascii="Times New Roman" w:hAnsi="Times New Roman"/>
                <w:color w:val="auto"/>
                <w:szCs w:val="21"/>
                <w:highlight w:val="none"/>
              </w:rPr>
            </w:pPr>
          </w:p>
        </w:tc>
        <w:tc>
          <w:tcPr>
            <w:tcW w:w="2635" w:type="dxa"/>
            <w:vMerge w:val="continue"/>
            <w:vAlign w:val="center"/>
          </w:tcPr>
          <w:p>
            <w:pPr>
              <w:jc w:val="center"/>
              <w:rPr>
                <w:rFonts w:ascii="Times New Roman" w:hAnsi="Times New Roman"/>
                <w:color w:val="auto"/>
                <w:szCs w:val="21"/>
                <w:highlight w:val="none"/>
              </w:rPr>
            </w:pP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2813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168780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2813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168780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vMerge w:val="restart"/>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w:t>
            </w:r>
          </w:p>
        </w:tc>
        <w:tc>
          <w:tcPr>
            <w:tcW w:w="2635" w:type="dxa"/>
            <w:vMerge w:val="restart"/>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广富路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1760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70400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1760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70400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vMerge w:val="continue"/>
            <w:vAlign w:val="center"/>
          </w:tcPr>
          <w:p>
            <w:pPr>
              <w:jc w:val="center"/>
              <w:rPr>
                <w:rFonts w:ascii="Times New Roman" w:hAnsi="Times New Roman"/>
                <w:color w:val="auto"/>
                <w:szCs w:val="21"/>
                <w:highlight w:val="none"/>
              </w:rPr>
            </w:pPr>
          </w:p>
        </w:tc>
        <w:tc>
          <w:tcPr>
            <w:tcW w:w="2635" w:type="dxa"/>
            <w:vMerge w:val="continue"/>
            <w:vAlign w:val="center"/>
          </w:tcPr>
          <w:p>
            <w:pPr>
              <w:jc w:val="center"/>
              <w:rPr>
                <w:rFonts w:ascii="Times New Roman" w:hAnsi="Times New Roman"/>
                <w:color w:val="auto"/>
                <w:szCs w:val="21"/>
                <w:highlight w:val="none"/>
              </w:rPr>
            </w:pP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867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26010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867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26010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vMerge w:val="restart"/>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w:t>
            </w:r>
          </w:p>
        </w:tc>
        <w:tc>
          <w:tcPr>
            <w:tcW w:w="2635" w:type="dxa"/>
            <w:vMerge w:val="restart"/>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海丽大道</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487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29</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13880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487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29</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13879.5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vMerge w:val="continue"/>
            <w:vAlign w:val="center"/>
          </w:tcPr>
          <w:p>
            <w:pPr>
              <w:jc w:val="center"/>
              <w:rPr>
                <w:rFonts w:ascii="Times New Roman" w:hAnsi="Times New Roman"/>
                <w:color w:val="auto"/>
                <w:szCs w:val="21"/>
                <w:highlight w:val="none"/>
              </w:rPr>
            </w:pPr>
          </w:p>
        </w:tc>
        <w:tc>
          <w:tcPr>
            <w:tcW w:w="2635" w:type="dxa"/>
            <w:vMerge w:val="continue"/>
            <w:vAlign w:val="center"/>
          </w:tcPr>
          <w:p>
            <w:pPr>
              <w:jc w:val="center"/>
              <w:rPr>
                <w:rFonts w:ascii="Times New Roman" w:hAnsi="Times New Roman"/>
                <w:color w:val="auto"/>
                <w:szCs w:val="21"/>
                <w:highlight w:val="none"/>
              </w:rPr>
            </w:pP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910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31</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28210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910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31</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28210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vMerge w:val="restart"/>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w:t>
            </w:r>
          </w:p>
        </w:tc>
        <w:tc>
          <w:tcPr>
            <w:tcW w:w="2635" w:type="dxa"/>
            <w:vMerge w:val="restart"/>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福临街</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498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6972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498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6972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vMerge w:val="continue"/>
            <w:vAlign w:val="center"/>
          </w:tcPr>
          <w:p>
            <w:pPr>
              <w:jc w:val="center"/>
              <w:rPr>
                <w:rFonts w:ascii="Times New Roman" w:hAnsi="Times New Roman"/>
                <w:color w:val="auto"/>
                <w:szCs w:val="21"/>
                <w:highlight w:val="none"/>
              </w:rPr>
            </w:pPr>
          </w:p>
        </w:tc>
        <w:tc>
          <w:tcPr>
            <w:tcW w:w="2635" w:type="dxa"/>
            <w:vMerge w:val="continue"/>
            <w:vAlign w:val="center"/>
          </w:tcPr>
          <w:p>
            <w:pPr>
              <w:jc w:val="center"/>
              <w:rPr>
                <w:rFonts w:ascii="Times New Roman" w:hAnsi="Times New Roman"/>
                <w:color w:val="auto"/>
                <w:szCs w:val="21"/>
                <w:highlight w:val="none"/>
              </w:rPr>
            </w:pP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443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10632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443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10632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vMerge w:val="continue"/>
            <w:vAlign w:val="center"/>
          </w:tcPr>
          <w:p>
            <w:pPr>
              <w:jc w:val="center"/>
              <w:rPr>
                <w:rFonts w:ascii="Times New Roman" w:hAnsi="Times New Roman"/>
                <w:color w:val="auto"/>
                <w:szCs w:val="21"/>
                <w:highlight w:val="none"/>
              </w:rPr>
            </w:pPr>
          </w:p>
        </w:tc>
        <w:tc>
          <w:tcPr>
            <w:tcW w:w="2635" w:type="dxa"/>
            <w:vMerge w:val="continue"/>
            <w:vAlign w:val="center"/>
          </w:tcPr>
          <w:p>
            <w:pPr>
              <w:jc w:val="center"/>
              <w:rPr>
                <w:rFonts w:ascii="Times New Roman" w:hAnsi="Times New Roman"/>
                <w:color w:val="auto"/>
                <w:szCs w:val="21"/>
                <w:highlight w:val="none"/>
              </w:rPr>
            </w:pP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241</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5784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241</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5784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vMerge w:val="restart"/>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w:t>
            </w:r>
          </w:p>
        </w:tc>
        <w:tc>
          <w:tcPr>
            <w:tcW w:w="2635" w:type="dxa"/>
            <w:vMerge w:val="restart"/>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益民路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73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1241</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73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vMerge w:val="continue"/>
            <w:vAlign w:val="center"/>
          </w:tcPr>
          <w:p>
            <w:pPr>
              <w:jc w:val="center"/>
              <w:rPr>
                <w:rFonts w:ascii="Times New Roman" w:hAnsi="Times New Roman"/>
                <w:color w:val="auto"/>
                <w:szCs w:val="21"/>
                <w:highlight w:val="none"/>
              </w:rPr>
            </w:pPr>
          </w:p>
        </w:tc>
        <w:tc>
          <w:tcPr>
            <w:tcW w:w="2635" w:type="dxa"/>
            <w:vMerge w:val="continue"/>
            <w:vAlign w:val="center"/>
          </w:tcPr>
          <w:p>
            <w:pPr>
              <w:jc w:val="center"/>
              <w:rPr>
                <w:rFonts w:ascii="Times New Roman" w:hAnsi="Times New Roman"/>
                <w:color w:val="auto"/>
                <w:szCs w:val="21"/>
                <w:highlight w:val="none"/>
              </w:rPr>
            </w:pP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165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2310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165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2310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7</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三环西路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865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59</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51035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865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59</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51035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云桂路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565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19</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10735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565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19</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10735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9</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云锋路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282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19</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5358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282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19</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5358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10</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新华路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648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11664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648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11664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11</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云岭路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284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5112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284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云岭北路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423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16</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6768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423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16</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6768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西华路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490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8330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490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8330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农林路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264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16</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4224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264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16</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4224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公园路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1017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12204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1017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12204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16</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公园南路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395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4740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395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4740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17</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铜钱山路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302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5436</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302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5436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18</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人民路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437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7866</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437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7866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19</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解放路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515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19</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9785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515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19</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9785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20</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解放北路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1467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24939</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1467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24939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21</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人民西路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613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16245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613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16244.5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22</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青年干渠</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1263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19</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23997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1263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19</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23997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23</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祥德路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943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34891</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943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34891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24</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海紫路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2303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85211</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2303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85211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25</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海银路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2211</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19</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42009</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2211</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19</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42009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26</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海龙路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929</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19</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17651</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929</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19</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17651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27</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海河路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673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20190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673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20190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28</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红场路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610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10980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610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10980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29</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育英三路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179</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2327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179</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2327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30</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龙津河东一路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1133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22660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1133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22660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31</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龙津河东二路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1524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19</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28956</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1524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19</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28956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32</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龙津河东三路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170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19</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3230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170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19</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3230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33</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龙津河西一路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1074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18258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1074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18258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34</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龙津河西二路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1540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27720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1540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27720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35</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龙津河西三路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170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2890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170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2890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36</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金富豪旁边空地</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500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37</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金鹏国际对面空地</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500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38</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海汕路（往汕尾方向）</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598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41</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24518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598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41</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24518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39</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三环西路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5066</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116518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5066</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116518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40</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三环东路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2346</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117300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2346</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117300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41</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北环公路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4301</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98923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4301</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98923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42</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324国道</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8819</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202837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8819</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202837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43</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育英路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1307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19605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1307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19605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44</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体育场路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197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3546</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197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3546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45</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建设路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144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2016</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144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46</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粉围路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307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4298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307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4298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47</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合兴路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338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4056</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338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4056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48</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向阳路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621</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9315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621</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9315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49</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中山南路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367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6606</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367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6606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50</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东圣门路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297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3861</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297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3861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51</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海悦路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898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31430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898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31430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52</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笏雅村水沟（在建）</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674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11458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674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11458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53</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南湖一路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327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3924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327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3924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54</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南湖三路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496</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7440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496</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7440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55</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富城一路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822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12330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822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12330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56</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海联路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1014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14196</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1014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14196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57</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襟德路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425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7650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425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7650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58</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联河大道</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694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9022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694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9022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59</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海龙路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918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13770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918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13770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60</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狮山一路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757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16</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12112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757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16</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61</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狮山二路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767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38350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767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38350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62</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宫地山路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878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21</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18438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878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21</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18438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63</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宫地山中路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803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12045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803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64</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宫地山横路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843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21</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17703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843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21</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17703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65</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25大道</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834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20850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834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20850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66</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广汕公路（往梅陇方向）</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905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49775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905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49775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67</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广汕公路（往陆丰方向）</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1839</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64365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1839</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64365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68</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海紫路（往公平方向）</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1270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43180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1270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43180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69</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海银路（往莲花山方向）</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3093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37116</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3093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37116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70</w:t>
            </w:r>
          </w:p>
        </w:tc>
        <w:tc>
          <w:tcPr>
            <w:tcW w:w="2635" w:type="dxa"/>
            <w:vMerge w:val="restart"/>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育英路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184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2576</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184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2576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71</w:t>
            </w:r>
          </w:p>
        </w:tc>
        <w:tc>
          <w:tcPr>
            <w:tcW w:w="2635" w:type="dxa"/>
            <w:vMerge w:val="continue"/>
            <w:vAlign w:val="center"/>
          </w:tcPr>
          <w:p>
            <w:pPr>
              <w:jc w:val="center"/>
              <w:rPr>
                <w:rFonts w:ascii="Times New Roman" w:hAnsi="Times New Roman"/>
                <w:color w:val="auto"/>
                <w:szCs w:val="21"/>
                <w:highlight w:val="none"/>
              </w:rPr>
            </w:pP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379</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4927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379</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4927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72</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育英一路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401</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4812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401</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4812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73</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大水坑路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939</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13146</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939</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13146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74</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叠翠路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635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8890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635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8890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75</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金碧路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187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16</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2992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187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16</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2992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76</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新园十巷</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580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6960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580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6960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77</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云岭山庄二路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130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1560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130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78</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供电路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462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6930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462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6930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79</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青年水库路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1819</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23647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1819</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23647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80</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海城镇政府侧巷</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290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3480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290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3480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81</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海城镇政府后巷</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960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960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82</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农林下路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401</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16</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6416</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401</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16</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6416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83</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北门新街</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310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4340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310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4340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84</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峰山路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395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4740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395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4740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85</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富城二路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805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12075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805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86</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赤山路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1062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15930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1062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15930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87</w:t>
            </w:r>
          </w:p>
        </w:tc>
        <w:tc>
          <w:tcPr>
            <w:tcW w:w="2635" w:type="dxa"/>
            <w:vMerge w:val="restart"/>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龙山路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1070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16</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17120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1070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16</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17120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88</w:t>
            </w:r>
          </w:p>
        </w:tc>
        <w:tc>
          <w:tcPr>
            <w:tcW w:w="2635" w:type="dxa"/>
            <w:vMerge w:val="continue"/>
            <w:vAlign w:val="center"/>
          </w:tcPr>
          <w:p>
            <w:pPr>
              <w:jc w:val="center"/>
              <w:rPr>
                <w:rFonts w:ascii="Times New Roman" w:hAnsi="Times New Roman"/>
                <w:color w:val="auto"/>
                <w:szCs w:val="21"/>
                <w:highlight w:val="none"/>
              </w:rPr>
            </w:pP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479</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6706</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479</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6706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89</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赤山路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641</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9615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641</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9615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90</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桥新路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421</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5052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421</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5052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91</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迎春路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394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4728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394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4728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92</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看守所门前路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131</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1572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131</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1572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93</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同德路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521</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8857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521</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8857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94</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名园东山路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624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9360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624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9360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95</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关后一路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1380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27600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1380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27600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96</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红卫村二路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374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4862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374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4862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97</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红卫村三路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381</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6477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381</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6477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98</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红卫村横路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642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8988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642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8988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99</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中联电子门前路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490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5880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490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5880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100</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金龙居巷</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889</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11557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889</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11557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101</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东盛华庭东侧路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654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8502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654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8502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102</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川汇电路板西巷</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285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3705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285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3705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103</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大流服饰东巷</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181</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2353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181</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2353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104</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大流洗涤东巷</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144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1728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144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1728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105</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永佳化工厂门前路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131</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1965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131</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1965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106</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金园工业区横一路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1035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15525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1035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15525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107</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金园工业区横二路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1122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16830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1122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16830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108</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鲤鱼山工业区横二路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238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3094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238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3094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109</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青年桥防洪路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200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7000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200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35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7000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110</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中河居委大掘村路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97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1164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97</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1164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111</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高山富民路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485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5820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485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12</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5820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112</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永安达花园东侧路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274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4110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274</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4110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113</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永安达花园门前路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1060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1060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114</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富城侧路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500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10000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500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115</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永福路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1436</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18668</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1436</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13</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18668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116</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意新首饰门前路</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155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16</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2480</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155</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16</w:t>
            </w:r>
          </w:p>
        </w:tc>
        <w:tc>
          <w:tcPr>
            <w:tcW w:w="984"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2480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41"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117</w:t>
            </w:r>
          </w:p>
        </w:tc>
        <w:tc>
          <w:tcPr>
            <w:tcW w:w="2635" w:type="dxa"/>
            <w:noWrap/>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总计</w:t>
            </w:r>
          </w:p>
        </w:tc>
        <w:tc>
          <w:tcPr>
            <w:tcW w:w="984" w:type="dxa"/>
            <w:noWrap/>
            <w:vAlign w:val="center"/>
          </w:tcPr>
          <w:p>
            <w:pPr>
              <w:jc w:val="right"/>
              <w:rPr>
                <w:rFonts w:ascii="Times New Roman" w:hAnsi="Times New Roman"/>
                <w:color w:val="auto"/>
                <w:sz w:val="24"/>
                <w:highlight w:val="none"/>
              </w:rPr>
            </w:pPr>
            <w:r>
              <w:rPr>
                <w:rFonts w:ascii="Times New Roman" w:hAnsi="Times New Roman"/>
                <w:color w:val="auto"/>
                <w:highlight w:val="none"/>
              </w:rPr>
              <w:t xml:space="preserve">114543 </w:t>
            </w:r>
          </w:p>
        </w:tc>
        <w:tc>
          <w:tcPr>
            <w:tcW w:w="984" w:type="dxa"/>
            <w:noWrap/>
            <w:vAlign w:val="center"/>
          </w:tcPr>
          <w:p>
            <w:pPr>
              <w:rPr>
                <w:rFonts w:ascii="Times New Roman" w:hAnsi="Times New Roman"/>
                <w:color w:val="auto"/>
                <w:sz w:val="24"/>
                <w:highlight w:val="none"/>
              </w:rPr>
            </w:pPr>
          </w:p>
        </w:tc>
        <w:tc>
          <w:tcPr>
            <w:tcW w:w="984" w:type="dxa"/>
            <w:noWrap/>
            <w:vAlign w:val="center"/>
          </w:tcPr>
          <w:p>
            <w:pPr>
              <w:jc w:val="right"/>
              <w:rPr>
                <w:rFonts w:ascii="Times New Roman" w:hAnsi="Times New Roman"/>
                <w:color w:val="auto"/>
                <w:sz w:val="24"/>
                <w:highlight w:val="none"/>
              </w:rPr>
            </w:pPr>
            <w:r>
              <w:rPr>
                <w:rFonts w:ascii="Times New Roman" w:hAnsi="Times New Roman"/>
                <w:color w:val="auto"/>
                <w:highlight w:val="none"/>
              </w:rPr>
              <w:t xml:space="preserve">3023229 </w:t>
            </w:r>
          </w:p>
        </w:tc>
        <w:tc>
          <w:tcPr>
            <w:tcW w:w="984" w:type="dxa"/>
            <w:noWrap/>
            <w:vAlign w:val="center"/>
          </w:tcPr>
          <w:p>
            <w:pPr>
              <w:jc w:val="right"/>
              <w:rPr>
                <w:rFonts w:ascii="Times New Roman" w:hAnsi="Times New Roman"/>
                <w:color w:val="auto"/>
                <w:sz w:val="24"/>
                <w:highlight w:val="none"/>
              </w:rPr>
            </w:pPr>
            <w:r>
              <w:rPr>
                <w:rFonts w:ascii="Times New Roman" w:hAnsi="Times New Roman"/>
                <w:color w:val="auto"/>
                <w:highlight w:val="none"/>
              </w:rPr>
              <w:t>114543</w:t>
            </w:r>
          </w:p>
        </w:tc>
        <w:tc>
          <w:tcPr>
            <w:tcW w:w="984" w:type="dxa"/>
            <w:noWrap/>
            <w:vAlign w:val="center"/>
          </w:tcPr>
          <w:p>
            <w:pPr>
              <w:rPr>
                <w:rFonts w:ascii="Times New Roman" w:hAnsi="Times New Roman"/>
                <w:color w:val="auto"/>
                <w:sz w:val="24"/>
                <w:highlight w:val="none"/>
              </w:rPr>
            </w:pPr>
          </w:p>
        </w:tc>
        <w:tc>
          <w:tcPr>
            <w:tcW w:w="984" w:type="dxa"/>
            <w:noWrap/>
            <w:vAlign w:val="center"/>
          </w:tcPr>
          <w:p>
            <w:pPr>
              <w:jc w:val="right"/>
              <w:rPr>
                <w:rFonts w:ascii="Times New Roman" w:hAnsi="Times New Roman"/>
                <w:color w:val="auto"/>
                <w:sz w:val="24"/>
                <w:highlight w:val="none"/>
              </w:rPr>
            </w:pPr>
            <w:r>
              <w:rPr>
                <w:rFonts w:ascii="Times New Roman" w:hAnsi="Times New Roman"/>
                <w:color w:val="auto"/>
                <w:highlight w:val="none"/>
              </w:rPr>
              <w:t>3023229</w:t>
            </w:r>
          </w:p>
        </w:tc>
      </w:tr>
    </w:tbl>
    <w:p>
      <w:pPr>
        <w:spacing w:line="360" w:lineRule="auto"/>
        <w:rPr>
          <w:rFonts w:ascii="Times New Roman" w:hAnsi="Times New Roman"/>
          <w:color w:val="auto"/>
          <w:sz w:val="24"/>
          <w:highlight w:val="none"/>
        </w:rPr>
      </w:pPr>
    </w:p>
    <w:p>
      <w:pPr>
        <w:pStyle w:val="6"/>
        <w:rPr>
          <w:rFonts w:ascii="Times New Roman" w:hAnsi="Times New Roman"/>
          <w:color w:val="auto"/>
          <w:highlight w:val="none"/>
        </w:rPr>
      </w:pPr>
      <w:bookmarkStart w:id="498" w:name="_Toc10184"/>
      <w:bookmarkStart w:id="499" w:name="_Toc54451095"/>
      <w:bookmarkStart w:id="500" w:name="_Toc60776422"/>
      <w:bookmarkStart w:id="501" w:name="_Toc60499731"/>
      <w:r>
        <w:rPr>
          <w:rFonts w:ascii="Times New Roman" w:hAnsi="Times New Roman"/>
          <w:color w:val="auto"/>
          <w:highlight w:val="none"/>
        </w:rPr>
        <w:t>42、市政基础设施安全运行</w:t>
      </w:r>
      <w:bookmarkEnd w:id="498"/>
      <w:bookmarkEnd w:id="499"/>
      <w:bookmarkEnd w:id="500"/>
      <w:bookmarkEnd w:id="501"/>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w:t>
      </w:r>
      <w:r>
        <w:rPr>
          <w:rFonts w:hint="default" w:ascii="Times New Roman" w:hAnsi="Times New Roman" w:cs="Times New Roman"/>
          <w:color w:val="auto"/>
          <w:sz w:val="24"/>
          <w:highlight w:val="none"/>
        </w:rPr>
        <w:t>①</w:t>
      </w:r>
      <w:r>
        <w:rPr>
          <w:rFonts w:ascii="Times New Roman" w:hAnsi="Times New Roman"/>
          <w:color w:val="auto"/>
          <w:sz w:val="24"/>
          <w:highlight w:val="none"/>
        </w:rPr>
        <w:t>县城供水、供气、供热、市容环卫、园林绿化、地下管网、道路桥梁等市政基础设施档案健全；</w:t>
      </w:r>
      <w:r>
        <w:rPr>
          <w:rFonts w:hint="default" w:ascii="Times New Roman" w:hAnsi="Times New Roman" w:cs="Times New Roman"/>
          <w:color w:val="auto"/>
          <w:sz w:val="24"/>
          <w:highlight w:val="none"/>
        </w:rPr>
        <w:t>②</w:t>
      </w:r>
      <w:r>
        <w:rPr>
          <w:rFonts w:ascii="Times New Roman" w:hAnsi="Times New Roman"/>
          <w:color w:val="auto"/>
          <w:sz w:val="24"/>
          <w:highlight w:val="none"/>
        </w:rPr>
        <w:t>运行管理制度完善，监管到位，县城安全运行得到保障。</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调查结果：海丰县有完善的供气运行管理材料，包括安全生产责任制度和岗位职责、安全操作规程、安全管理制度、应急救援预案、演练记录。</w:t>
      </w:r>
      <w:r>
        <w:rPr>
          <w:rFonts w:hint="eastAsia" w:ascii="Times New Roman" w:hAnsi="Times New Roman"/>
          <w:b/>
          <w:color w:val="auto"/>
          <w:sz w:val="24"/>
          <w:highlight w:val="none"/>
        </w:rPr>
        <w:t>已</w:t>
      </w:r>
      <w:r>
        <w:rPr>
          <w:rFonts w:ascii="Times New Roman" w:hAnsi="Times New Roman"/>
          <w:b/>
          <w:color w:val="auto"/>
          <w:sz w:val="24"/>
          <w:highlight w:val="none"/>
        </w:rPr>
        <w:t>达标。</w:t>
      </w:r>
    </w:p>
    <w:p>
      <w:pPr>
        <w:pStyle w:val="6"/>
        <w:rPr>
          <w:rFonts w:ascii="Times New Roman" w:hAnsi="Times New Roman"/>
          <w:color w:val="auto"/>
          <w:highlight w:val="none"/>
        </w:rPr>
      </w:pPr>
      <w:bookmarkStart w:id="502" w:name="_Toc22965"/>
      <w:bookmarkStart w:id="503" w:name="_Toc54451096"/>
      <w:bookmarkStart w:id="504" w:name="_Toc60499732"/>
      <w:bookmarkStart w:id="505" w:name="_Toc60776423"/>
      <w:r>
        <w:rPr>
          <w:rFonts w:ascii="Times New Roman" w:hAnsi="Times New Roman"/>
          <w:color w:val="auto"/>
          <w:highlight w:val="none"/>
        </w:rPr>
        <w:t>43、无障碍设施建设</w:t>
      </w:r>
      <w:bookmarkEnd w:id="502"/>
      <w:bookmarkEnd w:id="503"/>
      <w:bookmarkEnd w:id="504"/>
      <w:bookmarkEnd w:id="505"/>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指标要求：建成区内主要道路、公园、公共建筑等公共场所设有无障碍设施，且使用及维护管理情况良好。</w:t>
      </w:r>
    </w:p>
    <w:p>
      <w:pPr>
        <w:spacing w:line="360" w:lineRule="auto"/>
        <w:ind w:firstLine="480" w:firstLineChars="200"/>
        <w:rPr>
          <w:rFonts w:ascii="Times New Roman" w:hAnsi="Times New Roman"/>
          <w:b/>
          <w:color w:val="auto"/>
          <w:sz w:val="24"/>
          <w:highlight w:val="none"/>
        </w:rPr>
      </w:pPr>
      <w:r>
        <w:rPr>
          <w:rFonts w:ascii="Times New Roman" w:hAnsi="Times New Roman"/>
          <w:color w:val="auto"/>
          <w:sz w:val="24"/>
          <w:highlight w:val="none"/>
        </w:rPr>
        <w:t>调查结果：经对烈士陵园、龙山公园等单位进行调查，海丰县公共场所的无障碍设施齐全，使用及维护管理情况良好</w:t>
      </w:r>
      <w:r>
        <w:rPr>
          <w:rFonts w:hint="eastAsia" w:ascii="Times New Roman" w:hAnsi="Times New Roman"/>
          <w:color w:val="auto"/>
          <w:sz w:val="24"/>
          <w:highlight w:val="none"/>
        </w:rPr>
        <w:t>，</w:t>
      </w:r>
      <w:r>
        <w:rPr>
          <w:rFonts w:hint="eastAsia" w:ascii="Times New Roman" w:hAnsi="Times New Roman"/>
          <w:b/>
          <w:color w:val="auto"/>
          <w:sz w:val="24"/>
          <w:highlight w:val="none"/>
        </w:rPr>
        <w:t>已</w:t>
      </w:r>
      <w:r>
        <w:rPr>
          <w:rFonts w:ascii="Times New Roman" w:hAnsi="Times New Roman"/>
          <w:b/>
          <w:color w:val="auto"/>
          <w:sz w:val="24"/>
          <w:highlight w:val="none"/>
        </w:rPr>
        <w:t>达标。</w:t>
      </w:r>
    </w:p>
    <w:p>
      <w:pPr>
        <w:pStyle w:val="5"/>
        <w:rPr>
          <w:rFonts w:ascii="Times New Roman" w:hAnsi="Times New Roman" w:eastAsia="宋体"/>
          <w:color w:val="auto"/>
          <w:highlight w:val="none"/>
        </w:rPr>
      </w:pPr>
      <w:bookmarkStart w:id="506" w:name="_Toc60776424"/>
      <w:bookmarkStart w:id="507" w:name="_Toc21580"/>
      <w:bookmarkStart w:id="508" w:name="_Toc14723"/>
      <w:bookmarkStart w:id="509" w:name="_Toc20490"/>
      <w:bookmarkStart w:id="510" w:name="_Toc6635"/>
      <w:bookmarkStart w:id="511" w:name="_Toc60499733"/>
      <w:bookmarkStart w:id="512" w:name="_Toc11279"/>
      <w:bookmarkStart w:id="513" w:name="_Toc7879"/>
      <w:bookmarkStart w:id="514" w:name="_Toc54451097"/>
      <w:r>
        <w:rPr>
          <w:rFonts w:ascii="Times New Roman" w:hAnsi="Times New Roman" w:eastAsia="宋体"/>
          <w:color w:val="auto"/>
          <w:highlight w:val="none"/>
        </w:rPr>
        <w:t>六、节能减排</w:t>
      </w:r>
      <w:bookmarkEnd w:id="506"/>
      <w:bookmarkEnd w:id="507"/>
      <w:bookmarkEnd w:id="508"/>
      <w:bookmarkEnd w:id="509"/>
      <w:bookmarkEnd w:id="510"/>
      <w:bookmarkEnd w:id="511"/>
      <w:bookmarkEnd w:id="512"/>
      <w:bookmarkEnd w:id="513"/>
      <w:bookmarkEnd w:id="514"/>
    </w:p>
    <w:p>
      <w:pPr>
        <w:pStyle w:val="6"/>
        <w:rPr>
          <w:rFonts w:ascii="Times New Roman" w:hAnsi="Times New Roman"/>
          <w:color w:val="auto"/>
          <w:highlight w:val="none"/>
        </w:rPr>
      </w:pPr>
      <w:bookmarkStart w:id="515" w:name="_Toc60499734"/>
      <w:bookmarkStart w:id="516" w:name="_Toc54451098"/>
      <w:bookmarkStart w:id="517" w:name="_Toc14472"/>
      <w:bookmarkStart w:id="518" w:name="_Toc60776425"/>
      <w:r>
        <w:rPr>
          <w:rFonts w:ascii="Times New Roman" w:hAnsi="Times New Roman"/>
          <w:color w:val="auto"/>
          <w:highlight w:val="none"/>
        </w:rPr>
        <w:t>44、绿色建筑和装配式建筑</w:t>
      </w:r>
      <w:bookmarkEnd w:id="515"/>
      <w:bookmarkEnd w:id="516"/>
      <w:bookmarkEnd w:id="517"/>
      <w:bookmarkEnd w:id="518"/>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w:t>
      </w:r>
      <w:r>
        <w:rPr>
          <w:rFonts w:hint="default" w:ascii="Times New Roman" w:hAnsi="Times New Roman" w:cs="Times New Roman"/>
          <w:color w:val="auto"/>
          <w:sz w:val="24"/>
          <w:highlight w:val="none"/>
        </w:rPr>
        <w:t>①</w:t>
      </w:r>
      <w:r>
        <w:rPr>
          <w:rFonts w:ascii="Times New Roman" w:hAnsi="Times New Roman"/>
          <w:color w:val="auto"/>
          <w:sz w:val="24"/>
          <w:highlight w:val="none"/>
        </w:rPr>
        <w:t>近两年（含申报年）新建建筑中绿色建筑所占比例≥30%；</w:t>
      </w:r>
      <w:r>
        <w:rPr>
          <w:rFonts w:hint="default" w:ascii="Times New Roman" w:hAnsi="Times New Roman" w:cs="Times New Roman"/>
          <w:color w:val="auto"/>
          <w:sz w:val="24"/>
          <w:highlight w:val="none"/>
        </w:rPr>
        <w:t>②</w:t>
      </w:r>
      <w:r>
        <w:rPr>
          <w:rFonts w:ascii="Times New Roman" w:hAnsi="Times New Roman"/>
          <w:color w:val="auto"/>
          <w:sz w:val="24"/>
          <w:highlight w:val="none"/>
        </w:rPr>
        <w:t>节能建筑比例：夏热冬暖地区≥30%；</w:t>
      </w:r>
      <w:r>
        <w:rPr>
          <w:rFonts w:hint="default" w:ascii="Times New Roman" w:hAnsi="Times New Roman" w:cs="Times New Roman"/>
          <w:color w:val="auto"/>
          <w:sz w:val="24"/>
          <w:highlight w:val="none"/>
        </w:rPr>
        <w:t>③</w:t>
      </w:r>
      <w:r>
        <w:rPr>
          <w:rFonts w:ascii="Times New Roman" w:hAnsi="Times New Roman"/>
          <w:color w:val="auto"/>
          <w:sz w:val="24"/>
          <w:highlight w:val="none"/>
        </w:rPr>
        <w:t>制定推广绿色建材和装配式建筑政策措施。</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计算方法：新建建筑中绿色建筑比例（%）=新建绿色建筑面积/建成区新建建筑总面积×100%；节能建筑比例（%）=建成区内符合节能设计标准的建筑面积（平方米）/建成区内建筑总面积（平方米）×100%。</w:t>
      </w:r>
    </w:p>
    <w:p>
      <w:pPr>
        <w:spacing w:line="360" w:lineRule="auto"/>
        <w:ind w:firstLine="480" w:firstLineChars="200"/>
        <w:rPr>
          <w:rFonts w:ascii="Times New Roman" w:hAnsi="Times New Roman"/>
          <w:color w:val="auto"/>
          <w:sz w:val="24"/>
          <w:highlight w:val="none"/>
        </w:rPr>
      </w:pPr>
      <w:r>
        <w:rPr>
          <w:rFonts w:hint="eastAsia" w:ascii="Times New Roman" w:hAnsi="Times New Roman"/>
          <w:color w:val="auto"/>
          <w:sz w:val="24"/>
          <w:highlight w:val="none"/>
        </w:rPr>
        <w:t>调查结果：海丰县截止</w:t>
      </w:r>
      <w:r>
        <w:rPr>
          <w:rFonts w:ascii="Times New Roman" w:hAnsi="Times New Roman"/>
          <w:color w:val="auto"/>
          <w:sz w:val="24"/>
          <w:highlight w:val="none"/>
        </w:rPr>
        <w:t>2019</w:t>
      </w:r>
      <w:r>
        <w:rPr>
          <w:rFonts w:hint="eastAsia" w:ascii="Times New Roman" w:hAnsi="Times New Roman"/>
          <w:color w:val="auto"/>
          <w:sz w:val="24"/>
          <w:highlight w:val="none"/>
        </w:rPr>
        <w:t>年底，城镇绿色建筑占新建建筑面积</w:t>
      </w:r>
      <w:r>
        <w:rPr>
          <w:rFonts w:ascii="Times New Roman" w:hAnsi="Times New Roman"/>
          <w:color w:val="auto"/>
          <w:sz w:val="24"/>
          <w:highlight w:val="none"/>
        </w:rPr>
        <w:t>43%</w:t>
      </w:r>
      <w:r>
        <w:rPr>
          <w:rFonts w:hint="eastAsia" w:ascii="Times New Roman" w:hAnsi="Times New Roman"/>
          <w:color w:val="auto"/>
          <w:sz w:val="24"/>
          <w:highlight w:val="none"/>
        </w:rPr>
        <w:t>，城镇新增节能建筑面积</w:t>
      </w:r>
      <w:r>
        <w:rPr>
          <w:rFonts w:ascii="Times New Roman" w:hAnsi="Times New Roman"/>
          <w:color w:val="auto"/>
          <w:sz w:val="24"/>
          <w:highlight w:val="none"/>
        </w:rPr>
        <w:t>220.11</w:t>
      </w:r>
      <w:r>
        <w:rPr>
          <w:rFonts w:hint="eastAsia" w:ascii="Times New Roman" w:hAnsi="Times New Roman"/>
          <w:color w:val="auto"/>
          <w:sz w:val="24"/>
          <w:highlight w:val="none"/>
        </w:rPr>
        <w:t>万平方米，设计阶段和竣工阶段执行建筑节能标准比例均达到</w:t>
      </w:r>
      <w:r>
        <w:rPr>
          <w:rFonts w:ascii="Times New Roman" w:hAnsi="Times New Roman"/>
          <w:color w:val="auto"/>
          <w:sz w:val="24"/>
          <w:highlight w:val="none"/>
        </w:rPr>
        <w:t>100%</w:t>
      </w:r>
      <w:r>
        <w:rPr>
          <w:rFonts w:hint="eastAsia" w:ascii="Times New Roman" w:hAnsi="Times New Roman"/>
          <w:color w:val="auto"/>
          <w:sz w:val="24"/>
          <w:highlight w:val="none"/>
        </w:rPr>
        <w:t>，</w:t>
      </w:r>
      <w:r>
        <w:rPr>
          <w:rFonts w:hint="eastAsia" w:ascii="Times New Roman" w:hAnsi="Times New Roman"/>
          <w:b/>
          <w:color w:val="auto"/>
          <w:sz w:val="24"/>
          <w:highlight w:val="none"/>
        </w:rPr>
        <w:t>已达标</w:t>
      </w:r>
      <w:r>
        <w:rPr>
          <w:rFonts w:hint="eastAsia" w:ascii="Times New Roman" w:hAnsi="Times New Roman"/>
          <w:color w:val="auto"/>
          <w:sz w:val="24"/>
          <w:highlight w:val="none"/>
        </w:rPr>
        <w:t>。</w:t>
      </w:r>
    </w:p>
    <w:p>
      <w:pPr>
        <w:spacing w:line="360" w:lineRule="auto"/>
        <w:rPr>
          <w:rFonts w:ascii="Times New Roman" w:hAnsi="Times New Roman"/>
          <w:color w:val="auto"/>
          <w:sz w:val="24"/>
          <w:highlight w:val="none"/>
        </w:rPr>
      </w:pPr>
    </w:p>
    <w:p>
      <w:pPr>
        <w:pStyle w:val="6"/>
        <w:rPr>
          <w:rFonts w:ascii="Times New Roman" w:hAnsi="Times New Roman"/>
          <w:color w:val="auto"/>
          <w:highlight w:val="none"/>
        </w:rPr>
      </w:pPr>
      <w:bookmarkStart w:id="519" w:name="_Toc60776426"/>
      <w:bookmarkStart w:id="520" w:name="_Toc60499735"/>
      <w:bookmarkStart w:id="521" w:name="_Toc8864"/>
      <w:bookmarkStart w:id="522" w:name="_Toc54451099"/>
      <w:r>
        <w:rPr>
          <w:rFonts w:ascii="Times New Roman" w:hAnsi="Times New Roman"/>
          <w:color w:val="auto"/>
          <w:highlight w:val="none"/>
        </w:rPr>
        <w:t>45、林荫路推广率</w:t>
      </w:r>
      <w:bookmarkEnd w:id="519"/>
      <w:bookmarkEnd w:id="520"/>
      <w:bookmarkEnd w:id="521"/>
      <w:bookmarkEnd w:id="522"/>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指标要求：</w:t>
      </w:r>
      <w:r>
        <w:rPr>
          <w:rFonts w:hint="default" w:ascii="Times New Roman" w:hAnsi="Times New Roman" w:cs="Times New Roman"/>
          <w:color w:val="auto"/>
          <w:sz w:val="24"/>
          <w:highlight w:val="none"/>
        </w:rPr>
        <w:t>①</w:t>
      </w:r>
      <w:r>
        <w:rPr>
          <w:rFonts w:ascii="Times New Roman" w:hAnsi="Times New Roman"/>
          <w:color w:val="auto"/>
          <w:sz w:val="24"/>
          <w:highlight w:val="none"/>
        </w:rPr>
        <w:t>≥70%。</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计算方法：林荫路推广率（%）=建成区内达到林荫路标准的步行道、自行车道长度（公里）/建成区内步行道、自行车道总长度（公里）×100%。注：林荫路指绿化覆盖率达到90%以上的人行道、自行车道。</w:t>
      </w:r>
    </w:p>
    <w:p>
      <w:pPr>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调查结果：海丰县建成区步行道、自行车道总长度总长度66451米，其中达到林荫道路标准的道路共26条，长度 16616米，林荫道路率25.0%，</w:t>
      </w:r>
      <w:r>
        <w:rPr>
          <w:rFonts w:ascii="Times New Roman" w:hAnsi="Times New Roman"/>
          <w:b/>
          <w:bCs/>
          <w:color w:val="auto"/>
          <w:sz w:val="24"/>
          <w:highlight w:val="none"/>
        </w:rPr>
        <w:t>该项暂未达标</w:t>
      </w:r>
      <w:r>
        <w:rPr>
          <w:rFonts w:ascii="Times New Roman" w:hAnsi="Times New Roman"/>
          <w:color w:val="auto"/>
          <w:sz w:val="24"/>
          <w:highlight w:val="none"/>
        </w:rPr>
        <w:t>。</w:t>
      </w:r>
    </w:p>
    <w:p>
      <w:pPr>
        <w:tabs>
          <w:tab w:val="left" w:pos="2940"/>
        </w:tabs>
        <w:spacing w:line="360" w:lineRule="auto"/>
        <w:ind w:right="-20"/>
        <w:jc w:val="center"/>
        <w:rPr>
          <w:rFonts w:ascii="Times New Roman" w:hAnsi="Times New Roman"/>
          <w:b/>
          <w:color w:val="auto"/>
          <w:kern w:val="0"/>
          <w:sz w:val="24"/>
          <w:highlight w:val="none"/>
        </w:rPr>
      </w:pPr>
      <w:r>
        <w:rPr>
          <w:rFonts w:ascii="Times New Roman" w:hAnsi="Times New Roman"/>
          <w:b/>
          <w:color w:val="auto"/>
          <w:kern w:val="0"/>
          <w:position w:val="-4"/>
          <w:sz w:val="24"/>
          <w:highlight w:val="none"/>
        </w:rPr>
        <w:t>表6-</w:t>
      </w:r>
      <w:r>
        <w:rPr>
          <w:rFonts w:hint="eastAsia" w:ascii="Times New Roman" w:hAnsi="Times New Roman"/>
          <w:b/>
          <w:color w:val="auto"/>
          <w:kern w:val="0"/>
          <w:position w:val="-4"/>
          <w:sz w:val="24"/>
          <w:highlight w:val="none"/>
        </w:rPr>
        <w:t>1</w:t>
      </w:r>
      <w:r>
        <w:rPr>
          <w:rFonts w:ascii="Times New Roman" w:hAnsi="Times New Roman"/>
          <w:b/>
          <w:color w:val="auto"/>
          <w:kern w:val="0"/>
          <w:position w:val="-4"/>
          <w:sz w:val="24"/>
          <w:highlight w:val="none"/>
        </w:rPr>
        <w:t xml:space="preserve"> 海丰县建</w:t>
      </w:r>
      <w:r>
        <w:rPr>
          <w:rFonts w:ascii="Times New Roman" w:hAnsi="Times New Roman"/>
          <w:b/>
          <w:color w:val="auto"/>
          <w:spacing w:val="-3"/>
          <w:kern w:val="0"/>
          <w:position w:val="-4"/>
          <w:sz w:val="24"/>
          <w:highlight w:val="none"/>
        </w:rPr>
        <w:t>成</w:t>
      </w:r>
      <w:r>
        <w:rPr>
          <w:rFonts w:ascii="Times New Roman" w:hAnsi="Times New Roman"/>
          <w:b/>
          <w:color w:val="auto"/>
          <w:kern w:val="0"/>
          <w:position w:val="-4"/>
          <w:sz w:val="24"/>
          <w:highlight w:val="none"/>
        </w:rPr>
        <w:t>区林</w:t>
      </w:r>
      <w:r>
        <w:rPr>
          <w:rFonts w:ascii="Times New Roman" w:hAnsi="Times New Roman"/>
          <w:b/>
          <w:color w:val="auto"/>
          <w:spacing w:val="-3"/>
          <w:kern w:val="0"/>
          <w:position w:val="-4"/>
          <w:sz w:val="24"/>
          <w:highlight w:val="none"/>
        </w:rPr>
        <w:t>荫</w:t>
      </w:r>
      <w:r>
        <w:rPr>
          <w:rFonts w:ascii="Times New Roman" w:hAnsi="Times New Roman"/>
          <w:b/>
          <w:color w:val="auto"/>
          <w:kern w:val="0"/>
          <w:position w:val="-4"/>
          <w:sz w:val="24"/>
          <w:highlight w:val="none"/>
        </w:rPr>
        <w:t>道</w:t>
      </w:r>
      <w:r>
        <w:rPr>
          <w:rFonts w:ascii="Times New Roman" w:hAnsi="Times New Roman"/>
          <w:b/>
          <w:color w:val="auto"/>
          <w:spacing w:val="-3"/>
          <w:kern w:val="0"/>
          <w:position w:val="-4"/>
          <w:sz w:val="24"/>
          <w:highlight w:val="none"/>
        </w:rPr>
        <w:t>路推广率</w:t>
      </w:r>
      <w:r>
        <w:rPr>
          <w:rFonts w:ascii="Times New Roman" w:hAnsi="Times New Roman"/>
          <w:b/>
          <w:color w:val="auto"/>
          <w:kern w:val="0"/>
          <w:position w:val="-4"/>
          <w:sz w:val="24"/>
          <w:highlight w:val="none"/>
        </w:rPr>
        <w:t>统</w:t>
      </w:r>
      <w:r>
        <w:rPr>
          <w:rFonts w:ascii="Times New Roman" w:hAnsi="Times New Roman"/>
          <w:b/>
          <w:color w:val="auto"/>
          <w:spacing w:val="-3"/>
          <w:kern w:val="0"/>
          <w:position w:val="-4"/>
          <w:sz w:val="24"/>
          <w:highlight w:val="none"/>
        </w:rPr>
        <w:t>计</w:t>
      </w:r>
      <w:r>
        <w:rPr>
          <w:rFonts w:ascii="Times New Roman" w:hAnsi="Times New Roman"/>
          <w:b/>
          <w:color w:val="auto"/>
          <w:kern w:val="0"/>
          <w:position w:val="-4"/>
          <w:sz w:val="24"/>
          <w:highlight w:val="none"/>
        </w:rPr>
        <w:t>表</w:t>
      </w:r>
    </w:p>
    <w:tbl>
      <w:tblPr>
        <w:tblStyle w:val="20"/>
        <w:tblW w:w="8310" w:type="dxa"/>
        <w:jc w:val="center"/>
        <w:tblLayout w:type="fixed"/>
        <w:tblCellMar>
          <w:top w:w="0" w:type="dxa"/>
          <w:left w:w="0" w:type="dxa"/>
          <w:bottom w:w="0" w:type="dxa"/>
          <w:right w:w="0" w:type="dxa"/>
        </w:tblCellMar>
      </w:tblPr>
      <w:tblGrid>
        <w:gridCol w:w="744"/>
        <w:gridCol w:w="1691"/>
        <w:gridCol w:w="1468"/>
        <w:gridCol w:w="1469"/>
        <w:gridCol w:w="1468"/>
        <w:gridCol w:w="1470"/>
      </w:tblGrid>
      <w:tr>
        <w:tblPrEx>
          <w:tblCellMar>
            <w:top w:w="0" w:type="dxa"/>
            <w:left w:w="0" w:type="dxa"/>
            <w:bottom w:w="0" w:type="dxa"/>
            <w:right w:w="0" w:type="dxa"/>
          </w:tblCellMar>
        </w:tblPrEx>
        <w:trPr>
          <w:trHeight w:val="1017" w:hRule="exact"/>
          <w:jc w:val="center"/>
        </w:trPr>
        <w:tc>
          <w:tcPr>
            <w:tcW w:w="744"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bCs/>
                <w:color w:val="auto"/>
                <w:szCs w:val="21"/>
                <w:highlight w:val="none"/>
                <w:lang w:eastAsia="en-US"/>
              </w:rPr>
            </w:pPr>
            <w:r>
              <w:rPr>
                <w:rFonts w:ascii="Times New Roman" w:hAnsi="Times New Roman"/>
                <w:b/>
                <w:bCs/>
                <w:color w:val="auto"/>
                <w:szCs w:val="21"/>
                <w:highlight w:val="none"/>
                <w:lang w:eastAsia="en-US"/>
              </w:rPr>
              <w:t>序号</w:t>
            </w:r>
          </w:p>
        </w:tc>
        <w:tc>
          <w:tcPr>
            <w:tcW w:w="1691"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bCs/>
                <w:color w:val="auto"/>
                <w:szCs w:val="21"/>
                <w:highlight w:val="none"/>
                <w:lang w:eastAsia="en-US"/>
              </w:rPr>
            </w:pPr>
            <w:r>
              <w:rPr>
                <w:rFonts w:ascii="Times New Roman" w:hAnsi="Times New Roman"/>
                <w:b/>
                <w:bCs/>
                <w:color w:val="auto"/>
                <w:szCs w:val="21"/>
                <w:highlight w:val="none"/>
                <w:lang w:eastAsia="en-US"/>
              </w:rPr>
              <w:t>行政区</w:t>
            </w:r>
          </w:p>
        </w:tc>
        <w:tc>
          <w:tcPr>
            <w:tcW w:w="1468"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bCs/>
                <w:color w:val="auto"/>
                <w:szCs w:val="21"/>
                <w:highlight w:val="none"/>
              </w:rPr>
            </w:pPr>
            <w:r>
              <w:rPr>
                <w:rFonts w:ascii="Times New Roman" w:hAnsi="Times New Roman"/>
                <w:b/>
                <w:bCs/>
                <w:color w:val="auto"/>
                <w:szCs w:val="21"/>
                <w:highlight w:val="none"/>
              </w:rPr>
              <w:t>步行道、自行车道总长度</w:t>
            </w:r>
          </w:p>
          <w:p>
            <w:pPr>
              <w:jc w:val="center"/>
              <w:rPr>
                <w:rFonts w:ascii="Times New Roman" w:hAnsi="Times New Roman"/>
                <w:b/>
                <w:bCs/>
                <w:color w:val="auto"/>
                <w:szCs w:val="21"/>
                <w:highlight w:val="none"/>
                <w:lang w:eastAsia="en-US"/>
              </w:rPr>
            </w:pPr>
            <w:r>
              <w:rPr>
                <w:rFonts w:ascii="Times New Roman" w:hAnsi="Times New Roman"/>
                <w:b/>
                <w:bCs/>
                <w:color w:val="auto"/>
                <w:szCs w:val="21"/>
                <w:highlight w:val="none"/>
                <w:lang w:eastAsia="en-US"/>
              </w:rPr>
              <w:t>（</w:t>
            </w:r>
            <w:r>
              <w:rPr>
                <w:rFonts w:ascii="Times New Roman" w:hAnsi="Times New Roman"/>
                <w:b/>
                <w:bCs/>
                <w:color w:val="auto"/>
                <w:szCs w:val="21"/>
                <w:highlight w:val="none"/>
              </w:rPr>
              <w:t>m</w:t>
            </w:r>
            <w:r>
              <w:rPr>
                <w:rFonts w:ascii="Times New Roman" w:hAnsi="Times New Roman"/>
                <w:b/>
                <w:bCs/>
                <w:color w:val="auto"/>
                <w:szCs w:val="21"/>
                <w:highlight w:val="none"/>
                <w:lang w:eastAsia="en-US"/>
              </w:rPr>
              <w:t>）</w:t>
            </w:r>
          </w:p>
        </w:tc>
        <w:tc>
          <w:tcPr>
            <w:tcW w:w="1469"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bCs/>
                <w:color w:val="auto"/>
                <w:szCs w:val="21"/>
                <w:highlight w:val="none"/>
                <w:lang w:eastAsia="en-US"/>
              </w:rPr>
            </w:pPr>
            <w:r>
              <w:rPr>
                <w:rFonts w:ascii="Times New Roman" w:hAnsi="Times New Roman"/>
                <w:b/>
                <w:bCs/>
                <w:color w:val="auto"/>
                <w:szCs w:val="21"/>
                <w:highlight w:val="none"/>
                <w:lang w:eastAsia="en-US"/>
              </w:rPr>
              <w:t>林荫道路</w:t>
            </w:r>
          </w:p>
          <w:p>
            <w:pPr>
              <w:jc w:val="center"/>
              <w:rPr>
                <w:rFonts w:ascii="Times New Roman" w:hAnsi="Times New Roman"/>
                <w:b/>
                <w:bCs/>
                <w:color w:val="auto"/>
                <w:szCs w:val="21"/>
                <w:highlight w:val="none"/>
              </w:rPr>
            </w:pPr>
            <w:r>
              <w:rPr>
                <w:rFonts w:ascii="Times New Roman" w:hAnsi="Times New Roman"/>
                <w:b/>
                <w:bCs/>
                <w:color w:val="auto"/>
                <w:szCs w:val="21"/>
                <w:highlight w:val="none"/>
                <w:lang w:eastAsia="en-US"/>
              </w:rPr>
              <w:t>（条）</w:t>
            </w:r>
          </w:p>
        </w:tc>
        <w:tc>
          <w:tcPr>
            <w:tcW w:w="1468"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bCs/>
                <w:color w:val="auto"/>
                <w:szCs w:val="21"/>
                <w:highlight w:val="none"/>
              </w:rPr>
            </w:pPr>
            <w:r>
              <w:rPr>
                <w:rFonts w:ascii="Times New Roman" w:hAnsi="Times New Roman"/>
                <w:b/>
                <w:bCs/>
                <w:color w:val="auto"/>
                <w:szCs w:val="21"/>
                <w:highlight w:val="none"/>
              </w:rPr>
              <w:t>林荫道路长度</w:t>
            </w:r>
          </w:p>
          <w:p>
            <w:pPr>
              <w:jc w:val="center"/>
              <w:rPr>
                <w:rFonts w:ascii="Times New Roman" w:hAnsi="Times New Roman"/>
                <w:b/>
                <w:bCs/>
                <w:color w:val="auto"/>
                <w:szCs w:val="21"/>
                <w:highlight w:val="none"/>
              </w:rPr>
            </w:pPr>
            <w:r>
              <w:rPr>
                <w:rFonts w:ascii="Times New Roman" w:hAnsi="Times New Roman"/>
                <w:b/>
                <w:bCs/>
                <w:color w:val="auto"/>
                <w:szCs w:val="21"/>
                <w:highlight w:val="none"/>
              </w:rPr>
              <w:t>（m）</w:t>
            </w:r>
          </w:p>
        </w:tc>
        <w:tc>
          <w:tcPr>
            <w:tcW w:w="1470"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b/>
                <w:bCs/>
                <w:color w:val="auto"/>
                <w:szCs w:val="21"/>
                <w:highlight w:val="none"/>
                <w:lang w:eastAsia="en-US"/>
              </w:rPr>
            </w:pPr>
            <w:r>
              <w:rPr>
                <w:rFonts w:ascii="Times New Roman" w:hAnsi="Times New Roman"/>
                <w:b/>
                <w:bCs/>
                <w:color w:val="auto"/>
                <w:szCs w:val="21"/>
                <w:highlight w:val="none"/>
                <w:lang w:eastAsia="en-US"/>
              </w:rPr>
              <w:t>林荫道路率</w:t>
            </w:r>
          </w:p>
          <w:p>
            <w:pPr>
              <w:jc w:val="center"/>
              <w:rPr>
                <w:rFonts w:ascii="Times New Roman" w:hAnsi="Times New Roman"/>
                <w:b/>
                <w:bCs/>
                <w:color w:val="auto"/>
                <w:szCs w:val="21"/>
                <w:highlight w:val="none"/>
                <w:lang w:eastAsia="en-US"/>
              </w:rPr>
            </w:pPr>
            <w:r>
              <w:rPr>
                <w:rFonts w:ascii="Times New Roman" w:hAnsi="Times New Roman"/>
                <w:b/>
                <w:bCs/>
                <w:color w:val="auto"/>
                <w:szCs w:val="21"/>
                <w:highlight w:val="none"/>
                <w:lang w:eastAsia="en-US"/>
              </w:rPr>
              <w:t>（%）</w:t>
            </w:r>
          </w:p>
        </w:tc>
      </w:tr>
      <w:tr>
        <w:tblPrEx>
          <w:tblCellMar>
            <w:top w:w="0" w:type="dxa"/>
            <w:left w:w="0" w:type="dxa"/>
            <w:bottom w:w="0" w:type="dxa"/>
            <w:right w:w="0" w:type="dxa"/>
          </w:tblCellMar>
        </w:tblPrEx>
        <w:trPr>
          <w:trHeight w:val="476" w:hRule="exact"/>
          <w:jc w:val="center"/>
        </w:trPr>
        <w:tc>
          <w:tcPr>
            <w:tcW w:w="744"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1</w:t>
            </w:r>
          </w:p>
        </w:tc>
        <w:tc>
          <w:tcPr>
            <w:tcW w:w="1691"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szCs w:val="21"/>
                <w:highlight w:val="none"/>
                <w:lang w:eastAsia="en-US"/>
              </w:rPr>
            </w:pPr>
            <w:r>
              <w:rPr>
                <w:rFonts w:ascii="Times New Roman" w:hAnsi="Times New Roman"/>
                <w:color w:val="auto"/>
                <w:szCs w:val="21"/>
                <w:highlight w:val="none"/>
                <w:lang w:eastAsia="en-US"/>
              </w:rPr>
              <w:t>海丰县</w:t>
            </w:r>
          </w:p>
        </w:tc>
        <w:tc>
          <w:tcPr>
            <w:tcW w:w="1468" w:type="dxa"/>
            <w:tcBorders>
              <w:top w:val="single" w:color="000000" w:sz="2" w:space="0"/>
              <w:left w:val="single" w:color="000000" w:sz="2" w:space="0"/>
              <w:bottom w:val="single" w:color="000000" w:sz="2" w:space="0"/>
              <w:right w:val="single" w:color="000000" w:sz="2" w:space="0"/>
            </w:tcBorders>
            <w:vAlign w:val="center"/>
          </w:tcPr>
          <w:p>
            <w:pPr>
              <w:widowControl/>
              <w:jc w:val="center"/>
              <w:textAlignment w:val="center"/>
              <w:rPr>
                <w:rFonts w:ascii="Times New Roman" w:hAnsi="Times New Roman"/>
                <w:color w:val="auto"/>
                <w:szCs w:val="21"/>
                <w:highlight w:val="none"/>
                <w:lang w:eastAsia="en-US"/>
              </w:rPr>
            </w:pPr>
            <w:r>
              <w:rPr>
                <w:rFonts w:ascii="Times New Roman" w:hAnsi="Times New Roman"/>
                <w:color w:val="auto"/>
                <w:kern w:val="0"/>
                <w:szCs w:val="21"/>
                <w:highlight w:val="none"/>
                <w:lang w:bidi="ar"/>
              </w:rPr>
              <w:t>66451</w:t>
            </w:r>
          </w:p>
        </w:tc>
        <w:tc>
          <w:tcPr>
            <w:tcW w:w="1469" w:type="dxa"/>
            <w:tcBorders>
              <w:top w:val="single" w:color="000000" w:sz="2" w:space="0"/>
              <w:left w:val="single" w:color="000000" w:sz="2" w:space="0"/>
              <w:bottom w:val="single" w:color="000000" w:sz="2" w:space="0"/>
              <w:right w:val="single" w:color="000000" w:sz="2" w:space="0"/>
            </w:tcBorders>
            <w:vAlign w:val="center"/>
          </w:tcPr>
          <w:p>
            <w:pPr>
              <w:widowControl/>
              <w:jc w:val="center"/>
              <w:textAlignment w:val="center"/>
              <w:rPr>
                <w:rFonts w:ascii="Times New Roman" w:hAnsi="Times New Roman"/>
                <w:color w:val="auto"/>
                <w:kern w:val="0"/>
                <w:szCs w:val="21"/>
                <w:highlight w:val="none"/>
                <w:lang w:bidi="ar"/>
              </w:rPr>
            </w:pPr>
            <w:r>
              <w:rPr>
                <w:rFonts w:ascii="Times New Roman" w:hAnsi="Times New Roman"/>
                <w:color w:val="auto"/>
                <w:szCs w:val="21"/>
                <w:highlight w:val="none"/>
              </w:rPr>
              <w:t>26</w:t>
            </w:r>
          </w:p>
        </w:tc>
        <w:tc>
          <w:tcPr>
            <w:tcW w:w="1468" w:type="dxa"/>
            <w:tcBorders>
              <w:top w:val="single" w:color="000000" w:sz="2" w:space="0"/>
              <w:left w:val="single" w:color="000000" w:sz="2" w:space="0"/>
              <w:bottom w:val="single" w:color="000000" w:sz="2" w:space="0"/>
              <w:right w:val="single" w:color="000000" w:sz="2" w:space="0"/>
            </w:tcBorders>
            <w:vAlign w:val="center"/>
          </w:tcPr>
          <w:p>
            <w:pPr>
              <w:widowControl/>
              <w:jc w:val="center"/>
              <w:textAlignment w:val="center"/>
              <w:rPr>
                <w:rFonts w:ascii="Times New Roman" w:hAnsi="Times New Roman"/>
                <w:color w:val="auto"/>
                <w:szCs w:val="21"/>
                <w:highlight w:val="none"/>
                <w:lang w:eastAsia="en-US"/>
              </w:rPr>
            </w:pPr>
            <w:r>
              <w:rPr>
                <w:rFonts w:ascii="Times New Roman" w:hAnsi="Times New Roman"/>
                <w:color w:val="auto"/>
                <w:kern w:val="0"/>
                <w:szCs w:val="21"/>
                <w:highlight w:val="none"/>
                <w:lang w:bidi="ar"/>
              </w:rPr>
              <w:t>16616</w:t>
            </w:r>
          </w:p>
        </w:tc>
        <w:tc>
          <w:tcPr>
            <w:tcW w:w="1470" w:type="dxa"/>
            <w:tcBorders>
              <w:top w:val="single" w:color="000000" w:sz="2" w:space="0"/>
              <w:left w:val="single" w:color="000000" w:sz="2" w:space="0"/>
              <w:bottom w:val="single" w:color="000000" w:sz="2" w:space="0"/>
              <w:right w:val="single" w:color="000000" w:sz="2" w:space="0"/>
            </w:tcBorders>
            <w:vAlign w:val="center"/>
          </w:tcPr>
          <w:p>
            <w:pPr>
              <w:jc w:val="center"/>
              <w:rPr>
                <w:rFonts w:ascii="Times New Roman" w:hAnsi="Times New Roman"/>
                <w:color w:val="auto"/>
                <w:szCs w:val="21"/>
                <w:highlight w:val="none"/>
              </w:rPr>
            </w:pPr>
            <w:r>
              <w:rPr>
                <w:rFonts w:ascii="Times New Roman" w:hAnsi="Times New Roman"/>
                <w:color w:val="auto"/>
                <w:szCs w:val="21"/>
                <w:highlight w:val="none"/>
              </w:rPr>
              <w:t>25.0</w:t>
            </w:r>
          </w:p>
        </w:tc>
      </w:tr>
    </w:tbl>
    <w:p>
      <w:pPr>
        <w:spacing w:line="360" w:lineRule="auto"/>
        <w:jc w:val="center"/>
        <w:rPr>
          <w:rFonts w:ascii="Times New Roman" w:hAnsi="Times New Roman"/>
          <w:color w:val="auto"/>
          <w:sz w:val="24"/>
          <w:highlight w:val="none"/>
        </w:rPr>
      </w:pPr>
      <w:r>
        <w:rPr>
          <w:rFonts w:ascii="Times New Roman" w:hAnsi="Times New Roman"/>
          <w:b/>
          <w:color w:val="auto"/>
          <w:sz w:val="24"/>
          <w:highlight w:val="none"/>
        </w:rPr>
        <w:t>表6-</w:t>
      </w:r>
      <w:r>
        <w:rPr>
          <w:rFonts w:hint="eastAsia" w:ascii="Times New Roman" w:hAnsi="Times New Roman"/>
          <w:b/>
          <w:color w:val="auto"/>
          <w:sz w:val="24"/>
          <w:highlight w:val="none"/>
        </w:rPr>
        <w:t>2</w:t>
      </w:r>
      <w:r>
        <w:rPr>
          <w:rFonts w:ascii="Times New Roman" w:hAnsi="Times New Roman"/>
          <w:b/>
          <w:color w:val="auto"/>
          <w:sz w:val="24"/>
          <w:highlight w:val="none"/>
        </w:rPr>
        <w:t xml:space="preserve"> 海丰县建成区林荫道路推广率明细表</w:t>
      </w:r>
    </w:p>
    <w:tbl>
      <w:tblPr>
        <w:tblStyle w:val="20"/>
        <w:tblW w:w="100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95"/>
        <w:gridCol w:w="1885"/>
        <w:gridCol w:w="1170"/>
        <w:gridCol w:w="1170"/>
        <w:gridCol w:w="1170"/>
        <w:gridCol w:w="1170"/>
        <w:gridCol w:w="1170"/>
        <w:gridCol w:w="1170"/>
        <w:gridCol w:w="5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blHeader/>
          <w:jc w:val="center"/>
        </w:trPr>
        <w:tc>
          <w:tcPr>
            <w:tcW w:w="595"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szCs w:val="21"/>
                <w:highlight w:val="none"/>
              </w:rPr>
            </w:pPr>
            <w:r>
              <w:rPr>
                <w:rFonts w:ascii="Times New Roman" w:hAnsi="Times New Roman"/>
                <w:b/>
                <w:color w:val="auto"/>
                <w:kern w:val="0"/>
                <w:szCs w:val="21"/>
                <w:highlight w:val="none"/>
                <w:lang w:bidi="ar"/>
              </w:rPr>
              <w:t>序号</w:t>
            </w:r>
          </w:p>
        </w:tc>
        <w:tc>
          <w:tcPr>
            <w:tcW w:w="1885"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b/>
                <w:color w:val="auto"/>
                <w:szCs w:val="21"/>
                <w:highlight w:val="none"/>
              </w:rPr>
            </w:pPr>
            <w:r>
              <w:rPr>
                <w:rFonts w:ascii="Times New Roman" w:hAnsi="Times New Roman"/>
                <w:b/>
                <w:color w:val="auto"/>
                <w:kern w:val="0"/>
                <w:szCs w:val="21"/>
                <w:highlight w:val="none"/>
                <w:lang w:bidi="ar"/>
              </w:rPr>
              <w:t>道路名称</w:t>
            </w:r>
          </w:p>
        </w:tc>
        <w:tc>
          <w:tcPr>
            <w:tcW w:w="1170" w:type="dxa"/>
            <w:vMerge w:val="restart"/>
            <w:shd w:val="clear" w:color="auto" w:fill="auto"/>
            <w:tcMar>
              <w:top w:w="10" w:type="dxa"/>
              <w:left w:w="10" w:type="dxa"/>
              <w:right w:w="10" w:type="dxa"/>
            </w:tcMar>
            <w:vAlign w:val="center"/>
          </w:tcPr>
          <w:p>
            <w:pPr>
              <w:widowControl/>
              <w:jc w:val="center"/>
              <w:textAlignment w:val="center"/>
              <w:rPr>
                <w:rFonts w:ascii="Times New Roman" w:hAnsi="Times New Roman"/>
                <w:b/>
                <w:color w:val="auto"/>
                <w:szCs w:val="21"/>
                <w:highlight w:val="none"/>
              </w:rPr>
            </w:pPr>
            <w:r>
              <w:rPr>
                <w:rFonts w:ascii="Times New Roman" w:hAnsi="Times New Roman"/>
                <w:b/>
                <w:color w:val="auto"/>
                <w:kern w:val="0"/>
                <w:szCs w:val="21"/>
                <w:highlight w:val="none"/>
                <w:lang w:bidi="ar"/>
              </w:rPr>
              <w:t>人行道或自行车道宽度（m）</w:t>
            </w:r>
          </w:p>
        </w:tc>
        <w:tc>
          <w:tcPr>
            <w:tcW w:w="1170" w:type="dxa"/>
            <w:vMerge w:val="restart"/>
            <w:shd w:val="clear" w:color="auto" w:fill="auto"/>
            <w:tcMar>
              <w:top w:w="10" w:type="dxa"/>
              <w:left w:w="10" w:type="dxa"/>
              <w:right w:w="10" w:type="dxa"/>
            </w:tcMar>
            <w:vAlign w:val="center"/>
          </w:tcPr>
          <w:p>
            <w:pPr>
              <w:widowControl/>
              <w:jc w:val="center"/>
              <w:textAlignment w:val="center"/>
              <w:rPr>
                <w:rFonts w:ascii="Times New Roman" w:hAnsi="Times New Roman"/>
                <w:b/>
                <w:color w:val="auto"/>
                <w:szCs w:val="21"/>
                <w:highlight w:val="none"/>
              </w:rPr>
            </w:pPr>
            <w:r>
              <w:rPr>
                <w:rFonts w:ascii="Times New Roman" w:hAnsi="Times New Roman"/>
                <w:b/>
                <w:color w:val="auto"/>
                <w:kern w:val="0"/>
                <w:szCs w:val="21"/>
                <w:highlight w:val="none"/>
                <w:lang w:bidi="ar"/>
              </w:rPr>
              <w:t>人行道或自行车道长度（m）</w:t>
            </w:r>
          </w:p>
        </w:tc>
        <w:tc>
          <w:tcPr>
            <w:tcW w:w="1170" w:type="dxa"/>
            <w:vMerge w:val="restart"/>
            <w:shd w:val="clear" w:color="auto" w:fill="auto"/>
            <w:tcMar>
              <w:top w:w="10" w:type="dxa"/>
              <w:left w:w="10" w:type="dxa"/>
              <w:right w:w="10" w:type="dxa"/>
            </w:tcMar>
            <w:vAlign w:val="center"/>
          </w:tcPr>
          <w:p>
            <w:pPr>
              <w:widowControl/>
              <w:jc w:val="center"/>
              <w:textAlignment w:val="center"/>
              <w:rPr>
                <w:rFonts w:ascii="Times New Roman" w:hAnsi="Times New Roman"/>
                <w:b/>
                <w:color w:val="auto"/>
                <w:szCs w:val="21"/>
                <w:highlight w:val="none"/>
              </w:rPr>
            </w:pPr>
            <w:r>
              <w:rPr>
                <w:rFonts w:ascii="Times New Roman" w:hAnsi="Times New Roman"/>
                <w:b/>
                <w:color w:val="auto"/>
                <w:kern w:val="0"/>
                <w:szCs w:val="21"/>
                <w:highlight w:val="none"/>
                <w:lang w:bidi="ar"/>
              </w:rPr>
              <w:t>人行道或自行车道面积（㎡）</w:t>
            </w:r>
          </w:p>
        </w:tc>
        <w:tc>
          <w:tcPr>
            <w:tcW w:w="1170" w:type="dxa"/>
            <w:vMerge w:val="restart"/>
            <w:shd w:val="clear" w:color="auto" w:fill="auto"/>
            <w:tcMar>
              <w:top w:w="10" w:type="dxa"/>
              <w:left w:w="10" w:type="dxa"/>
              <w:right w:w="10" w:type="dxa"/>
            </w:tcMar>
            <w:vAlign w:val="center"/>
          </w:tcPr>
          <w:p>
            <w:pPr>
              <w:widowControl/>
              <w:jc w:val="center"/>
              <w:textAlignment w:val="center"/>
              <w:rPr>
                <w:rFonts w:ascii="Times New Roman" w:hAnsi="Times New Roman"/>
                <w:b/>
                <w:color w:val="auto"/>
                <w:szCs w:val="21"/>
                <w:highlight w:val="none"/>
              </w:rPr>
            </w:pPr>
            <w:r>
              <w:rPr>
                <w:rFonts w:ascii="Times New Roman" w:hAnsi="Times New Roman"/>
                <w:b/>
                <w:color w:val="auto"/>
                <w:kern w:val="0"/>
                <w:szCs w:val="21"/>
                <w:highlight w:val="none"/>
                <w:lang w:bidi="ar"/>
              </w:rPr>
              <w:t>人行道或自行车道树冠覆盖宽度（m</w:t>
            </w:r>
            <w:r>
              <w:rPr>
                <w:rFonts w:ascii="Times New Roman" w:hAnsi="Times New Roman"/>
                <w:b/>
                <w:color w:val="auto"/>
                <w:kern w:val="0"/>
                <w:szCs w:val="21"/>
                <w:highlight w:val="none"/>
                <w:vertAlign w:val="superscript"/>
                <w:lang w:bidi="ar"/>
              </w:rPr>
              <w:t>2</w:t>
            </w:r>
            <w:r>
              <w:rPr>
                <w:rFonts w:ascii="Times New Roman" w:hAnsi="Times New Roman"/>
                <w:b/>
                <w:color w:val="auto"/>
                <w:kern w:val="0"/>
                <w:szCs w:val="21"/>
                <w:highlight w:val="none"/>
                <w:lang w:bidi="ar"/>
              </w:rPr>
              <w:t>）</w:t>
            </w:r>
          </w:p>
        </w:tc>
        <w:tc>
          <w:tcPr>
            <w:tcW w:w="1170" w:type="dxa"/>
            <w:vMerge w:val="restart"/>
            <w:shd w:val="clear" w:color="auto" w:fill="auto"/>
            <w:tcMar>
              <w:top w:w="10" w:type="dxa"/>
              <w:left w:w="10" w:type="dxa"/>
              <w:right w:w="10" w:type="dxa"/>
            </w:tcMar>
            <w:vAlign w:val="center"/>
          </w:tcPr>
          <w:p>
            <w:pPr>
              <w:widowControl/>
              <w:jc w:val="center"/>
              <w:textAlignment w:val="center"/>
              <w:rPr>
                <w:rFonts w:ascii="Times New Roman" w:hAnsi="Times New Roman"/>
                <w:b/>
                <w:color w:val="auto"/>
                <w:szCs w:val="21"/>
                <w:highlight w:val="none"/>
              </w:rPr>
            </w:pPr>
            <w:r>
              <w:rPr>
                <w:rFonts w:ascii="Times New Roman" w:hAnsi="Times New Roman"/>
                <w:b/>
                <w:color w:val="auto"/>
                <w:kern w:val="0"/>
                <w:szCs w:val="21"/>
                <w:highlight w:val="none"/>
                <w:lang w:bidi="ar"/>
              </w:rPr>
              <w:t>人行道或自行车道树冠覆盖面积（m</w:t>
            </w:r>
            <w:r>
              <w:rPr>
                <w:rFonts w:ascii="Times New Roman" w:hAnsi="Times New Roman"/>
                <w:b/>
                <w:color w:val="auto"/>
                <w:kern w:val="0"/>
                <w:szCs w:val="21"/>
                <w:highlight w:val="none"/>
                <w:vertAlign w:val="superscript"/>
                <w:lang w:bidi="ar"/>
              </w:rPr>
              <w:t>2</w:t>
            </w:r>
            <w:r>
              <w:rPr>
                <w:rFonts w:ascii="Times New Roman" w:hAnsi="Times New Roman"/>
                <w:b/>
                <w:color w:val="auto"/>
                <w:kern w:val="0"/>
                <w:szCs w:val="21"/>
                <w:highlight w:val="none"/>
                <w:lang w:bidi="ar"/>
              </w:rPr>
              <w:t>）</w:t>
            </w:r>
          </w:p>
        </w:tc>
        <w:tc>
          <w:tcPr>
            <w:tcW w:w="1170" w:type="dxa"/>
            <w:vMerge w:val="restart"/>
            <w:shd w:val="clear" w:color="auto" w:fill="auto"/>
            <w:tcMar>
              <w:top w:w="10" w:type="dxa"/>
              <w:left w:w="10" w:type="dxa"/>
              <w:right w:w="10" w:type="dxa"/>
            </w:tcMar>
            <w:vAlign w:val="center"/>
          </w:tcPr>
          <w:p>
            <w:pPr>
              <w:widowControl/>
              <w:jc w:val="center"/>
              <w:textAlignment w:val="center"/>
              <w:rPr>
                <w:rFonts w:ascii="Times New Roman" w:hAnsi="Times New Roman"/>
                <w:b/>
                <w:color w:val="auto"/>
                <w:szCs w:val="21"/>
                <w:highlight w:val="none"/>
              </w:rPr>
            </w:pPr>
            <w:r>
              <w:rPr>
                <w:rFonts w:ascii="Times New Roman" w:hAnsi="Times New Roman"/>
                <w:b/>
                <w:color w:val="auto"/>
                <w:kern w:val="0"/>
                <w:szCs w:val="21"/>
                <w:highlight w:val="none"/>
                <w:lang w:bidi="ar"/>
              </w:rPr>
              <w:t>人行道或自行车道绿化覆盖率（%）</w:t>
            </w:r>
          </w:p>
        </w:tc>
        <w:tc>
          <w:tcPr>
            <w:tcW w:w="536" w:type="dxa"/>
            <w:vMerge w:val="restart"/>
            <w:shd w:val="clear" w:color="auto" w:fill="auto"/>
            <w:tcMar>
              <w:top w:w="10" w:type="dxa"/>
              <w:left w:w="10" w:type="dxa"/>
              <w:right w:w="10" w:type="dxa"/>
            </w:tcMar>
            <w:vAlign w:val="center"/>
          </w:tcPr>
          <w:p>
            <w:pPr>
              <w:widowControl/>
              <w:jc w:val="center"/>
              <w:textAlignment w:val="center"/>
              <w:rPr>
                <w:rFonts w:ascii="Times New Roman" w:hAnsi="Times New Roman"/>
                <w:b/>
                <w:color w:val="auto"/>
                <w:szCs w:val="21"/>
                <w:highlight w:val="none"/>
              </w:rPr>
            </w:pPr>
            <w:r>
              <w:rPr>
                <w:rFonts w:ascii="Times New Roman" w:hAnsi="Times New Roman"/>
                <w:b/>
                <w:color w:val="auto"/>
                <w:kern w:val="0"/>
                <w:szCs w:val="21"/>
                <w:highlight w:val="none"/>
                <w:lang w:bidi="ar"/>
              </w:rPr>
              <w:t>是否林荫路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38" w:hRule="atLeast"/>
          <w:tblHeader/>
          <w:jc w:val="center"/>
        </w:trPr>
        <w:tc>
          <w:tcPr>
            <w:tcW w:w="595" w:type="dxa"/>
            <w:vMerge w:val="continue"/>
            <w:shd w:val="clear" w:color="auto" w:fill="auto"/>
            <w:noWrap/>
            <w:tcMar>
              <w:top w:w="10" w:type="dxa"/>
              <w:left w:w="10" w:type="dxa"/>
              <w:right w:w="10" w:type="dxa"/>
            </w:tcMar>
            <w:vAlign w:val="center"/>
          </w:tcPr>
          <w:p>
            <w:pPr>
              <w:jc w:val="center"/>
              <w:rPr>
                <w:rFonts w:ascii="Times New Roman" w:hAnsi="Times New Roman"/>
                <w:b/>
                <w:color w:val="auto"/>
                <w:szCs w:val="21"/>
                <w:highlight w:val="none"/>
              </w:rPr>
            </w:pPr>
          </w:p>
        </w:tc>
        <w:tc>
          <w:tcPr>
            <w:tcW w:w="1885" w:type="dxa"/>
            <w:vMerge w:val="continue"/>
            <w:shd w:val="clear" w:color="auto" w:fill="auto"/>
            <w:noWrap/>
            <w:tcMar>
              <w:top w:w="10" w:type="dxa"/>
              <w:left w:w="10" w:type="dxa"/>
              <w:right w:w="10" w:type="dxa"/>
            </w:tcMar>
            <w:vAlign w:val="center"/>
          </w:tcPr>
          <w:p>
            <w:pPr>
              <w:jc w:val="center"/>
              <w:rPr>
                <w:rFonts w:ascii="Times New Roman" w:hAnsi="Times New Roman"/>
                <w:b/>
                <w:color w:val="auto"/>
                <w:szCs w:val="21"/>
                <w:highlight w:val="none"/>
              </w:rPr>
            </w:pPr>
          </w:p>
        </w:tc>
        <w:tc>
          <w:tcPr>
            <w:tcW w:w="1170" w:type="dxa"/>
            <w:vMerge w:val="continue"/>
            <w:shd w:val="clear" w:color="auto" w:fill="auto"/>
            <w:tcMar>
              <w:top w:w="10" w:type="dxa"/>
              <w:left w:w="10" w:type="dxa"/>
              <w:right w:w="10" w:type="dxa"/>
            </w:tcMar>
            <w:vAlign w:val="center"/>
          </w:tcPr>
          <w:p>
            <w:pPr>
              <w:jc w:val="center"/>
              <w:rPr>
                <w:rFonts w:ascii="Times New Roman" w:hAnsi="Times New Roman"/>
                <w:color w:val="auto"/>
                <w:szCs w:val="21"/>
                <w:highlight w:val="none"/>
              </w:rPr>
            </w:pPr>
          </w:p>
        </w:tc>
        <w:tc>
          <w:tcPr>
            <w:tcW w:w="1170" w:type="dxa"/>
            <w:vMerge w:val="continue"/>
            <w:shd w:val="clear" w:color="auto" w:fill="auto"/>
            <w:tcMar>
              <w:top w:w="10" w:type="dxa"/>
              <w:left w:w="10" w:type="dxa"/>
              <w:right w:w="10" w:type="dxa"/>
            </w:tcMar>
            <w:vAlign w:val="center"/>
          </w:tcPr>
          <w:p>
            <w:pPr>
              <w:jc w:val="center"/>
              <w:rPr>
                <w:rFonts w:ascii="Times New Roman" w:hAnsi="Times New Roman"/>
                <w:b/>
                <w:color w:val="auto"/>
                <w:szCs w:val="21"/>
                <w:highlight w:val="none"/>
              </w:rPr>
            </w:pPr>
          </w:p>
        </w:tc>
        <w:tc>
          <w:tcPr>
            <w:tcW w:w="1170" w:type="dxa"/>
            <w:vMerge w:val="continue"/>
            <w:shd w:val="clear" w:color="auto" w:fill="auto"/>
            <w:tcMar>
              <w:top w:w="10" w:type="dxa"/>
              <w:left w:w="10" w:type="dxa"/>
              <w:right w:w="10" w:type="dxa"/>
            </w:tcMar>
            <w:vAlign w:val="center"/>
          </w:tcPr>
          <w:p>
            <w:pPr>
              <w:jc w:val="center"/>
              <w:rPr>
                <w:rFonts w:ascii="Times New Roman" w:hAnsi="Times New Roman"/>
                <w:b/>
                <w:color w:val="auto"/>
                <w:szCs w:val="21"/>
                <w:highlight w:val="none"/>
              </w:rPr>
            </w:pPr>
          </w:p>
        </w:tc>
        <w:tc>
          <w:tcPr>
            <w:tcW w:w="1170" w:type="dxa"/>
            <w:vMerge w:val="continue"/>
            <w:shd w:val="clear" w:color="auto" w:fill="auto"/>
            <w:tcMar>
              <w:top w:w="10" w:type="dxa"/>
              <w:left w:w="10" w:type="dxa"/>
              <w:right w:w="10" w:type="dxa"/>
            </w:tcMar>
            <w:vAlign w:val="center"/>
          </w:tcPr>
          <w:p>
            <w:pPr>
              <w:jc w:val="center"/>
              <w:rPr>
                <w:rFonts w:ascii="Times New Roman" w:hAnsi="Times New Roman"/>
                <w:color w:val="auto"/>
                <w:szCs w:val="21"/>
                <w:highlight w:val="none"/>
              </w:rPr>
            </w:pPr>
          </w:p>
        </w:tc>
        <w:tc>
          <w:tcPr>
            <w:tcW w:w="1170" w:type="dxa"/>
            <w:vMerge w:val="continue"/>
            <w:shd w:val="clear" w:color="auto" w:fill="auto"/>
            <w:tcMar>
              <w:top w:w="10" w:type="dxa"/>
              <w:left w:w="10" w:type="dxa"/>
              <w:right w:w="10" w:type="dxa"/>
            </w:tcMar>
            <w:vAlign w:val="center"/>
          </w:tcPr>
          <w:p>
            <w:pPr>
              <w:jc w:val="center"/>
              <w:rPr>
                <w:rFonts w:ascii="Times New Roman" w:hAnsi="Times New Roman"/>
                <w:color w:val="auto"/>
                <w:szCs w:val="21"/>
                <w:highlight w:val="none"/>
              </w:rPr>
            </w:pPr>
          </w:p>
        </w:tc>
        <w:tc>
          <w:tcPr>
            <w:tcW w:w="1170" w:type="dxa"/>
            <w:vMerge w:val="continue"/>
            <w:shd w:val="clear" w:color="auto" w:fill="auto"/>
            <w:tcMar>
              <w:top w:w="10" w:type="dxa"/>
              <w:left w:w="10" w:type="dxa"/>
              <w:right w:w="10" w:type="dxa"/>
            </w:tcMar>
            <w:vAlign w:val="center"/>
          </w:tcPr>
          <w:p>
            <w:pPr>
              <w:jc w:val="center"/>
              <w:rPr>
                <w:rFonts w:ascii="Times New Roman" w:hAnsi="Times New Roman"/>
                <w:color w:val="auto"/>
                <w:szCs w:val="21"/>
                <w:highlight w:val="none"/>
              </w:rPr>
            </w:pPr>
          </w:p>
        </w:tc>
        <w:tc>
          <w:tcPr>
            <w:tcW w:w="536" w:type="dxa"/>
            <w:vMerge w:val="continue"/>
            <w:shd w:val="clear" w:color="auto" w:fill="auto"/>
            <w:tcMar>
              <w:top w:w="10" w:type="dxa"/>
              <w:left w:w="10" w:type="dxa"/>
              <w:right w:w="10" w:type="dxa"/>
            </w:tcMar>
            <w:vAlign w:val="center"/>
          </w:tcPr>
          <w:p>
            <w:pPr>
              <w:jc w:val="center"/>
              <w:rPr>
                <w:rFonts w:ascii="Times New Roman" w:hAnsi="Times New Roman"/>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w:t>
            </w:r>
          </w:p>
        </w:tc>
        <w:tc>
          <w:tcPr>
            <w:tcW w:w="1885"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红城大道</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2284</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45680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5.5</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12562</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27.5</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vMerge w:val="continue"/>
            <w:shd w:val="clear" w:color="auto" w:fill="auto"/>
            <w:noWrap/>
            <w:tcMar>
              <w:top w:w="10" w:type="dxa"/>
              <w:left w:w="10" w:type="dxa"/>
              <w:right w:w="10" w:type="dxa"/>
            </w:tcMar>
            <w:vAlign w:val="center"/>
          </w:tcPr>
          <w:p>
            <w:pPr>
              <w:jc w:val="center"/>
              <w:rPr>
                <w:rFonts w:ascii="Times New Roman" w:hAnsi="Times New Roman"/>
                <w:color w:val="auto"/>
                <w:szCs w:val="21"/>
                <w:highlight w:val="none"/>
              </w:rPr>
            </w:pPr>
          </w:p>
        </w:tc>
        <w:tc>
          <w:tcPr>
            <w:tcW w:w="1885" w:type="dxa"/>
            <w:vMerge w:val="continue"/>
            <w:shd w:val="clear" w:color="auto" w:fill="auto"/>
            <w:noWrap/>
            <w:tcMar>
              <w:top w:w="10" w:type="dxa"/>
              <w:left w:w="10" w:type="dxa"/>
              <w:right w:w="10" w:type="dxa"/>
            </w:tcMar>
            <w:vAlign w:val="center"/>
          </w:tcPr>
          <w:p>
            <w:pPr>
              <w:jc w:val="center"/>
              <w:rPr>
                <w:rFonts w:ascii="Times New Roman" w:hAnsi="Times New Roman"/>
                <w:color w:val="auto"/>
                <w:szCs w:val="21"/>
                <w:highlight w:val="none"/>
              </w:rPr>
            </w:pP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12</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2581</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30972</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5.5</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14195.5</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45.8</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vMerge w:val="continue"/>
            <w:shd w:val="clear" w:color="auto" w:fill="auto"/>
            <w:noWrap/>
            <w:tcMar>
              <w:top w:w="10" w:type="dxa"/>
              <w:left w:w="10" w:type="dxa"/>
              <w:right w:w="10" w:type="dxa"/>
            </w:tcMar>
            <w:vAlign w:val="center"/>
          </w:tcPr>
          <w:p>
            <w:pPr>
              <w:jc w:val="center"/>
              <w:rPr>
                <w:rFonts w:ascii="Times New Roman" w:hAnsi="Times New Roman"/>
                <w:color w:val="auto"/>
                <w:szCs w:val="21"/>
                <w:highlight w:val="none"/>
              </w:rPr>
            </w:pPr>
          </w:p>
        </w:tc>
        <w:tc>
          <w:tcPr>
            <w:tcW w:w="1885" w:type="dxa"/>
            <w:vMerge w:val="continue"/>
            <w:shd w:val="clear" w:color="auto" w:fill="auto"/>
            <w:noWrap/>
            <w:tcMar>
              <w:top w:w="10" w:type="dxa"/>
              <w:left w:w="10" w:type="dxa"/>
              <w:right w:w="10" w:type="dxa"/>
            </w:tcMar>
            <w:vAlign w:val="center"/>
          </w:tcPr>
          <w:p>
            <w:pPr>
              <w:jc w:val="center"/>
              <w:rPr>
                <w:rFonts w:ascii="Times New Roman" w:hAnsi="Times New Roman"/>
                <w:color w:val="auto"/>
                <w:szCs w:val="21"/>
                <w:highlight w:val="none"/>
              </w:rPr>
            </w:pP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4143</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37287</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24858</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66.7</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w:t>
            </w:r>
          </w:p>
        </w:tc>
        <w:tc>
          <w:tcPr>
            <w:tcW w:w="1885"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二环路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36</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1476</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53136</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4428</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8.3</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vMerge w:val="continue"/>
            <w:shd w:val="clear" w:color="auto" w:fill="auto"/>
            <w:noWrap/>
            <w:tcMar>
              <w:top w:w="10" w:type="dxa"/>
              <w:left w:w="10" w:type="dxa"/>
              <w:right w:w="10" w:type="dxa"/>
            </w:tcMar>
            <w:vAlign w:val="center"/>
          </w:tcPr>
          <w:p>
            <w:pPr>
              <w:jc w:val="center"/>
              <w:rPr>
                <w:rFonts w:ascii="Times New Roman" w:hAnsi="Times New Roman"/>
                <w:color w:val="auto"/>
                <w:szCs w:val="21"/>
                <w:highlight w:val="none"/>
              </w:rPr>
            </w:pPr>
          </w:p>
        </w:tc>
        <w:tc>
          <w:tcPr>
            <w:tcW w:w="1885" w:type="dxa"/>
            <w:vMerge w:val="continue"/>
            <w:shd w:val="clear" w:color="auto" w:fill="auto"/>
            <w:noWrap/>
            <w:tcMar>
              <w:top w:w="10" w:type="dxa"/>
              <w:left w:w="10" w:type="dxa"/>
              <w:right w:w="10" w:type="dxa"/>
            </w:tcMar>
            <w:vAlign w:val="center"/>
          </w:tcPr>
          <w:p>
            <w:pPr>
              <w:jc w:val="center"/>
              <w:rPr>
                <w:rFonts w:ascii="Times New Roman" w:hAnsi="Times New Roman"/>
                <w:color w:val="auto"/>
                <w:szCs w:val="21"/>
                <w:highlight w:val="none"/>
              </w:rPr>
            </w:pP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36</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1373</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49428</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2746</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5.6</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vMerge w:val="continue"/>
            <w:shd w:val="clear" w:color="auto" w:fill="auto"/>
            <w:noWrap/>
            <w:tcMar>
              <w:top w:w="10" w:type="dxa"/>
              <w:left w:w="10" w:type="dxa"/>
              <w:right w:w="10" w:type="dxa"/>
            </w:tcMar>
            <w:vAlign w:val="center"/>
          </w:tcPr>
          <w:p>
            <w:pPr>
              <w:jc w:val="center"/>
              <w:rPr>
                <w:rFonts w:ascii="Times New Roman" w:hAnsi="Times New Roman"/>
                <w:color w:val="auto"/>
                <w:szCs w:val="21"/>
                <w:highlight w:val="none"/>
              </w:rPr>
            </w:pPr>
          </w:p>
        </w:tc>
        <w:tc>
          <w:tcPr>
            <w:tcW w:w="1885" w:type="dxa"/>
            <w:vMerge w:val="continue"/>
            <w:shd w:val="clear" w:color="auto" w:fill="auto"/>
            <w:noWrap/>
            <w:tcMar>
              <w:top w:w="10" w:type="dxa"/>
              <w:left w:w="10" w:type="dxa"/>
              <w:right w:w="10" w:type="dxa"/>
            </w:tcMar>
            <w:vAlign w:val="center"/>
          </w:tcPr>
          <w:p>
            <w:pPr>
              <w:jc w:val="center"/>
              <w:rPr>
                <w:rFonts w:ascii="Times New Roman" w:hAnsi="Times New Roman"/>
                <w:color w:val="auto"/>
                <w:szCs w:val="21"/>
                <w:highlight w:val="none"/>
              </w:rPr>
            </w:pP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36</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3639</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131004</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29112</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22.2</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vMerge w:val="continue"/>
            <w:shd w:val="clear" w:color="auto" w:fill="auto"/>
            <w:noWrap/>
            <w:tcMar>
              <w:top w:w="10" w:type="dxa"/>
              <w:left w:w="10" w:type="dxa"/>
              <w:right w:w="10" w:type="dxa"/>
            </w:tcMar>
            <w:vAlign w:val="center"/>
          </w:tcPr>
          <w:p>
            <w:pPr>
              <w:jc w:val="center"/>
              <w:rPr>
                <w:rFonts w:ascii="Times New Roman" w:hAnsi="Times New Roman"/>
                <w:color w:val="auto"/>
                <w:szCs w:val="21"/>
                <w:highlight w:val="none"/>
              </w:rPr>
            </w:pPr>
          </w:p>
        </w:tc>
        <w:tc>
          <w:tcPr>
            <w:tcW w:w="1885" w:type="dxa"/>
            <w:vMerge w:val="continue"/>
            <w:shd w:val="clear" w:color="auto" w:fill="auto"/>
            <w:noWrap/>
            <w:tcMar>
              <w:top w:w="10" w:type="dxa"/>
              <w:left w:w="10" w:type="dxa"/>
              <w:right w:w="10" w:type="dxa"/>
            </w:tcMar>
            <w:vAlign w:val="center"/>
          </w:tcPr>
          <w:p>
            <w:pPr>
              <w:jc w:val="center"/>
              <w:rPr>
                <w:rFonts w:ascii="Times New Roman" w:hAnsi="Times New Roman"/>
                <w:color w:val="auto"/>
                <w:szCs w:val="21"/>
                <w:highlight w:val="none"/>
              </w:rPr>
            </w:pP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36</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2813</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101268</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2.5</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7032.5</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6.9</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w:t>
            </w:r>
          </w:p>
        </w:tc>
        <w:tc>
          <w:tcPr>
            <w:tcW w:w="1885"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广富路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22</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1760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38720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8800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22.7</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vMerge w:val="continue"/>
            <w:shd w:val="clear" w:color="auto" w:fill="auto"/>
            <w:noWrap/>
            <w:tcMar>
              <w:top w:w="10" w:type="dxa"/>
              <w:left w:w="10" w:type="dxa"/>
              <w:right w:w="10" w:type="dxa"/>
            </w:tcMar>
            <w:vAlign w:val="center"/>
          </w:tcPr>
          <w:p>
            <w:pPr>
              <w:jc w:val="center"/>
              <w:rPr>
                <w:rFonts w:ascii="Times New Roman" w:hAnsi="Times New Roman"/>
                <w:color w:val="auto"/>
                <w:szCs w:val="21"/>
                <w:highlight w:val="none"/>
              </w:rPr>
            </w:pPr>
          </w:p>
        </w:tc>
        <w:tc>
          <w:tcPr>
            <w:tcW w:w="1885" w:type="dxa"/>
            <w:vMerge w:val="continue"/>
            <w:shd w:val="clear" w:color="auto" w:fill="auto"/>
            <w:noWrap/>
            <w:tcMar>
              <w:top w:w="10" w:type="dxa"/>
              <w:left w:w="10" w:type="dxa"/>
              <w:right w:w="10" w:type="dxa"/>
            </w:tcMar>
            <w:vAlign w:val="center"/>
          </w:tcPr>
          <w:p>
            <w:pPr>
              <w:jc w:val="center"/>
              <w:rPr>
                <w:rFonts w:ascii="Times New Roman" w:hAnsi="Times New Roman"/>
                <w:color w:val="auto"/>
                <w:szCs w:val="21"/>
                <w:highlight w:val="none"/>
              </w:rPr>
            </w:pP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14</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867</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12138</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3468</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28.6</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w:t>
            </w:r>
          </w:p>
        </w:tc>
        <w:tc>
          <w:tcPr>
            <w:tcW w:w="1885"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海丽大道</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12</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487</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5844</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1948</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33.3</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vMerge w:val="continue"/>
            <w:shd w:val="clear" w:color="auto" w:fill="auto"/>
            <w:noWrap/>
            <w:tcMar>
              <w:top w:w="10" w:type="dxa"/>
              <w:left w:w="10" w:type="dxa"/>
              <w:right w:w="10" w:type="dxa"/>
            </w:tcMar>
            <w:vAlign w:val="center"/>
          </w:tcPr>
          <w:p>
            <w:pPr>
              <w:jc w:val="center"/>
              <w:rPr>
                <w:rFonts w:ascii="Times New Roman" w:hAnsi="Times New Roman"/>
                <w:color w:val="auto"/>
                <w:szCs w:val="21"/>
                <w:highlight w:val="none"/>
              </w:rPr>
            </w:pPr>
          </w:p>
        </w:tc>
        <w:tc>
          <w:tcPr>
            <w:tcW w:w="1885" w:type="dxa"/>
            <w:vMerge w:val="continue"/>
            <w:shd w:val="clear" w:color="auto" w:fill="auto"/>
            <w:noWrap/>
            <w:tcMar>
              <w:top w:w="10" w:type="dxa"/>
              <w:left w:w="10" w:type="dxa"/>
              <w:right w:w="10" w:type="dxa"/>
            </w:tcMar>
            <w:vAlign w:val="center"/>
          </w:tcPr>
          <w:p>
            <w:pPr>
              <w:jc w:val="center"/>
              <w:rPr>
                <w:rFonts w:ascii="Times New Roman" w:hAnsi="Times New Roman"/>
                <w:color w:val="auto"/>
                <w:szCs w:val="21"/>
                <w:highlight w:val="none"/>
              </w:rPr>
            </w:pP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13</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910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11830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2730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23.1</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w:t>
            </w:r>
          </w:p>
        </w:tc>
        <w:tc>
          <w:tcPr>
            <w:tcW w:w="1885"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福临街</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498</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2988</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1992</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66.7</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vMerge w:val="continue"/>
            <w:shd w:val="clear" w:color="auto" w:fill="auto"/>
            <w:noWrap/>
            <w:tcMar>
              <w:top w:w="10" w:type="dxa"/>
              <w:left w:w="10" w:type="dxa"/>
              <w:right w:w="10" w:type="dxa"/>
            </w:tcMar>
            <w:vAlign w:val="center"/>
          </w:tcPr>
          <w:p>
            <w:pPr>
              <w:jc w:val="center"/>
              <w:rPr>
                <w:rFonts w:ascii="Times New Roman" w:hAnsi="Times New Roman"/>
                <w:color w:val="auto"/>
                <w:szCs w:val="21"/>
                <w:highlight w:val="none"/>
              </w:rPr>
            </w:pPr>
          </w:p>
        </w:tc>
        <w:tc>
          <w:tcPr>
            <w:tcW w:w="1885" w:type="dxa"/>
            <w:vMerge w:val="continue"/>
            <w:shd w:val="clear" w:color="auto" w:fill="auto"/>
            <w:noWrap/>
            <w:tcMar>
              <w:top w:w="10" w:type="dxa"/>
              <w:left w:w="10" w:type="dxa"/>
              <w:right w:w="10" w:type="dxa"/>
            </w:tcMar>
            <w:vAlign w:val="center"/>
          </w:tcPr>
          <w:p>
            <w:pPr>
              <w:jc w:val="center"/>
              <w:rPr>
                <w:rFonts w:ascii="Times New Roman" w:hAnsi="Times New Roman"/>
                <w:color w:val="auto"/>
                <w:szCs w:val="21"/>
                <w:highlight w:val="none"/>
              </w:rPr>
            </w:pP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16</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443</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7088</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3544</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vMerge w:val="continue"/>
            <w:shd w:val="clear" w:color="auto" w:fill="auto"/>
            <w:noWrap/>
            <w:tcMar>
              <w:top w:w="10" w:type="dxa"/>
              <w:left w:w="10" w:type="dxa"/>
              <w:right w:w="10" w:type="dxa"/>
            </w:tcMar>
            <w:vAlign w:val="center"/>
          </w:tcPr>
          <w:p>
            <w:pPr>
              <w:jc w:val="center"/>
              <w:rPr>
                <w:rFonts w:ascii="Times New Roman" w:hAnsi="Times New Roman"/>
                <w:color w:val="auto"/>
                <w:szCs w:val="21"/>
                <w:highlight w:val="none"/>
              </w:rPr>
            </w:pPr>
          </w:p>
        </w:tc>
        <w:tc>
          <w:tcPr>
            <w:tcW w:w="1885" w:type="dxa"/>
            <w:vMerge w:val="continue"/>
            <w:shd w:val="clear" w:color="auto" w:fill="auto"/>
            <w:noWrap/>
            <w:tcMar>
              <w:top w:w="10" w:type="dxa"/>
              <w:left w:w="10" w:type="dxa"/>
              <w:right w:w="10" w:type="dxa"/>
            </w:tcMar>
            <w:vAlign w:val="center"/>
          </w:tcPr>
          <w:p>
            <w:pPr>
              <w:jc w:val="center"/>
              <w:rPr>
                <w:rFonts w:ascii="Times New Roman" w:hAnsi="Times New Roman"/>
                <w:color w:val="auto"/>
                <w:szCs w:val="21"/>
                <w:highlight w:val="none"/>
              </w:rPr>
            </w:pP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16</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241</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3856</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w:t>
            </w:r>
          </w:p>
        </w:tc>
        <w:tc>
          <w:tcPr>
            <w:tcW w:w="1885"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益民路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73</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511</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1.5</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109.5</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21.4</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vMerge w:val="continue"/>
            <w:shd w:val="clear" w:color="auto" w:fill="auto"/>
            <w:noWrap/>
            <w:tcMar>
              <w:top w:w="10" w:type="dxa"/>
              <w:left w:w="10" w:type="dxa"/>
              <w:right w:w="10" w:type="dxa"/>
            </w:tcMar>
            <w:vAlign w:val="center"/>
          </w:tcPr>
          <w:p>
            <w:pPr>
              <w:jc w:val="center"/>
              <w:rPr>
                <w:rFonts w:ascii="Times New Roman" w:hAnsi="Times New Roman"/>
                <w:color w:val="auto"/>
                <w:szCs w:val="21"/>
                <w:highlight w:val="none"/>
              </w:rPr>
            </w:pPr>
          </w:p>
        </w:tc>
        <w:tc>
          <w:tcPr>
            <w:tcW w:w="1885" w:type="dxa"/>
            <w:vMerge w:val="continue"/>
            <w:shd w:val="clear" w:color="auto" w:fill="auto"/>
            <w:noWrap/>
            <w:tcMar>
              <w:top w:w="10" w:type="dxa"/>
              <w:left w:w="10" w:type="dxa"/>
              <w:right w:w="10" w:type="dxa"/>
            </w:tcMar>
            <w:vAlign w:val="center"/>
          </w:tcPr>
          <w:p>
            <w:pPr>
              <w:jc w:val="center"/>
              <w:rPr>
                <w:rFonts w:ascii="Times New Roman" w:hAnsi="Times New Roman"/>
                <w:color w:val="auto"/>
                <w:szCs w:val="21"/>
                <w:highlight w:val="none"/>
              </w:rPr>
            </w:pP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165</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660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1.5</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247.5</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37.5</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三环西路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32</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865</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27680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3460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12.5</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云桂路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565</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3955</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1695</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42.9</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云锋路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282</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1974</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846</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42.9</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新华路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648</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3888</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1296</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33.3</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11</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云岭路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284</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1988</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1136</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57.1</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12</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云岭北路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423</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2115</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2115</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13</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西华路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490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3430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3430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14</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农林路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264</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1848</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1320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71.4</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15</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公园路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16</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公园南路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395</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1185</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1185</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17</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铜钱山路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302</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2114</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18</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人民路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437</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2622</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2622</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19</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解放路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515</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2575</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2575</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20</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解放北路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1467</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10269</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10269</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21</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人民西路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13</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613</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7969</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22</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青年干渠</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23</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祥德路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943</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9430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24</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海紫路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14</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2303</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32242</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25</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海银路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2211</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17688</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4422</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25.0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26</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海龙路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929</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6503</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27</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海河路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18</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673</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12114</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18.0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12114</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28</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红场路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610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3660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1.5</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915</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25.0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29</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育英三路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179</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895</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895</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30</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龙津河东一路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1133</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7931</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7931</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31</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龙津河东二路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1524</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13716</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13716</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32</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龙津河东三路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170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1530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1530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33</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龙津河西一路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1074</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8592</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8592</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34</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龙津河西二路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1540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13860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13860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35</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龙津河西三路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170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1190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680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57.1</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36</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金富豪旁边空地</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37</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金鹏国际对面空地</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38</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海汕路（往汕尾方向）</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23</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598</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13754</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3588</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26.1</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39</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三环西路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40</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三环东路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41</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北环公路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42</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324国道</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43</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育英路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1307</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9149</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2614</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28.6</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44</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体育场路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45</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建设路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144</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864</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864</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46</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粉围路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307</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1842</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614</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33.3</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47</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合兴路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48</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向阳路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621</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3105</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3105</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49</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中山南路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367</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2569</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50</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东圣门路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51</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海悦路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14</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898</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12572</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2694</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21.4</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52</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笏雅村水沟（在建）</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53</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南湖一路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54</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南湖三路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55</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富城一路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56</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海联路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57</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襟德路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425</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2550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58</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联河大道</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59</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海龙路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918</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5508</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60</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狮山一路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61</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狮山二路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62</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宫地山路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878</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6146</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63</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宫地山中路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64</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宫地山横路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843</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5058</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65</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25大道</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834</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8340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66</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广汕公路（往梅陇方向）</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905</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18100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8145</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45.0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67</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广汕公路（往陆丰方向）</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1839</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14712</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14712</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68</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海紫路（往公平方向）</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1270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7620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69</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海银路（往莲花山方向）</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70</w:t>
            </w:r>
          </w:p>
        </w:tc>
        <w:tc>
          <w:tcPr>
            <w:tcW w:w="1885"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育英路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184</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1104</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1104</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71</w:t>
            </w:r>
          </w:p>
        </w:tc>
        <w:tc>
          <w:tcPr>
            <w:tcW w:w="1885" w:type="dxa"/>
            <w:vMerge w:val="continue"/>
            <w:shd w:val="clear" w:color="auto" w:fill="auto"/>
            <w:noWrap/>
            <w:tcMar>
              <w:top w:w="10" w:type="dxa"/>
              <w:left w:w="10" w:type="dxa"/>
              <w:right w:w="10" w:type="dxa"/>
            </w:tcMar>
            <w:vAlign w:val="center"/>
          </w:tcPr>
          <w:p>
            <w:pPr>
              <w:jc w:val="center"/>
              <w:rPr>
                <w:rFonts w:ascii="Times New Roman" w:hAnsi="Times New Roman"/>
                <w:color w:val="auto"/>
                <w:szCs w:val="21"/>
                <w:highlight w:val="none"/>
              </w:rPr>
            </w:pP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379</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1895</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1895</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72</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育英一路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401</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1604</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1604</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73</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大水坑路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74</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叠翠路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75</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金碧路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76</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新园十巷</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77</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云岭山庄二路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130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650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5.0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650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78</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供电路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79</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青年水库路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80</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海城镇政府侧巷</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81</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海城镇政府后巷</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82</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农林下路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401</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2807</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83</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北门新街</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310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1860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84</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峰山路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85</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富城二路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86</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赤山路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1062</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7434</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87</w:t>
            </w:r>
          </w:p>
        </w:tc>
        <w:tc>
          <w:tcPr>
            <w:tcW w:w="1885" w:type="dxa"/>
            <w:vMerge w:val="restart"/>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龙山路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1070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8560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88</w:t>
            </w:r>
          </w:p>
        </w:tc>
        <w:tc>
          <w:tcPr>
            <w:tcW w:w="1885" w:type="dxa"/>
            <w:vMerge w:val="continue"/>
            <w:shd w:val="clear" w:color="auto" w:fill="auto"/>
            <w:noWrap/>
            <w:tcMar>
              <w:top w:w="10" w:type="dxa"/>
              <w:left w:w="10" w:type="dxa"/>
              <w:right w:w="10" w:type="dxa"/>
            </w:tcMar>
            <w:vAlign w:val="center"/>
          </w:tcPr>
          <w:p>
            <w:pPr>
              <w:jc w:val="center"/>
              <w:rPr>
                <w:rFonts w:ascii="Times New Roman" w:hAnsi="Times New Roman"/>
                <w:color w:val="auto"/>
                <w:szCs w:val="21"/>
                <w:highlight w:val="none"/>
              </w:rPr>
            </w:pP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479</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2874</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89</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赤山路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641</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4487</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90</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桥新路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91</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迎春路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92</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看守所门前路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93</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同德路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94</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名园东山路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95</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关后一路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8</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1380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11040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96</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红卫村二路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97</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红卫村三路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98</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红卫村横路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99</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中联电子门前路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金龙居巷</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101</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东盛华庭东侧路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102</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川汇电路板西巷</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285</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1140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1140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103</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大流服饰东巷</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181</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724</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724</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104</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大流洗涤东巷</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144</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432</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432</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105</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永佳化工厂门前路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131</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393</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393</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106</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金园工业区横一路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1035</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4140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4140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107</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金园工业区横二路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1122</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4488</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4488</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108</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鲤鱼山工业区横二路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109</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青年桥防洪路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17</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200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3400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3.0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600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17.6</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110</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中河居委大掘村路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111</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高山富民路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112</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永安达花园东侧路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113</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永安达花园门前路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114</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富城侧路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115</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永福路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9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116</w:t>
            </w:r>
          </w:p>
        </w:tc>
        <w:tc>
          <w:tcPr>
            <w:tcW w:w="1885"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意新首饰门前路</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w:t>
            </w:r>
          </w:p>
        </w:tc>
        <w:tc>
          <w:tcPr>
            <w:tcW w:w="1170"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0.0</w:t>
            </w:r>
          </w:p>
        </w:tc>
        <w:tc>
          <w:tcPr>
            <w:tcW w:w="536" w:type="dxa"/>
            <w:shd w:val="clear" w:color="auto" w:fill="auto"/>
            <w:noWrap/>
            <w:tcMar>
              <w:top w:w="10" w:type="dxa"/>
              <w:left w:w="10" w:type="dxa"/>
              <w:right w:w="10" w:type="dxa"/>
            </w:tcMar>
            <w:vAlign w:val="center"/>
          </w:tcPr>
          <w:p>
            <w:pPr>
              <w:widowControl/>
              <w:jc w:val="center"/>
              <w:textAlignment w:val="center"/>
              <w:rPr>
                <w:rFonts w:ascii="Times New Roman" w:hAnsi="Times New Roman"/>
                <w:color w:val="auto"/>
                <w:szCs w:val="21"/>
                <w:highlight w:val="none"/>
              </w:rPr>
            </w:pPr>
            <w:r>
              <w:rPr>
                <w:rFonts w:ascii="Times New Roman" w:hAnsi="Times New Roman"/>
                <w:color w:val="auto"/>
                <w:kern w:val="0"/>
                <w:szCs w:val="21"/>
                <w:highlight w:val="none"/>
                <w:lang w:bidi="ar"/>
              </w:rPr>
              <w:t>否</w:t>
            </w:r>
          </w:p>
        </w:tc>
      </w:tr>
    </w:tbl>
    <w:p>
      <w:pPr>
        <w:spacing w:line="360" w:lineRule="auto"/>
        <w:rPr>
          <w:rFonts w:ascii="Times New Roman" w:hAnsi="Times New Roman"/>
          <w:color w:val="auto"/>
          <w:szCs w:val="21"/>
          <w:highlight w:val="none"/>
        </w:rPr>
      </w:pPr>
      <w:r>
        <w:rPr>
          <w:rFonts w:ascii="Times New Roman" w:hAnsi="Times New Roman"/>
          <w:color w:val="auto"/>
          <w:szCs w:val="21"/>
          <w:highlight w:val="none"/>
        </w:rPr>
        <w:t>注：步行道、自行车道道路宽度为双侧总宽度。</w:t>
      </w:r>
    </w:p>
    <w:p>
      <w:pPr>
        <w:rPr>
          <w:rFonts w:ascii="Times New Roman" w:hAnsi="Times New Roman"/>
          <w:color w:val="auto"/>
          <w:highlight w:val="none"/>
        </w:rPr>
      </w:pPr>
    </w:p>
    <w:sectPr>
      <w:pgSz w:w="11906" w:h="16838"/>
      <w:pgMar w:top="1440" w:right="1800" w:bottom="1440" w:left="1800" w:header="851" w:footer="992" w:gutter="0"/>
      <w:pgNumType w:fmt="numberInDash"/>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xXU/0tAgAAVwQAAA4AAABkcnMvZTJvRG9jLnhtbK1UzY7TMBC+I/EO&#10;lu80bVe7qqqmq7JVEVLFrrQgzq7jNJH8J9ttUh4A3oATF+48V5+Dz07SRQuHPXBxxp7xN/6+mcni&#10;tlWSHIXztdE5nYzGlAjNTVHrfU4/fdy8mVHiA9MFk0aLnJ6Ep7fL168WjZ2LqamMLIQjANF+3tic&#10;ViHYeZZ5XgnF/MhYoeEsjVMsYOv2WeFYA3Qls+l4fJM1xhXWGS68x+m6c9Ie0b0E0JRlzcXa8IMS&#10;OnSoTkgWQMlXtfV0mV5bloKH+7L0IhCZUzANaUUS2Lu4ZssFm+8ds1XN+yewlzzhGSfFao2kF6g1&#10;C4wcXP0XlKq5M96UYcSNyjoiSRGwmIyfafNYMSsSF0jt7UV0//9g+YfjgyN1kdOra0o0U6j4+fu3&#10;849f559fCc4gUGP9HHGPFpGhfWtatM1w7nEYebelU/ELRgR+yHu6yCvaQHi8NJvOZmO4OHzDBvjZ&#10;03XrfHgnjCLRyKlD/ZKs7Lj1oQsdQmI2bTa1lKmGUpMmpzdX1+N04eIBuNTIEUl0j41WaHdtz2xn&#10;ihOIOdP1hrd8UyP5lvnwwByaAQ/GuIR7LKU0SGJ6i5LKuC//Oo/xqBG8lDRorpxqzBIl8r1G7QAY&#10;BsMNxm4w9EHdGXTrBGNoeTJxwQU5mKUz6jNmaBVzwMU0R6achsG8C12DYwa5WK1SELrNsrDVj5ZH&#10;6Ciet6tDgIBJ1yhKp0SvFfotVaafjdjQf+5T1NP/YPk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OxXU/0tAgAAVwQAAA4AAAAAAAAAAQAgAAAAHwEAAGRycy9lMm9Eb2MueG1sUEsFBgAAAAAG&#10;AAYAWQEAAL4FAAAAAA==&#10;">
              <v:fill on="f" focussize="0,0"/>
              <v:stroke on="f" weight="0.5pt"/>
              <v:imagedata o:title=""/>
              <o:lock v:ext="edit" aspectratio="f"/>
              <v:textbox inset="0mm,0mm,0mm,0mm" style="mso-fit-shape-to-text:t;">
                <w:txbxContent>
                  <w:p>
                    <w:pPr>
                      <w:pStyle w:val="13"/>
                    </w:pP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pPr>
                          <w:r>
                            <w:rPr>
                              <w:rFonts w:hint="eastAsia"/>
                            </w:rPr>
                            <w:fldChar w:fldCharType="begin"/>
                          </w:r>
                          <w:r>
                            <w:rPr>
                              <w:rFonts w:hint="eastAsia"/>
                            </w:rPr>
                            <w:instrText xml:space="preserve"> PAGE  \* MERGEFORMAT </w:instrText>
                          </w:r>
                          <w:r>
                            <w:rPr>
                              <w:rFonts w:hint="eastAsia"/>
                            </w:rPr>
                            <w:fldChar w:fldCharType="separate"/>
                          </w:r>
                          <w:r>
                            <w:t>147</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SBpj0tAgAAVwQAAA4AAABkcnMvZTJvRG9jLnhtbK1UzY7TMBC+I/EO&#10;lu80aVdU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N5MKdFMoeKXH98v&#10;P39ffn0jOINAtfVzxO0sIkPzzjRom+Hc4zDybgqn4heMCPyQ93yVVzSB8HhpNpnNUrg4fMMG+MnT&#10;det8eC+MItHIqEP9WlnZaetDFzqExGzabCop2xpKTeqMTm/epu2FqwfgUiNHJNE9Nlqh2Tc9s73J&#10;zyDmTNcb3vJNheRb5sMDc2gGPBjjEu6xFNIgiektSkrjvv7rPMajRvBSUqO5MqoxS5TIDxq1A2AY&#10;DDcY+8HQR3Vn0K1jjKHlrYkLLsjBLJxRXzBDq5gDLqY5MmU0DOZd6BocM8jFatUGodssC1u9szxC&#10;R/G8XR0DBGx1jaJ0SvRaod/ayvSzERv6z30b9fQ/WD4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BSBpj0tAgAAVwQAAA4AAAAAAAAAAQAgAAAAHwEAAGRycy9lMm9Eb2MueG1sUEsFBgAAAAAG&#10;AAYAWQEAAL4FAAAAAA==&#10;">
              <v:fill on="f" focussize="0,0"/>
              <v:stroke on="f" weight="0.5pt"/>
              <v:imagedata o:title=""/>
              <o:lock v:ext="edit" aspectratio="f"/>
              <v:textbox inset="0mm,0mm,0mm,0mm" style="mso-fit-shape-to-text:t;">
                <w:txbxContent>
                  <w:p>
                    <w:pPr>
                      <w:pStyle w:val="13"/>
                    </w:pPr>
                    <w:r>
                      <w:rPr>
                        <w:rFonts w:hint="eastAsia"/>
                      </w:rPr>
                      <w:fldChar w:fldCharType="begin"/>
                    </w:r>
                    <w:r>
                      <w:rPr>
                        <w:rFonts w:hint="eastAsia"/>
                      </w:rPr>
                      <w:instrText xml:space="preserve"> PAGE  \* MERGEFORMAT </w:instrText>
                    </w:r>
                    <w:r>
                      <w:rPr>
                        <w:rFonts w:hint="eastAsia"/>
                      </w:rPr>
                      <w:fldChar w:fldCharType="separate"/>
                    </w:r>
                    <w:r>
                      <w:t>147</w:t>
                    </w:r>
                    <w:r>
                      <w:rPr>
                        <w:rFonts w:hint="eastAsia"/>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3A3C4FE"/>
    <w:multiLevelType w:val="singleLevel"/>
    <w:tmpl w:val="83A3C4FE"/>
    <w:lvl w:ilvl="0" w:tentative="0">
      <w:start w:val="1"/>
      <w:numFmt w:val="decimal"/>
      <w:suff w:val="nothing"/>
      <w:lvlText w:val="（%1）"/>
      <w:lvlJc w:val="left"/>
    </w:lvl>
  </w:abstractNum>
  <w:abstractNum w:abstractNumId="1">
    <w:nsid w:val="A54DEE22"/>
    <w:multiLevelType w:val="singleLevel"/>
    <w:tmpl w:val="A54DEE22"/>
    <w:lvl w:ilvl="0" w:tentative="0">
      <w:start w:val="3"/>
      <w:numFmt w:val="decimal"/>
      <w:suff w:val="nothing"/>
      <w:lvlText w:val="（%1）"/>
      <w:lvlJc w:val="left"/>
    </w:lvl>
  </w:abstractNum>
  <w:abstractNum w:abstractNumId="2">
    <w:nsid w:val="A7CA1D37"/>
    <w:multiLevelType w:val="singleLevel"/>
    <w:tmpl w:val="A7CA1D37"/>
    <w:lvl w:ilvl="0" w:tentative="0">
      <w:start w:val="1"/>
      <w:numFmt w:val="decimal"/>
      <w:suff w:val="nothing"/>
      <w:lvlText w:val="（%1）"/>
      <w:lvlJc w:val="left"/>
    </w:lvl>
  </w:abstractNum>
  <w:abstractNum w:abstractNumId="3">
    <w:nsid w:val="F58D113E"/>
    <w:multiLevelType w:val="singleLevel"/>
    <w:tmpl w:val="F58D113E"/>
    <w:lvl w:ilvl="0" w:tentative="0">
      <w:start w:val="1"/>
      <w:numFmt w:val="decimal"/>
      <w:suff w:val="nothing"/>
      <w:lvlText w:val="（%1）"/>
      <w:lvlJc w:val="left"/>
    </w:lvl>
  </w:abstractNum>
  <w:abstractNum w:abstractNumId="4">
    <w:nsid w:val="03514EE4"/>
    <w:multiLevelType w:val="singleLevel"/>
    <w:tmpl w:val="03514EE4"/>
    <w:lvl w:ilvl="0" w:tentative="0">
      <w:start w:val="1"/>
      <w:numFmt w:val="decimal"/>
      <w:suff w:val="nothing"/>
      <w:lvlText w:val="（%1）"/>
      <w:lvlJc w:val="left"/>
      <w:pPr>
        <w:ind w:left="420" w:firstLine="0"/>
      </w:pPr>
    </w:lvl>
  </w:abstractNum>
  <w:abstractNum w:abstractNumId="5">
    <w:nsid w:val="06A04398"/>
    <w:multiLevelType w:val="singleLevel"/>
    <w:tmpl w:val="06A04398"/>
    <w:lvl w:ilvl="0" w:tentative="0">
      <w:start w:val="2"/>
      <w:numFmt w:val="decimal"/>
      <w:suff w:val="nothing"/>
      <w:lvlText w:val="（%1）"/>
      <w:lvlJc w:val="left"/>
    </w:lvl>
  </w:abstractNum>
  <w:abstractNum w:abstractNumId="6">
    <w:nsid w:val="145476EA"/>
    <w:multiLevelType w:val="singleLevel"/>
    <w:tmpl w:val="145476EA"/>
    <w:lvl w:ilvl="0" w:tentative="0">
      <w:start w:val="1"/>
      <w:numFmt w:val="decimal"/>
      <w:suff w:val="nothing"/>
      <w:lvlText w:val="（%1）"/>
      <w:lvlJc w:val="left"/>
    </w:lvl>
  </w:abstractNum>
  <w:abstractNum w:abstractNumId="7">
    <w:nsid w:val="4D521356"/>
    <w:multiLevelType w:val="singleLevel"/>
    <w:tmpl w:val="4D521356"/>
    <w:lvl w:ilvl="0" w:tentative="0">
      <w:start w:val="1"/>
      <w:numFmt w:val="decimal"/>
      <w:suff w:val="nothing"/>
      <w:lvlText w:val="（%1）"/>
      <w:lvlJc w:val="left"/>
    </w:lvl>
  </w:abstractNum>
  <w:num w:numId="1">
    <w:abstractNumId w:val="3"/>
  </w:num>
  <w:num w:numId="2">
    <w:abstractNumId w:val="5"/>
  </w:num>
  <w:num w:numId="3">
    <w:abstractNumId w:val="2"/>
  </w:num>
  <w:num w:numId="4">
    <w:abstractNumId w:val="1"/>
  </w:num>
  <w:num w:numId="5">
    <w:abstractNumId w:val="4"/>
  </w:num>
  <w:num w:numId="6">
    <w:abstractNumId w:val="7"/>
  </w:num>
  <w:num w:numId="7">
    <w:abstractNumId w:val="0"/>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hideSpellingErrors/>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NmMTU2N2FhZTBiY2EzZmY0NzU5MTBlOTg4M2ZjMDEifQ=="/>
  </w:docVars>
  <w:rsids>
    <w:rsidRoot w:val="396171B9"/>
    <w:rsid w:val="00054690"/>
    <w:rsid w:val="000627D6"/>
    <w:rsid w:val="00080C5A"/>
    <w:rsid w:val="00091466"/>
    <w:rsid w:val="000A701C"/>
    <w:rsid w:val="000B30C5"/>
    <w:rsid w:val="000B310C"/>
    <w:rsid w:val="000C6F36"/>
    <w:rsid w:val="001013BB"/>
    <w:rsid w:val="00157202"/>
    <w:rsid w:val="00167615"/>
    <w:rsid w:val="001825E2"/>
    <w:rsid w:val="001C2D0A"/>
    <w:rsid w:val="001D1757"/>
    <w:rsid w:val="002021E2"/>
    <w:rsid w:val="00215A04"/>
    <w:rsid w:val="00246226"/>
    <w:rsid w:val="00267666"/>
    <w:rsid w:val="0029173B"/>
    <w:rsid w:val="00294EC3"/>
    <w:rsid w:val="002A2E8C"/>
    <w:rsid w:val="002B28CD"/>
    <w:rsid w:val="002C15DB"/>
    <w:rsid w:val="002C4625"/>
    <w:rsid w:val="002E3636"/>
    <w:rsid w:val="002F2CC2"/>
    <w:rsid w:val="00300E68"/>
    <w:rsid w:val="00323CF2"/>
    <w:rsid w:val="003424C7"/>
    <w:rsid w:val="00347F8C"/>
    <w:rsid w:val="0039000E"/>
    <w:rsid w:val="003B2187"/>
    <w:rsid w:val="003B235B"/>
    <w:rsid w:val="00413CEC"/>
    <w:rsid w:val="0044088E"/>
    <w:rsid w:val="00497734"/>
    <w:rsid w:val="004D3006"/>
    <w:rsid w:val="004E530F"/>
    <w:rsid w:val="00503F09"/>
    <w:rsid w:val="005263BF"/>
    <w:rsid w:val="005515A4"/>
    <w:rsid w:val="00573009"/>
    <w:rsid w:val="00585961"/>
    <w:rsid w:val="005A3D25"/>
    <w:rsid w:val="006104F0"/>
    <w:rsid w:val="00621A91"/>
    <w:rsid w:val="00661834"/>
    <w:rsid w:val="00684D54"/>
    <w:rsid w:val="006A3679"/>
    <w:rsid w:val="006F07C7"/>
    <w:rsid w:val="006F1A3A"/>
    <w:rsid w:val="00704256"/>
    <w:rsid w:val="0072264E"/>
    <w:rsid w:val="007517A6"/>
    <w:rsid w:val="00775F1F"/>
    <w:rsid w:val="00776B99"/>
    <w:rsid w:val="00801C07"/>
    <w:rsid w:val="00803BBE"/>
    <w:rsid w:val="00805721"/>
    <w:rsid w:val="00817707"/>
    <w:rsid w:val="00834543"/>
    <w:rsid w:val="00857402"/>
    <w:rsid w:val="00860AA0"/>
    <w:rsid w:val="008872D1"/>
    <w:rsid w:val="008965A4"/>
    <w:rsid w:val="008A6616"/>
    <w:rsid w:val="008E5BFD"/>
    <w:rsid w:val="00900BC3"/>
    <w:rsid w:val="00903110"/>
    <w:rsid w:val="00940980"/>
    <w:rsid w:val="009B2F0E"/>
    <w:rsid w:val="009C4234"/>
    <w:rsid w:val="009D1A36"/>
    <w:rsid w:val="009E3E40"/>
    <w:rsid w:val="00A160D0"/>
    <w:rsid w:val="00A3327A"/>
    <w:rsid w:val="00AC4702"/>
    <w:rsid w:val="00AF0459"/>
    <w:rsid w:val="00AF4390"/>
    <w:rsid w:val="00B144C4"/>
    <w:rsid w:val="00B22404"/>
    <w:rsid w:val="00B3249D"/>
    <w:rsid w:val="00B63B1D"/>
    <w:rsid w:val="00B744FE"/>
    <w:rsid w:val="00B971AD"/>
    <w:rsid w:val="00BB4718"/>
    <w:rsid w:val="00BE2436"/>
    <w:rsid w:val="00BF3FE2"/>
    <w:rsid w:val="00C43D0D"/>
    <w:rsid w:val="00C636FE"/>
    <w:rsid w:val="00C76C2E"/>
    <w:rsid w:val="00CA0570"/>
    <w:rsid w:val="00CB4DF7"/>
    <w:rsid w:val="00CF0105"/>
    <w:rsid w:val="00D55423"/>
    <w:rsid w:val="00D70B4F"/>
    <w:rsid w:val="00D72DD1"/>
    <w:rsid w:val="00DC4C44"/>
    <w:rsid w:val="00DD6B42"/>
    <w:rsid w:val="00DE293D"/>
    <w:rsid w:val="00DE50FB"/>
    <w:rsid w:val="00E3121F"/>
    <w:rsid w:val="00E373F0"/>
    <w:rsid w:val="00E661E7"/>
    <w:rsid w:val="00E96AEC"/>
    <w:rsid w:val="00EC1ECD"/>
    <w:rsid w:val="00F12A6F"/>
    <w:rsid w:val="00F3251A"/>
    <w:rsid w:val="00F46344"/>
    <w:rsid w:val="00F70442"/>
    <w:rsid w:val="00F82E1E"/>
    <w:rsid w:val="00FA74C5"/>
    <w:rsid w:val="00FB362A"/>
    <w:rsid w:val="00FC7978"/>
    <w:rsid w:val="00FD508E"/>
    <w:rsid w:val="00FE089F"/>
    <w:rsid w:val="01352CB3"/>
    <w:rsid w:val="015A1CAD"/>
    <w:rsid w:val="016C4B37"/>
    <w:rsid w:val="01791586"/>
    <w:rsid w:val="0226019F"/>
    <w:rsid w:val="02356C3D"/>
    <w:rsid w:val="04B07999"/>
    <w:rsid w:val="04D33E5B"/>
    <w:rsid w:val="056704DC"/>
    <w:rsid w:val="05A30A9A"/>
    <w:rsid w:val="06FC1448"/>
    <w:rsid w:val="077F1735"/>
    <w:rsid w:val="08131251"/>
    <w:rsid w:val="082240D5"/>
    <w:rsid w:val="08534881"/>
    <w:rsid w:val="09954E0D"/>
    <w:rsid w:val="0A4F0AFA"/>
    <w:rsid w:val="0B0F7223"/>
    <w:rsid w:val="0B39091C"/>
    <w:rsid w:val="0BC50982"/>
    <w:rsid w:val="0C6A2C74"/>
    <w:rsid w:val="0C864F3E"/>
    <w:rsid w:val="0DCD7987"/>
    <w:rsid w:val="0F1321D9"/>
    <w:rsid w:val="0F2D57F4"/>
    <w:rsid w:val="0F4068A6"/>
    <w:rsid w:val="0F4278C5"/>
    <w:rsid w:val="0F5C1D11"/>
    <w:rsid w:val="0F622A63"/>
    <w:rsid w:val="0FFE610C"/>
    <w:rsid w:val="1041328A"/>
    <w:rsid w:val="110A213F"/>
    <w:rsid w:val="111A7508"/>
    <w:rsid w:val="119C5479"/>
    <w:rsid w:val="12264FEB"/>
    <w:rsid w:val="123A42EB"/>
    <w:rsid w:val="129A47EA"/>
    <w:rsid w:val="12A32841"/>
    <w:rsid w:val="1303460C"/>
    <w:rsid w:val="13210383"/>
    <w:rsid w:val="138B45B4"/>
    <w:rsid w:val="13DB19D3"/>
    <w:rsid w:val="13FD79A2"/>
    <w:rsid w:val="14177CA2"/>
    <w:rsid w:val="144C7C7C"/>
    <w:rsid w:val="158330E9"/>
    <w:rsid w:val="158B2BC1"/>
    <w:rsid w:val="16D80A36"/>
    <w:rsid w:val="17F2300F"/>
    <w:rsid w:val="18871A23"/>
    <w:rsid w:val="189B3EAD"/>
    <w:rsid w:val="19CD6E49"/>
    <w:rsid w:val="1AD73A64"/>
    <w:rsid w:val="1B064AA5"/>
    <w:rsid w:val="1BA04563"/>
    <w:rsid w:val="1C4C5C3D"/>
    <w:rsid w:val="1D134095"/>
    <w:rsid w:val="1EC47BD4"/>
    <w:rsid w:val="1EC874C4"/>
    <w:rsid w:val="1FB46EC3"/>
    <w:rsid w:val="20875268"/>
    <w:rsid w:val="213767DA"/>
    <w:rsid w:val="21D2708C"/>
    <w:rsid w:val="21DE7C3F"/>
    <w:rsid w:val="21DF6D3B"/>
    <w:rsid w:val="22424E7D"/>
    <w:rsid w:val="236527D5"/>
    <w:rsid w:val="24947309"/>
    <w:rsid w:val="249612B5"/>
    <w:rsid w:val="25A05334"/>
    <w:rsid w:val="25EC6D6B"/>
    <w:rsid w:val="266E3976"/>
    <w:rsid w:val="26B67FD7"/>
    <w:rsid w:val="27456850"/>
    <w:rsid w:val="27A430C8"/>
    <w:rsid w:val="27AD74DA"/>
    <w:rsid w:val="28103FCA"/>
    <w:rsid w:val="28846C44"/>
    <w:rsid w:val="28B61DDE"/>
    <w:rsid w:val="28D20098"/>
    <w:rsid w:val="2922184F"/>
    <w:rsid w:val="2A6F185A"/>
    <w:rsid w:val="2A884CC4"/>
    <w:rsid w:val="2AEC6038"/>
    <w:rsid w:val="2C014CEB"/>
    <w:rsid w:val="2C0E1344"/>
    <w:rsid w:val="2C675238"/>
    <w:rsid w:val="2C9B3E15"/>
    <w:rsid w:val="2CF266E8"/>
    <w:rsid w:val="2D1F7600"/>
    <w:rsid w:val="2DB43D82"/>
    <w:rsid w:val="2F0F0D66"/>
    <w:rsid w:val="2F640059"/>
    <w:rsid w:val="2F996043"/>
    <w:rsid w:val="305B32D8"/>
    <w:rsid w:val="30866D58"/>
    <w:rsid w:val="310A54AF"/>
    <w:rsid w:val="31FE603F"/>
    <w:rsid w:val="32160717"/>
    <w:rsid w:val="339F7298"/>
    <w:rsid w:val="340809D3"/>
    <w:rsid w:val="342C7D20"/>
    <w:rsid w:val="34D5117E"/>
    <w:rsid w:val="352D7AE5"/>
    <w:rsid w:val="35EE3C61"/>
    <w:rsid w:val="36AB679F"/>
    <w:rsid w:val="38245281"/>
    <w:rsid w:val="387B1F01"/>
    <w:rsid w:val="38D436DC"/>
    <w:rsid w:val="39213220"/>
    <w:rsid w:val="396171B9"/>
    <w:rsid w:val="39C64DCB"/>
    <w:rsid w:val="3A507C33"/>
    <w:rsid w:val="3A774985"/>
    <w:rsid w:val="3C6215C2"/>
    <w:rsid w:val="3F1C52B8"/>
    <w:rsid w:val="3F2B3DAC"/>
    <w:rsid w:val="3F2C5F85"/>
    <w:rsid w:val="3F7625E6"/>
    <w:rsid w:val="3FB33036"/>
    <w:rsid w:val="3FBC1432"/>
    <w:rsid w:val="41515A6D"/>
    <w:rsid w:val="42A32168"/>
    <w:rsid w:val="433B0177"/>
    <w:rsid w:val="43CF0940"/>
    <w:rsid w:val="44785A00"/>
    <w:rsid w:val="45072128"/>
    <w:rsid w:val="452028E2"/>
    <w:rsid w:val="455A0EC1"/>
    <w:rsid w:val="4670466A"/>
    <w:rsid w:val="4761266C"/>
    <w:rsid w:val="495F2FDB"/>
    <w:rsid w:val="4A145D42"/>
    <w:rsid w:val="4B2B2513"/>
    <w:rsid w:val="4BC55DE1"/>
    <w:rsid w:val="4C4134C1"/>
    <w:rsid w:val="4C983719"/>
    <w:rsid w:val="4CA57785"/>
    <w:rsid w:val="4D1F5B58"/>
    <w:rsid w:val="4DBC68E4"/>
    <w:rsid w:val="4DC4079B"/>
    <w:rsid w:val="4E161F7E"/>
    <w:rsid w:val="4E165992"/>
    <w:rsid w:val="4E8302F5"/>
    <w:rsid w:val="4EEE0333"/>
    <w:rsid w:val="4EFE2EB6"/>
    <w:rsid w:val="4F171117"/>
    <w:rsid w:val="50645006"/>
    <w:rsid w:val="506A45C0"/>
    <w:rsid w:val="50F6034D"/>
    <w:rsid w:val="51486FB7"/>
    <w:rsid w:val="514B0F99"/>
    <w:rsid w:val="53FD12F1"/>
    <w:rsid w:val="543B50AC"/>
    <w:rsid w:val="547118E8"/>
    <w:rsid w:val="54A948D7"/>
    <w:rsid w:val="54D31E51"/>
    <w:rsid w:val="54D46889"/>
    <w:rsid w:val="5899252E"/>
    <w:rsid w:val="58F241B0"/>
    <w:rsid w:val="5943798F"/>
    <w:rsid w:val="59BF35BA"/>
    <w:rsid w:val="5A577517"/>
    <w:rsid w:val="5A8D2D09"/>
    <w:rsid w:val="5C2038DF"/>
    <w:rsid w:val="5C27152C"/>
    <w:rsid w:val="5C895EF7"/>
    <w:rsid w:val="5D443F73"/>
    <w:rsid w:val="5D742429"/>
    <w:rsid w:val="5DAB7475"/>
    <w:rsid w:val="5DE25170"/>
    <w:rsid w:val="5E437576"/>
    <w:rsid w:val="5E553D28"/>
    <w:rsid w:val="5FF0025E"/>
    <w:rsid w:val="615934FE"/>
    <w:rsid w:val="62964BDF"/>
    <w:rsid w:val="643871AA"/>
    <w:rsid w:val="645313FA"/>
    <w:rsid w:val="648654AD"/>
    <w:rsid w:val="659214EE"/>
    <w:rsid w:val="66AB1F00"/>
    <w:rsid w:val="672E191C"/>
    <w:rsid w:val="67761951"/>
    <w:rsid w:val="67CD35C5"/>
    <w:rsid w:val="67EF7C22"/>
    <w:rsid w:val="685C0B5C"/>
    <w:rsid w:val="6863534F"/>
    <w:rsid w:val="687B5126"/>
    <w:rsid w:val="692C4F79"/>
    <w:rsid w:val="69B65C0A"/>
    <w:rsid w:val="6B28586E"/>
    <w:rsid w:val="6B4C78B9"/>
    <w:rsid w:val="6B932DE9"/>
    <w:rsid w:val="6BE82FD7"/>
    <w:rsid w:val="6C6262D8"/>
    <w:rsid w:val="6D31544C"/>
    <w:rsid w:val="6E376764"/>
    <w:rsid w:val="6EAE1830"/>
    <w:rsid w:val="6FF34796"/>
    <w:rsid w:val="71866B59"/>
    <w:rsid w:val="71A27ECB"/>
    <w:rsid w:val="72CD7B65"/>
    <w:rsid w:val="73B954F3"/>
    <w:rsid w:val="74620C8A"/>
    <w:rsid w:val="74B90F6F"/>
    <w:rsid w:val="74BC20D1"/>
    <w:rsid w:val="74E514B0"/>
    <w:rsid w:val="757F083A"/>
    <w:rsid w:val="76143CD8"/>
    <w:rsid w:val="78CE0546"/>
    <w:rsid w:val="79236973"/>
    <w:rsid w:val="799E165F"/>
    <w:rsid w:val="79E570F3"/>
    <w:rsid w:val="7B3C51E3"/>
    <w:rsid w:val="7B636C90"/>
    <w:rsid w:val="7DF207D2"/>
    <w:rsid w:val="7E340933"/>
    <w:rsid w:val="7E5A75C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qFormat="1"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99"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paragraph" w:styleId="4">
    <w:name w:val="heading 1"/>
    <w:basedOn w:val="1"/>
    <w:next w:val="1"/>
    <w:qFormat/>
    <w:uiPriority w:val="0"/>
    <w:pPr>
      <w:keepNext/>
      <w:keepLines/>
      <w:outlineLvl w:val="0"/>
    </w:pPr>
    <w:rPr>
      <w:rFonts w:eastAsia="黑体"/>
      <w:b/>
      <w:kern w:val="44"/>
      <w:sz w:val="32"/>
    </w:rPr>
  </w:style>
  <w:style w:type="paragraph" w:styleId="5">
    <w:name w:val="heading 2"/>
    <w:basedOn w:val="1"/>
    <w:next w:val="1"/>
    <w:unhideWhenUsed/>
    <w:qFormat/>
    <w:uiPriority w:val="0"/>
    <w:pPr>
      <w:keepNext/>
      <w:keepLines/>
      <w:outlineLvl w:val="1"/>
    </w:pPr>
    <w:rPr>
      <w:rFonts w:ascii="Arial" w:hAnsi="Arial" w:eastAsia="黑体"/>
      <w:b/>
      <w:sz w:val="30"/>
    </w:rPr>
  </w:style>
  <w:style w:type="paragraph" w:styleId="6">
    <w:name w:val="heading 3"/>
    <w:basedOn w:val="1"/>
    <w:next w:val="1"/>
    <w:unhideWhenUsed/>
    <w:qFormat/>
    <w:uiPriority w:val="0"/>
    <w:pPr>
      <w:keepNext/>
      <w:keepLines/>
      <w:outlineLvl w:val="2"/>
    </w:pPr>
    <w:rPr>
      <w:b/>
      <w:sz w:val="28"/>
    </w:rPr>
  </w:style>
  <w:style w:type="character" w:default="1" w:styleId="22">
    <w:name w:val="Default Paragraph Font"/>
    <w:semiHidden/>
    <w:unhideWhenUsed/>
    <w:qFormat/>
    <w:uiPriority w:val="1"/>
  </w:style>
  <w:style w:type="table" w:default="1" w:styleId="20">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link w:val="25"/>
    <w:unhideWhenUsed/>
    <w:qFormat/>
    <w:uiPriority w:val="99"/>
    <w:pPr>
      <w:ind w:firstLine="420" w:firstLineChars="200"/>
    </w:pPr>
    <w:rPr>
      <w:rFonts w:eastAsia="仿宋"/>
      <w:sz w:val="28"/>
    </w:rPr>
  </w:style>
  <w:style w:type="paragraph" w:styleId="3">
    <w:name w:val="Body Text Indent"/>
    <w:basedOn w:val="1"/>
    <w:link w:val="24"/>
    <w:unhideWhenUsed/>
    <w:qFormat/>
    <w:uiPriority w:val="99"/>
    <w:pPr>
      <w:spacing w:after="120"/>
      <w:ind w:left="420" w:leftChars="200"/>
    </w:pPr>
  </w:style>
  <w:style w:type="paragraph" w:styleId="7">
    <w:name w:val="toc 7"/>
    <w:basedOn w:val="1"/>
    <w:next w:val="1"/>
    <w:qFormat/>
    <w:uiPriority w:val="39"/>
    <w:pPr>
      <w:ind w:left="1260"/>
      <w:jc w:val="left"/>
    </w:pPr>
    <w:rPr>
      <w:rFonts w:asciiTheme="minorHAnsi" w:hAnsiTheme="minorHAnsi" w:cstheme="minorHAnsi"/>
      <w:sz w:val="18"/>
      <w:szCs w:val="18"/>
    </w:rPr>
  </w:style>
  <w:style w:type="paragraph" w:styleId="8">
    <w:name w:val="annotation text"/>
    <w:basedOn w:val="1"/>
    <w:link w:val="37"/>
    <w:qFormat/>
    <w:uiPriority w:val="0"/>
    <w:pPr>
      <w:jc w:val="left"/>
    </w:pPr>
  </w:style>
  <w:style w:type="paragraph" w:styleId="9">
    <w:name w:val="toc 5"/>
    <w:basedOn w:val="1"/>
    <w:next w:val="1"/>
    <w:qFormat/>
    <w:uiPriority w:val="39"/>
    <w:pPr>
      <w:ind w:left="840"/>
      <w:jc w:val="left"/>
    </w:pPr>
    <w:rPr>
      <w:rFonts w:asciiTheme="minorHAnsi" w:hAnsiTheme="minorHAnsi" w:cstheme="minorHAnsi"/>
      <w:sz w:val="18"/>
      <w:szCs w:val="18"/>
    </w:rPr>
  </w:style>
  <w:style w:type="paragraph" w:styleId="10">
    <w:name w:val="toc 3"/>
    <w:basedOn w:val="1"/>
    <w:next w:val="1"/>
    <w:qFormat/>
    <w:uiPriority w:val="39"/>
    <w:pPr>
      <w:ind w:left="420"/>
      <w:jc w:val="left"/>
    </w:pPr>
    <w:rPr>
      <w:rFonts w:asciiTheme="minorHAnsi" w:hAnsiTheme="minorHAnsi" w:cstheme="minorHAnsi"/>
      <w:i/>
      <w:iCs/>
      <w:sz w:val="20"/>
      <w:szCs w:val="20"/>
    </w:rPr>
  </w:style>
  <w:style w:type="paragraph" w:styleId="11">
    <w:name w:val="toc 8"/>
    <w:basedOn w:val="1"/>
    <w:next w:val="1"/>
    <w:qFormat/>
    <w:uiPriority w:val="39"/>
    <w:pPr>
      <w:ind w:left="1470"/>
      <w:jc w:val="left"/>
    </w:pPr>
    <w:rPr>
      <w:rFonts w:asciiTheme="minorHAnsi" w:hAnsiTheme="minorHAnsi" w:cstheme="minorHAnsi"/>
      <w:sz w:val="18"/>
      <w:szCs w:val="18"/>
    </w:rPr>
  </w:style>
  <w:style w:type="paragraph" w:styleId="12">
    <w:name w:val="Balloon Text"/>
    <w:basedOn w:val="1"/>
    <w:link w:val="26"/>
    <w:qFormat/>
    <w:uiPriority w:val="0"/>
    <w:rPr>
      <w:sz w:val="18"/>
      <w:szCs w:val="18"/>
    </w:rPr>
  </w:style>
  <w:style w:type="paragraph" w:styleId="13">
    <w:name w:val="footer"/>
    <w:basedOn w:val="1"/>
    <w:qFormat/>
    <w:uiPriority w:val="0"/>
    <w:pPr>
      <w:tabs>
        <w:tab w:val="center" w:pos="4153"/>
        <w:tab w:val="right" w:pos="8306"/>
      </w:tabs>
      <w:snapToGrid w:val="0"/>
      <w:jc w:val="left"/>
    </w:pPr>
    <w:rPr>
      <w:sz w:val="18"/>
    </w:rPr>
  </w:style>
  <w:style w:type="paragraph" w:styleId="14">
    <w:name w:val="header"/>
    <w:basedOn w:val="1"/>
    <w:link w:val="36"/>
    <w:qFormat/>
    <w:uiPriority w:val="0"/>
    <w:pPr>
      <w:pBdr>
        <w:bottom w:val="single" w:color="auto" w:sz="6" w:space="1"/>
      </w:pBdr>
      <w:tabs>
        <w:tab w:val="center" w:pos="4153"/>
        <w:tab w:val="right" w:pos="8306"/>
      </w:tabs>
      <w:snapToGrid w:val="0"/>
      <w:jc w:val="center"/>
    </w:pPr>
    <w:rPr>
      <w:sz w:val="18"/>
      <w:szCs w:val="18"/>
    </w:rPr>
  </w:style>
  <w:style w:type="paragraph" w:styleId="15">
    <w:name w:val="toc 1"/>
    <w:basedOn w:val="1"/>
    <w:next w:val="1"/>
    <w:qFormat/>
    <w:uiPriority w:val="39"/>
    <w:pPr>
      <w:spacing w:before="120" w:after="120"/>
      <w:jc w:val="left"/>
    </w:pPr>
    <w:rPr>
      <w:rFonts w:asciiTheme="minorHAnsi" w:hAnsiTheme="minorHAnsi" w:cstheme="minorHAnsi"/>
      <w:b/>
      <w:bCs/>
      <w:caps/>
      <w:sz w:val="20"/>
      <w:szCs w:val="20"/>
    </w:rPr>
  </w:style>
  <w:style w:type="paragraph" w:styleId="16">
    <w:name w:val="toc 4"/>
    <w:basedOn w:val="1"/>
    <w:next w:val="1"/>
    <w:qFormat/>
    <w:uiPriority w:val="39"/>
    <w:pPr>
      <w:ind w:left="630"/>
      <w:jc w:val="left"/>
    </w:pPr>
    <w:rPr>
      <w:rFonts w:asciiTheme="minorHAnsi" w:hAnsiTheme="minorHAnsi" w:cstheme="minorHAnsi"/>
      <w:sz w:val="18"/>
      <w:szCs w:val="18"/>
    </w:rPr>
  </w:style>
  <w:style w:type="paragraph" w:styleId="17">
    <w:name w:val="toc 6"/>
    <w:basedOn w:val="1"/>
    <w:next w:val="1"/>
    <w:qFormat/>
    <w:uiPriority w:val="39"/>
    <w:pPr>
      <w:ind w:left="1050"/>
      <w:jc w:val="left"/>
    </w:pPr>
    <w:rPr>
      <w:rFonts w:asciiTheme="minorHAnsi" w:hAnsiTheme="minorHAnsi" w:cstheme="minorHAnsi"/>
      <w:sz w:val="18"/>
      <w:szCs w:val="18"/>
    </w:rPr>
  </w:style>
  <w:style w:type="paragraph" w:styleId="18">
    <w:name w:val="toc 2"/>
    <w:basedOn w:val="1"/>
    <w:next w:val="1"/>
    <w:qFormat/>
    <w:uiPriority w:val="39"/>
    <w:pPr>
      <w:ind w:left="210"/>
      <w:jc w:val="left"/>
    </w:pPr>
    <w:rPr>
      <w:rFonts w:asciiTheme="minorHAnsi" w:hAnsiTheme="minorHAnsi" w:cstheme="minorHAnsi"/>
      <w:smallCaps/>
      <w:sz w:val="20"/>
      <w:szCs w:val="20"/>
    </w:rPr>
  </w:style>
  <w:style w:type="paragraph" w:styleId="19">
    <w:name w:val="toc 9"/>
    <w:basedOn w:val="1"/>
    <w:next w:val="1"/>
    <w:qFormat/>
    <w:uiPriority w:val="39"/>
    <w:pPr>
      <w:ind w:left="1680"/>
      <w:jc w:val="left"/>
    </w:pPr>
    <w:rPr>
      <w:rFonts w:asciiTheme="minorHAnsi" w:hAnsiTheme="minorHAnsi" w:cstheme="minorHAnsi"/>
      <w:sz w:val="18"/>
      <w:szCs w:val="18"/>
    </w:rPr>
  </w:style>
  <w:style w:type="table" w:styleId="21">
    <w:name w:val="Table Grid"/>
    <w:basedOn w:val="2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3">
    <w:name w:val="Hyperlink"/>
    <w:basedOn w:val="22"/>
    <w:unhideWhenUsed/>
    <w:qFormat/>
    <w:uiPriority w:val="99"/>
    <w:rPr>
      <w:color w:val="0563C1" w:themeColor="hyperlink"/>
      <w:u w:val="single"/>
      <w14:textFill>
        <w14:solidFill>
          <w14:schemeClr w14:val="hlink"/>
        </w14:solidFill>
      </w14:textFill>
    </w:rPr>
  </w:style>
  <w:style w:type="character" w:customStyle="1" w:styleId="24">
    <w:name w:val="正文文本缩进 Char"/>
    <w:basedOn w:val="22"/>
    <w:link w:val="3"/>
    <w:qFormat/>
    <w:uiPriority w:val="99"/>
    <w:rPr>
      <w:rFonts w:ascii="Calibri" w:hAnsi="Calibri"/>
      <w:kern w:val="2"/>
      <w:sz w:val="21"/>
      <w:szCs w:val="24"/>
    </w:rPr>
  </w:style>
  <w:style w:type="character" w:customStyle="1" w:styleId="25">
    <w:name w:val="正文首行缩进 2 Char"/>
    <w:basedOn w:val="24"/>
    <w:link w:val="2"/>
    <w:qFormat/>
    <w:uiPriority w:val="99"/>
    <w:rPr>
      <w:rFonts w:ascii="Calibri" w:hAnsi="Calibri" w:eastAsia="仿宋"/>
      <w:kern w:val="2"/>
      <w:sz w:val="28"/>
      <w:szCs w:val="24"/>
    </w:rPr>
  </w:style>
  <w:style w:type="character" w:customStyle="1" w:styleId="26">
    <w:name w:val="批注框文本 Char"/>
    <w:basedOn w:val="22"/>
    <w:link w:val="12"/>
    <w:qFormat/>
    <w:uiPriority w:val="0"/>
    <w:rPr>
      <w:rFonts w:ascii="Calibri" w:hAnsi="Calibri"/>
      <w:kern w:val="2"/>
      <w:sz w:val="18"/>
      <w:szCs w:val="18"/>
    </w:rPr>
  </w:style>
  <w:style w:type="paragraph" w:styleId="27">
    <w:name w:val="List Paragraph"/>
    <w:basedOn w:val="1"/>
    <w:qFormat/>
    <w:uiPriority w:val="34"/>
    <w:pPr>
      <w:ind w:firstLine="420" w:firstLineChars="200"/>
    </w:pPr>
  </w:style>
  <w:style w:type="character" w:customStyle="1" w:styleId="28">
    <w:name w:val="font21"/>
    <w:basedOn w:val="22"/>
    <w:qFormat/>
    <w:uiPriority w:val="0"/>
    <w:rPr>
      <w:rFonts w:hint="eastAsia" w:ascii="仿宋" w:hAnsi="仿宋" w:eastAsia="仿宋" w:cs="仿宋"/>
      <w:color w:val="000000"/>
      <w:sz w:val="24"/>
      <w:szCs w:val="24"/>
      <w:u w:val="none"/>
    </w:rPr>
  </w:style>
  <w:style w:type="character" w:customStyle="1" w:styleId="29">
    <w:name w:val="font31"/>
    <w:basedOn w:val="22"/>
    <w:qFormat/>
    <w:uiPriority w:val="0"/>
    <w:rPr>
      <w:rFonts w:hint="eastAsia" w:ascii="宋体" w:hAnsi="宋体" w:eastAsia="宋体" w:cs="宋体"/>
      <w:color w:val="000000"/>
      <w:sz w:val="24"/>
      <w:szCs w:val="24"/>
      <w:u w:val="none"/>
    </w:rPr>
  </w:style>
  <w:style w:type="character" w:customStyle="1" w:styleId="30">
    <w:name w:val="font11"/>
    <w:basedOn w:val="22"/>
    <w:qFormat/>
    <w:uiPriority w:val="0"/>
    <w:rPr>
      <w:rFonts w:hint="eastAsia" w:ascii="宋体" w:hAnsi="宋体" w:eastAsia="宋体" w:cs="宋体"/>
      <w:color w:val="000000"/>
      <w:sz w:val="24"/>
      <w:szCs w:val="24"/>
      <w:u w:val="none"/>
    </w:rPr>
  </w:style>
  <w:style w:type="character" w:customStyle="1" w:styleId="31">
    <w:name w:val="font71"/>
    <w:basedOn w:val="22"/>
    <w:qFormat/>
    <w:uiPriority w:val="0"/>
    <w:rPr>
      <w:rFonts w:hint="eastAsia" w:ascii="宋体" w:hAnsi="宋体" w:eastAsia="宋体" w:cs="宋体"/>
      <w:color w:val="000000"/>
      <w:sz w:val="24"/>
      <w:szCs w:val="24"/>
      <w:u w:val="none"/>
    </w:rPr>
  </w:style>
  <w:style w:type="character" w:customStyle="1" w:styleId="32">
    <w:name w:val="font41"/>
    <w:basedOn w:val="22"/>
    <w:qFormat/>
    <w:uiPriority w:val="0"/>
    <w:rPr>
      <w:rFonts w:hint="eastAsia" w:ascii="宋体" w:hAnsi="宋体" w:eastAsia="宋体" w:cs="宋体"/>
      <w:color w:val="000000"/>
      <w:sz w:val="24"/>
      <w:szCs w:val="24"/>
      <w:u w:val="none"/>
    </w:rPr>
  </w:style>
  <w:style w:type="character" w:customStyle="1" w:styleId="33">
    <w:name w:val="font51"/>
    <w:basedOn w:val="22"/>
    <w:qFormat/>
    <w:uiPriority w:val="0"/>
    <w:rPr>
      <w:rFonts w:hint="eastAsia" w:ascii="宋体" w:hAnsi="宋体" w:eastAsia="宋体" w:cs="宋体"/>
      <w:color w:val="000000"/>
      <w:sz w:val="22"/>
      <w:szCs w:val="22"/>
      <w:u w:val="none"/>
    </w:rPr>
  </w:style>
  <w:style w:type="character" w:customStyle="1" w:styleId="34">
    <w:name w:val="font01"/>
    <w:basedOn w:val="22"/>
    <w:qFormat/>
    <w:uiPriority w:val="0"/>
    <w:rPr>
      <w:rFonts w:hint="eastAsia" w:ascii="宋体" w:hAnsi="宋体" w:eastAsia="宋体" w:cs="宋体"/>
      <w:color w:val="4C4C4C"/>
      <w:sz w:val="18"/>
      <w:szCs w:val="18"/>
      <w:u w:val="none"/>
    </w:rPr>
  </w:style>
  <w:style w:type="character" w:customStyle="1" w:styleId="35">
    <w:name w:val="font121"/>
    <w:basedOn w:val="22"/>
    <w:qFormat/>
    <w:uiPriority w:val="0"/>
    <w:rPr>
      <w:rFonts w:hint="default" w:ascii="Arial" w:hAnsi="Arial" w:cs="Arial"/>
      <w:color w:val="000000"/>
      <w:sz w:val="24"/>
      <w:szCs w:val="24"/>
      <w:u w:val="none"/>
    </w:rPr>
  </w:style>
  <w:style w:type="character" w:customStyle="1" w:styleId="36">
    <w:name w:val="页眉 Char"/>
    <w:basedOn w:val="22"/>
    <w:link w:val="14"/>
    <w:qFormat/>
    <w:uiPriority w:val="0"/>
    <w:rPr>
      <w:rFonts w:ascii="Calibri" w:hAnsi="Calibri"/>
      <w:kern w:val="2"/>
      <w:sz w:val="18"/>
      <w:szCs w:val="18"/>
    </w:rPr>
  </w:style>
  <w:style w:type="character" w:customStyle="1" w:styleId="37">
    <w:name w:val="批注文字 Char"/>
    <w:basedOn w:val="22"/>
    <w:link w:val="8"/>
    <w:qFormat/>
    <w:uiPriority w:val="0"/>
    <w:rPr>
      <w:rFonts w:ascii="Calibri" w:hAnsi="Calibri"/>
      <w:kern w:val="2"/>
      <w:sz w:val="21"/>
      <w:szCs w:val="24"/>
    </w:rPr>
  </w:style>
  <w:style w:type="paragraph" w:customStyle="1" w:styleId="38">
    <w:name w:val="Body text|1"/>
    <w:basedOn w:val="1"/>
    <w:qFormat/>
    <w:uiPriority w:val="0"/>
    <w:pPr>
      <w:widowControl w:val="0"/>
      <w:shd w:val="clear" w:color="auto" w:fill="auto"/>
      <w:spacing w:line="396" w:lineRule="auto"/>
      <w:ind w:firstLine="400"/>
    </w:pPr>
    <w:rPr>
      <w:rFonts w:ascii="宋体" w:hAnsi="宋体" w:eastAsia="宋体" w:cs="宋体"/>
      <w:sz w:val="30"/>
      <w:szCs w:val="30"/>
      <w:u w:val="none"/>
      <w:shd w:val="clear" w:color="auto" w:fill="auto"/>
      <w:lang w:val="zh-TW" w:eastAsia="zh-TW" w:bidi="zh-TW"/>
    </w:rPr>
  </w:style>
  <w:style w:type="character" w:customStyle="1" w:styleId="39">
    <w:name w:val="font61"/>
    <w:basedOn w:val="22"/>
    <w:qFormat/>
    <w:uiPriority w:val="0"/>
    <w:rPr>
      <w:rFonts w:hint="eastAsia" w:ascii="宋体" w:hAnsi="宋体" w:eastAsia="宋体" w:cs="宋体"/>
      <w:color w:val="000000"/>
      <w:sz w:val="24"/>
      <w:szCs w:val="24"/>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2.xml"/><Relationship Id="rId39" Type="http://schemas.openxmlformats.org/officeDocument/2006/relationships/fontTable" Target="fontTable.xml"/><Relationship Id="rId38" Type="http://schemas.openxmlformats.org/officeDocument/2006/relationships/customXml" Target="../customXml/item2.xml"/><Relationship Id="rId37" Type="http://schemas.openxmlformats.org/officeDocument/2006/relationships/numbering" Target="numbering.xml"/><Relationship Id="rId36" Type="http://schemas.openxmlformats.org/officeDocument/2006/relationships/customXml" Target="../customXml/item1.xml"/><Relationship Id="rId35" Type="http://schemas.openxmlformats.org/officeDocument/2006/relationships/image" Target="media/image30.png"/><Relationship Id="rId34" Type="http://schemas.openxmlformats.org/officeDocument/2006/relationships/image" Target="media/image29.jpeg"/><Relationship Id="rId33" Type="http://schemas.openxmlformats.org/officeDocument/2006/relationships/image" Target="media/image28.jpeg"/><Relationship Id="rId32" Type="http://schemas.openxmlformats.org/officeDocument/2006/relationships/image" Target="media/image27.jpeg"/><Relationship Id="rId31" Type="http://schemas.openxmlformats.org/officeDocument/2006/relationships/image" Target="media/image26.jpeg"/><Relationship Id="rId30" Type="http://schemas.openxmlformats.org/officeDocument/2006/relationships/image" Target="media/image25.jpeg"/><Relationship Id="rId3" Type="http://schemas.openxmlformats.org/officeDocument/2006/relationships/footer" Target="footer1.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jpe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EACB70F-55BD-4EC6-857C-DAD1E35254AE}">
  <ds:schemaRefs/>
</ds:datastoreItem>
</file>

<file path=docProps/app.xml><?xml version="1.0" encoding="utf-8"?>
<Properties xmlns="http://schemas.openxmlformats.org/officeDocument/2006/extended-properties" xmlns:vt="http://schemas.openxmlformats.org/officeDocument/2006/docPropsVTypes">
  <Template>Normal.dotm</Template>
  <Pages>146</Pages>
  <Words>66360</Words>
  <Characters>79697</Characters>
  <Lines>683</Lines>
  <Paragraphs>192</Paragraphs>
  <TotalTime>3</TotalTime>
  <ScaleCrop>false</ScaleCrop>
  <LinksUpToDate>false</LinksUpToDate>
  <CharactersWithSpaces>80495</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2021-01-04T13:38:00Z</dcterms:created>
  <dc:creator>慧琳</dc:creator>
  <cp:lastModifiedBy>HFWGZX</cp:lastModifiedBy>
  <dcterms:modified xsi:type="dcterms:W3CDTF">2023-11-08T02:35:52Z</dcterms:modified>
  <cp:revision>14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8A78F76567954546814848E6379A8D6E_13</vt:lpwstr>
  </property>
</Properties>
</file>