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Courier New" w:eastAsia="方正小标宋简体" w:cs="Courier New"/>
          <w:bCs/>
          <w:sz w:val="32"/>
          <w:szCs w:val="32"/>
          <w:lang w:val="en-US" w:eastAsia="zh-CN"/>
        </w:rPr>
      </w:pPr>
      <w:r>
        <w:rPr>
          <w:rFonts w:hint="eastAsia" w:ascii="方正小标宋简体" w:hAnsi="Courier New" w:eastAsia="方正小标宋简体" w:cs="Courier New"/>
          <w:bCs/>
          <w:sz w:val="32"/>
          <w:szCs w:val="32"/>
          <w:lang w:val="en-US" w:eastAsia="zh-CN"/>
        </w:rPr>
        <w:t>海丰县休闲服装产品质量监督抽查实施细则</w:t>
      </w:r>
    </w:p>
    <w:p>
      <w:pPr>
        <w:keepNext w:val="0"/>
        <w:keepLines w:val="0"/>
        <w:pageBreakBefore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bCs/>
          <w:sz w:val="21"/>
          <w:szCs w:val="21"/>
        </w:rPr>
      </w:pP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一、抽样方法</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以随机抽样的方式在被抽查市场主体的待销产品中抽取。</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随机数一般可使用随机数表等方法产生。</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lang w:eastAsia="zh-CN"/>
        </w:rPr>
        <w:t>抽查数量：</w:t>
      </w:r>
      <w:r>
        <w:rPr>
          <w:rFonts w:hint="eastAsia" w:asciiTheme="minorEastAsia" w:hAnsiTheme="minorEastAsia" w:eastAsiaTheme="minorEastAsia" w:cstheme="minorEastAsia"/>
          <w:kern w:val="0"/>
          <w:sz w:val="21"/>
          <w:szCs w:val="21"/>
        </w:rPr>
        <w:t>每款产品抽取2组样本，第1组用于检验，第2组用于备用。每组样品需抽取样品数量如下表所示：</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休闲服装：</w:t>
      </w:r>
      <w:r>
        <w:rPr>
          <w:rFonts w:hint="eastAsia" w:asciiTheme="minorEastAsia" w:hAnsiTheme="minorEastAsia" w:eastAsiaTheme="minorEastAsia" w:cstheme="minorEastAsia"/>
          <w:color w:val="000000"/>
          <w:sz w:val="21"/>
          <w:szCs w:val="21"/>
        </w:rPr>
        <w:t>包括茄克衫、牛仔服装、针织牛仔服装、毛衣、连衣裙、裙套、棉服装、水洗整理服装、针织T恤衫、衬衫、针织休闲服装、针织保暖内衣、针织运动服、风衣、丝绸围巾、披肩、针织工艺衫、单、夹服装、针织裙套、化纤针织内衣、棉针织内衣、针织裤</w:t>
      </w:r>
      <w:r>
        <w:rPr>
          <w:rFonts w:hint="eastAsia" w:asciiTheme="minorEastAsia" w:hAnsiTheme="minorEastAsia" w:eastAsiaTheme="minorEastAsia" w:cstheme="minorEastAsia"/>
          <w:color w:val="000000"/>
          <w:sz w:val="21"/>
          <w:szCs w:val="21"/>
          <w:lang w:eastAsia="zh-CN"/>
        </w:rPr>
        <w:t>、皮革服装、低含毛混纺及仿毛针织品</w:t>
      </w:r>
      <w:r>
        <w:rPr>
          <w:rFonts w:hint="eastAsia" w:asciiTheme="minorEastAsia" w:hAnsiTheme="minorEastAsia" w:eastAsiaTheme="minorEastAsia" w:cstheme="minorEastAsia"/>
          <w:color w:val="000000"/>
          <w:sz w:val="21"/>
          <w:szCs w:val="21"/>
        </w:rPr>
        <w:t>等。</w:t>
      </w:r>
    </w:p>
    <w:tbl>
      <w:tblPr>
        <w:tblStyle w:val="2"/>
        <w:tblW w:w="8121"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514"/>
        <w:gridCol w:w="2497"/>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3"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514"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产品名称</w:t>
            </w:r>
          </w:p>
        </w:tc>
        <w:tc>
          <w:tcPr>
            <w:tcW w:w="249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第1组数量</w:t>
            </w:r>
          </w:p>
        </w:tc>
        <w:tc>
          <w:tcPr>
            <w:tcW w:w="2427" w:type="dxa"/>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3"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514"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休闲服装</w:t>
            </w:r>
          </w:p>
        </w:tc>
        <w:tc>
          <w:tcPr>
            <w:tcW w:w="249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1件（条/套）</w:t>
            </w:r>
          </w:p>
        </w:tc>
        <w:tc>
          <w:tcPr>
            <w:tcW w:w="242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1件（条/套）</w:t>
            </w:r>
          </w:p>
        </w:tc>
      </w:tr>
    </w:tbl>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抽样方法：确定被抽样对象应符合</w:t>
      </w:r>
      <w:r>
        <w:rPr>
          <w:rFonts w:hint="eastAsia" w:asciiTheme="minorEastAsia" w:hAnsiTheme="minorEastAsia" w:eastAsiaTheme="minorEastAsia" w:cstheme="minorEastAsia"/>
          <w:kern w:val="0"/>
          <w:sz w:val="21"/>
          <w:szCs w:val="21"/>
        </w:rPr>
        <w:t>T/GDAQI 020-202</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《产品质量监督抽查抽样检验技术服务规范》5.3.3.3</w:t>
      </w:r>
      <w:r>
        <w:rPr>
          <w:rFonts w:hint="eastAsia" w:asciiTheme="minorEastAsia" w:hAnsiTheme="minorEastAsia" w:eastAsiaTheme="minorEastAsia" w:cstheme="minorEastAsia"/>
          <w:kern w:val="0"/>
          <w:sz w:val="21"/>
          <w:szCs w:val="21"/>
          <w:lang w:eastAsia="zh-CN"/>
        </w:rPr>
        <w:t>和第</w:t>
      </w:r>
      <w:r>
        <w:rPr>
          <w:rFonts w:hint="eastAsia" w:asciiTheme="minorEastAsia" w:hAnsiTheme="minorEastAsia" w:eastAsiaTheme="minorEastAsia" w:cstheme="minorEastAsia"/>
          <w:kern w:val="0"/>
          <w:sz w:val="21"/>
          <w:szCs w:val="21"/>
          <w:lang w:val="en-US" w:eastAsia="zh-CN"/>
        </w:rPr>
        <w:t>6章、第7章抽样的相关要求。抽取标称同一商标（或标称同一生产者）、同一型号规格的产品。</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lang w:eastAsia="zh-CN"/>
        </w:rPr>
        <w:t>封样要求：抽取的样品应当场封样，由抽样单位抽样人员、被抽样市场主体签字确认，每款产品的2组样品分别封样，抽样机构应采取防拆封措施。</w:t>
      </w:r>
      <w:r>
        <w:rPr>
          <w:rFonts w:hint="eastAsia" w:asciiTheme="minorEastAsia" w:hAnsiTheme="minorEastAsia" w:eastAsiaTheme="minorEastAsia" w:cstheme="minorEastAsia"/>
          <w:b w:val="0"/>
          <w:bCs/>
          <w:sz w:val="21"/>
          <w:szCs w:val="21"/>
        </w:rPr>
        <w:t>如果样品太小，或有局部印花可能会影响试验取样时，可适当增加检验用样品量2件。</w:t>
      </w:r>
      <w:r>
        <w:rPr>
          <w:rFonts w:hint="eastAsia" w:asciiTheme="minorEastAsia" w:hAnsiTheme="minorEastAsia" w:eastAsiaTheme="minorEastAsia" w:cstheme="minorEastAsia"/>
          <w:b w:val="0"/>
          <w:bCs/>
          <w:sz w:val="21"/>
          <w:szCs w:val="21"/>
          <w:lang w:eastAsia="zh-CN"/>
        </w:rPr>
        <w:t>检验</w:t>
      </w:r>
      <w:r>
        <w:rPr>
          <w:rFonts w:hint="eastAsia" w:asciiTheme="minorEastAsia" w:hAnsiTheme="minorEastAsia" w:eastAsiaTheme="minorEastAsia" w:cstheme="minorEastAsia"/>
          <w:b w:val="0"/>
          <w:bCs/>
          <w:sz w:val="21"/>
          <w:szCs w:val="21"/>
        </w:rPr>
        <w:t>样品带回实验室</w:t>
      </w:r>
      <w:r>
        <w:rPr>
          <w:rFonts w:hint="eastAsia" w:asciiTheme="minorEastAsia" w:hAnsiTheme="minorEastAsia" w:eastAsiaTheme="minorEastAsia" w:cstheme="minorEastAsia"/>
          <w:b w:val="0"/>
          <w:bCs/>
          <w:sz w:val="21"/>
          <w:szCs w:val="21"/>
          <w:lang w:val="en-US" w:eastAsia="zh-CN"/>
        </w:rPr>
        <w:t>,备样留企业保存</w:t>
      </w:r>
      <w:r>
        <w:rPr>
          <w:rFonts w:hint="eastAsia" w:asciiTheme="minorEastAsia" w:hAnsiTheme="minorEastAsia" w:eastAsiaTheme="minorEastAsia" w:cstheme="minorEastAsia"/>
          <w:b w:val="0"/>
          <w:bCs/>
          <w:sz w:val="21"/>
          <w:szCs w:val="21"/>
        </w:rPr>
        <w:t>。</w:t>
      </w:r>
    </w:p>
    <w:p>
      <w:pPr>
        <w:keepNext w:val="0"/>
        <w:keepLines w:val="0"/>
        <w:pageBreakBefore w:val="0"/>
        <w:numPr>
          <w:ilvl w:val="0"/>
          <w:numId w:val="1"/>
        </w:numPr>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主要检验项目及不合格类别的划分指标</w:t>
      </w:r>
    </w:p>
    <w:tbl>
      <w:tblPr>
        <w:tblStyle w:val="2"/>
        <w:tblW w:w="89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6"/>
        <w:gridCol w:w="1701"/>
        <w:gridCol w:w="1843"/>
        <w:gridCol w:w="992"/>
        <w:gridCol w:w="2126"/>
        <w:gridCol w:w="851"/>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tblHeader/>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检验项目</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依据标准条款</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强制性/推荐性</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检测方法标准</w:t>
            </w:r>
          </w:p>
        </w:tc>
        <w:tc>
          <w:tcPr>
            <w:tcW w:w="1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重要程度或不合格程度分类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sz w:val="21"/>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sz w:val="21"/>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A类</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B类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纤维成分及含量（％）[注1]</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GB/T 29862</w:t>
            </w:r>
          </w:p>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明示纤维成分及含量</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推荐性</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lang w:val="fr-FR"/>
              </w:rPr>
            </w:pPr>
            <w:r>
              <w:rPr>
                <w:rFonts w:hint="eastAsia" w:asciiTheme="minorEastAsia" w:hAnsiTheme="minorEastAsia" w:eastAsiaTheme="minorEastAsia" w:cstheme="minorEastAsia"/>
                <w:sz w:val="21"/>
                <w:szCs w:val="21"/>
                <w:lang w:val="fr-FR"/>
              </w:rPr>
              <w:t>FZ/T 01057</w:t>
            </w:r>
          </w:p>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fr-FR"/>
              </w:rPr>
              <w:t>GB/T 2910等</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lang w:val="fr-F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甲醛含量（mg/kg）</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18401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强制性</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2912.1</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lang w:val="fr-FR"/>
              </w:rPr>
            </w:pPr>
            <w:r>
              <w:rPr>
                <w:rFonts w:hint="eastAsia" w:asciiTheme="minorEastAsia" w:hAnsiTheme="minorEastAsia" w:eastAsiaTheme="minorEastAsia" w:cstheme="minorEastAsia"/>
                <w:sz w:val="21"/>
                <w:szCs w:val="21"/>
                <w:lang w:val="fr-F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pH值</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18401</w:t>
            </w:r>
          </w:p>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强制性</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7573</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lang w:val="fr-F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可分解致癌芳香胺染料（mg/kg）</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18401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强制性</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17592</w:t>
            </w:r>
          </w:p>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GB/T 23344</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耐水色牢度（级）</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18401</w:t>
            </w:r>
          </w:p>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强制性</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5713</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耐摩擦色牢度（级）</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18401</w:t>
            </w:r>
          </w:p>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强制性</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3920</w:t>
            </w:r>
          </w:p>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相应产品标准</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520"/>
              </w:tabs>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520"/>
              </w:tabs>
              <w:kinsoku/>
              <w:wordWrap/>
              <w:overflowPunct/>
              <w:topLinePunct w:val="0"/>
              <w:autoSpaceDE/>
              <w:autoSpaceDN/>
              <w:bidi w:val="0"/>
              <w:spacing w:line="360" w:lineRule="auto"/>
              <w:ind w:left="-107" w:leftChars="-51"/>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 xml:space="preserve"> 耐酸汗渍色牢度</w:t>
            </w:r>
          </w:p>
        </w:tc>
        <w:tc>
          <w:tcPr>
            <w:tcW w:w="18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 18401</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强制性</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GB/T 3922</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520"/>
              </w:tabs>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520"/>
              </w:tabs>
              <w:kinsoku/>
              <w:wordWrap/>
              <w:overflowPunct/>
              <w:topLinePunct w:val="0"/>
              <w:autoSpaceDE/>
              <w:autoSpaceDN/>
              <w:bidi w:val="0"/>
              <w:spacing w:line="36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耐碱汗渍色牢度</w:t>
            </w:r>
          </w:p>
        </w:tc>
        <w:tc>
          <w:tcPr>
            <w:tcW w:w="18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GB 18401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强制性</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GB/T 3922</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异味</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GB 18401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强制性</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GB 18401</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896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注1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kern w:val="0"/>
                <w:sz w:val="21"/>
                <w:szCs w:val="21"/>
              </w:rPr>
              <w:t>考虑到样品存在的不均匀性和检验的可靠性，样品中检测出微量其他纤维（未明示）时，如果其他纤维（未明示）的含量≤1%，或样品明示含微量其他纤维而未检出时，该微量其他纤维不计入总量进行判定。</w:t>
            </w:r>
            <w:r>
              <w:rPr>
                <w:rFonts w:hint="eastAsia" w:asciiTheme="minorEastAsia" w:hAnsiTheme="minorEastAsia" w:eastAsiaTheme="minorEastAsia" w:cstheme="minorEastAsia"/>
                <w:color w:val="000000"/>
                <w:kern w:val="0"/>
                <w:sz w:val="21"/>
                <w:szCs w:val="21"/>
                <w:lang w:val="en-US" w:eastAsia="zh-CN"/>
              </w:rPr>
              <w:t>吊牌或洗水标其中出现成分名称标注不一致，以正确标注名称的进行判定。</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896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A类</w:t>
            </w:r>
            <w:r>
              <w:rPr>
                <w:rFonts w:hint="eastAsia" w:asciiTheme="minorEastAsia" w:hAnsiTheme="minorEastAsia" w:eastAsiaTheme="minorEastAsia" w:cstheme="minorEastAsia"/>
                <w:bCs/>
                <w:sz w:val="21"/>
                <w:szCs w:val="21"/>
              </w:rPr>
              <w:t>——极重要质量项目，B类——重要质量项目</w:t>
            </w:r>
            <w:r>
              <w:rPr>
                <w:rFonts w:hint="eastAsia" w:asciiTheme="minorEastAsia" w:hAnsiTheme="minorEastAsia" w:eastAsiaTheme="minorEastAsia" w:cstheme="minorEastAsia"/>
                <w:sz w:val="21"/>
                <w:szCs w:val="21"/>
              </w:rPr>
              <w:t>。</w:t>
            </w:r>
          </w:p>
        </w:tc>
      </w:tr>
    </w:tbl>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三、判定原则</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w:t>
      </w:r>
      <w:r>
        <w:rPr>
          <w:rFonts w:hint="eastAsia" w:asciiTheme="minorEastAsia" w:hAnsiTheme="minorEastAsia" w:eastAsiaTheme="minorEastAsia" w:cstheme="minorEastAsia"/>
          <w:bCs/>
          <w:color w:val="auto"/>
          <w:sz w:val="21"/>
          <w:szCs w:val="21"/>
          <w:lang w:eastAsia="zh-CN"/>
        </w:rPr>
        <w:t>依据</w:t>
      </w:r>
      <w:r>
        <w:rPr>
          <w:rFonts w:hint="eastAsia" w:asciiTheme="minorEastAsia" w:hAnsiTheme="minorEastAsia" w:eastAsiaTheme="minorEastAsia" w:cstheme="minorEastAsia"/>
          <w:bCs/>
          <w:color w:val="auto"/>
          <w:sz w:val="21"/>
          <w:szCs w:val="21"/>
        </w:rPr>
        <w:t>标准</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凡是注日期的引用文件，仅注日期的版本适用于本细则。凡是不注日期的引用文件，其最新版本（包括所有的修改单）适用于本细则。</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GB 18401—2010《国家纺织产品基本安全技术规范》</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GB/T 29862—2013《纺织品 纤维含量的标识》</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GB/T 2912.1  纺织品 甲醛的测定 第1部分：游离和水解的甲醛(水萃取法)</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GB/T 7573  纺织品 水萃取液pH值的测定</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GB/T 17592纺织品 禁用偶氮染料的测定</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GB/T 23344纺织品 4-氨基偶氮苯的测定</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GB/T 5713纺织品 色牢度试验 耐水色牢度</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GB/T 3920纺织品 色牢度试验 耐摩擦色牢度</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FZ/T 01057纺织纤维鉴别试验方法</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GB/T 2910定量化学分析</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GB/T 3922纺织品 色牢度试验 耐汗渍色牢度</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GB 18401 异味</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相关的法律法规、部门规章和规范</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以企业确认执行标准为检验依据。</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（二）判定原则</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经检验，检验项目全部合格，判定为抽取的样本所检项目未检出不合格；检验项目中任一项或一项以上不合格，判定为被抽查产品不合格。</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当被检样品明示的质量要求优于监督抽查实施细则中依据的标准要求时，应按被检样品明示的质量要求判定；</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当被检样品明示的质量要求劣于或不包含监督抽查实施细则中依据的强制性标准要求时，应按照强制性标准要求判定；</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当被检样品明示的质量要求劣于或包含监督抽查实施细则中依据的推荐性标准要求时，应以被检样品明示的质量要求判定，如相应检验结果不符合相关推荐性标准要求时，应在检验报告中予以说明；</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当被检样品明示的质量要求不包含监督抽查实施细则中依据的推荐性标准要求时，该指标不参与判定，但应在检验报告中作出说明；</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当被检样品未能提供有效的企业标准时，按相关国家或行业标准进行判定；</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按照产品质量相关法律法规的规定判定。</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im Sun">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9BF2D"/>
    <w:multiLevelType w:val="singleLevel"/>
    <w:tmpl w:val="A149BF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MWM3MjNkYjVmZmY5Nzc1MzcwOTI1ODMyMGUzZGQifQ=="/>
  </w:docVars>
  <w:rsids>
    <w:rsidRoot w:val="4AE75D97"/>
    <w:rsid w:val="01D50CFC"/>
    <w:rsid w:val="0BC13E94"/>
    <w:rsid w:val="15776A33"/>
    <w:rsid w:val="18D83ED4"/>
    <w:rsid w:val="1A756494"/>
    <w:rsid w:val="20684B33"/>
    <w:rsid w:val="2CBB5CA9"/>
    <w:rsid w:val="30BE4719"/>
    <w:rsid w:val="352A01A3"/>
    <w:rsid w:val="36B10FFE"/>
    <w:rsid w:val="3EFD3F32"/>
    <w:rsid w:val="436A1754"/>
    <w:rsid w:val="4AE75D97"/>
    <w:rsid w:val="4BEB54AF"/>
    <w:rsid w:val="4D250504"/>
    <w:rsid w:val="52DD4BC5"/>
    <w:rsid w:val="5FC27530"/>
    <w:rsid w:val="668C1AD3"/>
    <w:rsid w:val="6D2B3911"/>
    <w:rsid w:val="76AE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2240</Words>
  <Characters>2797</Characters>
  <Lines>0</Lines>
  <Paragraphs>0</Paragraphs>
  <TotalTime>1</TotalTime>
  <ScaleCrop>false</ScaleCrop>
  <LinksUpToDate>false</LinksUpToDate>
  <CharactersWithSpaces>2881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2022-04-20T02:00:00Z</dcterms:created>
  <dc:creator>李文湘</dc:creator>
  <cp:lastModifiedBy>张洪静</cp:lastModifiedBy>
  <dcterms:modified xsi:type="dcterms:W3CDTF">2024-04-07T06:55:48Z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A5B1A0FF45024CC29554AC0D10502930</vt:lpwstr>
  </property>
</Properties>
</file>