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48237">
      <w:pPr>
        <w:spacing w:before="156" w:after="156"/>
        <w:ind w:firstLine="720"/>
        <w:rPr>
          <w:rFonts w:ascii="方正小标宋简体" w:eastAsia="方正小标宋简体"/>
          <w:sz w:val="36"/>
          <w:szCs w:val="36"/>
        </w:rPr>
      </w:pPr>
    </w:p>
    <w:p w14:paraId="31F8C51C">
      <w:pPr>
        <w:spacing w:before="156" w:after="156"/>
        <w:ind w:firstLine="720"/>
        <w:jc w:val="center"/>
        <w:rPr>
          <w:rFonts w:ascii="方正小标宋简体" w:eastAsia="方正小标宋简体"/>
          <w:sz w:val="36"/>
          <w:szCs w:val="36"/>
        </w:rPr>
      </w:pPr>
    </w:p>
    <w:p w14:paraId="338667F3">
      <w:pPr>
        <w:spacing w:before="156" w:after="156"/>
        <w:ind w:firstLine="880"/>
        <w:jc w:val="center"/>
        <w:rPr>
          <w:rFonts w:ascii="方正小标宋简体" w:eastAsia="方正小标宋简体"/>
          <w:sz w:val="44"/>
          <w:szCs w:val="44"/>
        </w:rPr>
      </w:pPr>
    </w:p>
    <w:p w14:paraId="45E97F03">
      <w:pPr>
        <w:spacing w:before="156" w:after="156"/>
        <w:ind w:firstLine="880"/>
        <w:jc w:val="center"/>
        <w:rPr>
          <w:rFonts w:ascii="方正小标宋简体" w:eastAsia="方正小标宋简体"/>
          <w:sz w:val="44"/>
          <w:szCs w:val="44"/>
        </w:rPr>
      </w:pPr>
      <w:r>
        <w:rPr>
          <w:rFonts w:hint="eastAsia" w:ascii="方正小标宋简体" w:eastAsia="方正小标宋简体"/>
          <w:sz w:val="44"/>
          <w:szCs w:val="44"/>
        </w:rPr>
        <w:t>海丰县数字政府改革建设“十四五”规划</w:t>
      </w:r>
    </w:p>
    <w:p w14:paraId="4F7C8AD2">
      <w:pPr>
        <w:spacing w:before="156" w:after="156"/>
        <w:ind w:firstLine="880"/>
        <w:jc w:val="center"/>
        <w:rPr>
          <w:rFonts w:ascii="方正小标宋简体" w:eastAsia="方正小标宋简体"/>
          <w:sz w:val="44"/>
          <w:szCs w:val="44"/>
        </w:rPr>
      </w:pPr>
    </w:p>
    <w:p w14:paraId="2B5B1E74">
      <w:pPr>
        <w:spacing w:before="156" w:after="156"/>
        <w:ind w:firstLine="0" w:firstLineChars="0"/>
        <w:jc w:val="center"/>
        <w:rPr>
          <w:rFonts w:ascii="楷体_GB2312" w:eastAsia="楷体_GB2312"/>
          <w:sz w:val="44"/>
          <w:szCs w:val="44"/>
        </w:rPr>
      </w:pPr>
      <w:r>
        <w:rPr>
          <w:rFonts w:hint="eastAsia" w:ascii="楷体_GB2312" w:eastAsia="楷体_GB2312"/>
          <w:sz w:val="36"/>
          <w:szCs w:val="36"/>
        </w:rPr>
        <w:t>（征求意见稿）</w:t>
      </w:r>
    </w:p>
    <w:p w14:paraId="5D48AC25">
      <w:pPr>
        <w:spacing w:before="156" w:after="156"/>
        <w:ind w:firstLine="880"/>
        <w:jc w:val="center"/>
        <w:rPr>
          <w:rFonts w:ascii="方正小标宋简体" w:eastAsia="方正小标宋简体"/>
          <w:sz w:val="44"/>
          <w:szCs w:val="44"/>
        </w:rPr>
      </w:pPr>
    </w:p>
    <w:p w14:paraId="570D9411">
      <w:pPr>
        <w:spacing w:before="156" w:after="156"/>
        <w:ind w:firstLine="880"/>
        <w:rPr>
          <w:rFonts w:ascii="方正小标宋简体" w:eastAsia="方正小标宋简体"/>
          <w:sz w:val="44"/>
          <w:szCs w:val="44"/>
        </w:rPr>
      </w:pPr>
    </w:p>
    <w:p w14:paraId="6D181251">
      <w:pPr>
        <w:spacing w:before="156" w:after="156"/>
        <w:ind w:firstLine="880"/>
        <w:jc w:val="center"/>
        <w:rPr>
          <w:rFonts w:ascii="方正小标宋简体" w:eastAsia="方正小标宋简体"/>
          <w:sz w:val="44"/>
          <w:szCs w:val="44"/>
        </w:rPr>
      </w:pPr>
    </w:p>
    <w:p w14:paraId="051E5CE8">
      <w:pPr>
        <w:spacing w:before="156" w:after="156"/>
        <w:ind w:firstLine="880"/>
        <w:jc w:val="center"/>
        <w:rPr>
          <w:rFonts w:ascii="方正小标宋简体" w:eastAsia="方正小标宋简体"/>
          <w:sz w:val="44"/>
          <w:szCs w:val="44"/>
        </w:rPr>
      </w:pPr>
    </w:p>
    <w:p w14:paraId="443A6A91">
      <w:pPr>
        <w:spacing w:before="156" w:after="156"/>
        <w:ind w:firstLine="880"/>
        <w:jc w:val="center"/>
        <w:rPr>
          <w:rFonts w:ascii="方正小标宋简体" w:eastAsia="方正小标宋简体"/>
          <w:sz w:val="44"/>
          <w:szCs w:val="44"/>
        </w:rPr>
      </w:pPr>
    </w:p>
    <w:p w14:paraId="00411C63">
      <w:pPr>
        <w:spacing w:before="156" w:after="156"/>
        <w:ind w:firstLine="880"/>
        <w:jc w:val="center"/>
        <w:rPr>
          <w:rFonts w:ascii="方正小标宋简体" w:eastAsia="方正小标宋简体"/>
          <w:sz w:val="44"/>
          <w:szCs w:val="44"/>
        </w:rPr>
      </w:pPr>
    </w:p>
    <w:p w14:paraId="76EEB6D3">
      <w:pPr>
        <w:spacing w:before="156" w:after="156"/>
        <w:ind w:firstLine="880"/>
        <w:rPr>
          <w:rFonts w:ascii="方正小标宋简体" w:eastAsia="方正小标宋简体"/>
          <w:sz w:val="44"/>
          <w:szCs w:val="44"/>
        </w:rPr>
      </w:pPr>
    </w:p>
    <w:p w14:paraId="19F18306">
      <w:pPr>
        <w:spacing w:before="156" w:after="156"/>
        <w:ind w:firstLine="640"/>
        <w:jc w:val="center"/>
        <w:rPr>
          <w:rFonts w:ascii="仿宋_GB2312"/>
          <w:szCs w:val="32"/>
        </w:rPr>
      </w:pPr>
      <w:r>
        <w:rPr>
          <w:rFonts w:hint="eastAsia" w:ascii="仿宋_GB2312"/>
          <w:szCs w:val="32"/>
        </w:rPr>
        <w:t>海丰县政务服务数据管理局</w:t>
      </w:r>
      <w:bookmarkStart w:id="0" w:name="_Toc68618936"/>
      <w:bookmarkStart w:id="1" w:name="_Toc68618865"/>
      <w:bookmarkStart w:id="2" w:name="_Toc66450781"/>
    </w:p>
    <w:p w14:paraId="0B624380">
      <w:pPr>
        <w:spacing w:before="156" w:after="156"/>
        <w:ind w:firstLine="640"/>
        <w:jc w:val="center"/>
        <w:rPr>
          <w:rFonts w:cs="Times New Roman"/>
          <w:szCs w:val="32"/>
        </w:rPr>
      </w:pPr>
      <w:r>
        <w:rPr>
          <w:rFonts w:cs="Times New Roman"/>
          <w:szCs w:val="32"/>
        </w:rPr>
        <w:fldChar w:fldCharType="begin"/>
      </w:r>
      <w:r>
        <w:rPr>
          <w:rFonts w:cs="Times New Roman"/>
          <w:szCs w:val="32"/>
        </w:rPr>
        <w:instrText xml:space="preserve"> TIME \@ "yyyy年M月" </w:instrText>
      </w:r>
      <w:r>
        <w:rPr>
          <w:rFonts w:cs="Times New Roman"/>
          <w:szCs w:val="32"/>
        </w:rPr>
        <w:fldChar w:fldCharType="separate"/>
      </w:r>
      <w:r>
        <w:rPr>
          <w:rFonts w:cs="Times New Roman"/>
          <w:szCs w:val="32"/>
        </w:rPr>
        <w:t>2025年3月</w:t>
      </w:r>
      <w:r>
        <w:rPr>
          <w:rFonts w:cs="Times New Roman"/>
          <w:szCs w:val="32"/>
        </w:rPr>
        <w:fldChar w:fldCharType="end"/>
      </w:r>
    </w:p>
    <w:p w14:paraId="685092BD">
      <w:pPr>
        <w:spacing w:before="156" w:after="156" w:line="240" w:lineRule="auto"/>
        <w:ind w:firstLine="640"/>
        <w:rPr>
          <w:rFonts w:ascii="仿宋_GB2312"/>
          <w:szCs w:val="32"/>
        </w:rPr>
      </w:pPr>
      <w:r>
        <w:rPr>
          <w:rFonts w:ascii="仿宋_GB2312"/>
          <w:szCs w:val="32"/>
        </w:rPr>
        <w:br w:type="page"/>
      </w:r>
    </w:p>
    <w:p w14:paraId="28B97222">
      <w:pPr>
        <w:spacing w:before="156" w:after="156"/>
        <w:ind w:firstLine="640"/>
        <w:jc w:val="center"/>
        <w:rPr>
          <w:rFonts w:ascii="仿宋_GB231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2746153A">
      <w:pPr>
        <w:pStyle w:val="23"/>
        <w:tabs>
          <w:tab w:val="left" w:pos="960"/>
        </w:tabs>
        <w:spacing w:before="156" w:after="156" w:line="240" w:lineRule="auto"/>
        <w:ind w:firstLine="883"/>
        <w:jc w:val="center"/>
        <w:rPr>
          <w:rFonts w:ascii="黑体" w:hAnsi="黑体"/>
          <w:sz w:val="44"/>
          <w:szCs w:val="44"/>
        </w:rPr>
      </w:pPr>
      <w:r>
        <w:rPr>
          <w:rFonts w:hint="eastAsia" w:ascii="黑体" w:hAnsi="黑体"/>
          <w:sz w:val="44"/>
          <w:szCs w:val="44"/>
        </w:rPr>
        <w:t>目 录</w:t>
      </w:r>
    </w:p>
    <w:p w14:paraId="71C15DE4">
      <w:pPr>
        <w:pStyle w:val="23"/>
        <w:ind w:firstLine="0" w:firstLineChars="0"/>
        <w:rPr>
          <w:rFonts w:ascii="Times New Roman" w:hAnsi="Times New Roman" w:cs="Times New Roman" w:eastAsiaTheme="minorEastAsia"/>
          <w:b w:val="0"/>
          <w:bCs w:val="0"/>
          <w:caps w:val="0"/>
          <w:sz w:val="21"/>
          <w:szCs w:val="22"/>
        </w:rPr>
      </w:pPr>
      <w:r>
        <w:rPr>
          <w:rFonts w:ascii="Times New Roman" w:hAnsi="Times New Roman" w:cs="Times New Roman"/>
          <w:b w:val="0"/>
          <w:bCs w:val="0"/>
          <w:sz w:val="21"/>
          <w:szCs w:val="21"/>
        </w:rPr>
        <w:fldChar w:fldCharType="begin"/>
      </w:r>
      <w:r>
        <w:rPr>
          <w:rFonts w:ascii="Times New Roman" w:hAnsi="Times New Roman" w:cs="Times New Roman"/>
          <w:b w:val="0"/>
          <w:bCs w:val="0"/>
          <w:sz w:val="21"/>
          <w:szCs w:val="21"/>
        </w:rPr>
        <w:instrText xml:space="preserve"> TOC \o "1-2" \h \z \u </w:instrText>
      </w:r>
      <w:r>
        <w:rPr>
          <w:rFonts w:ascii="Times New Roman" w:hAnsi="Times New Roman" w:cs="Times New Roman"/>
          <w:b w:val="0"/>
          <w:bCs w:val="0"/>
          <w:sz w:val="21"/>
          <w:szCs w:val="21"/>
        </w:rPr>
        <w:fldChar w:fldCharType="separate"/>
      </w:r>
      <w:r>
        <w:fldChar w:fldCharType="begin"/>
      </w:r>
      <w:r>
        <w:instrText xml:space="preserve"> HYPERLINK \l "_Toc93501125" </w:instrText>
      </w:r>
      <w:r>
        <w:fldChar w:fldCharType="separate"/>
      </w:r>
      <w:r>
        <w:rPr>
          <w:rStyle w:val="34"/>
          <w:rFonts w:ascii="Times New Roman" w:hAnsi="Times New Roman" w:cs="Times New Roman"/>
          <w:b w:val="0"/>
          <w:bCs w:val="0"/>
        </w:rPr>
        <w:t>一、 发展基础与形势</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_Toc93501125 \h </w:instrText>
      </w:r>
      <w:r>
        <w:rPr>
          <w:rFonts w:ascii="Times New Roman" w:hAnsi="Times New Roman" w:cs="Times New Roman"/>
          <w:b w:val="0"/>
          <w:bCs w:val="0"/>
        </w:rPr>
        <w:fldChar w:fldCharType="separate"/>
      </w:r>
      <w:r>
        <w:rPr>
          <w:rFonts w:ascii="Times New Roman" w:hAnsi="Times New Roman" w:cs="Times New Roman"/>
          <w:b w:val="0"/>
          <w:bCs w:val="0"/>
        </w:rPr>
        <w:t>3</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53B0F871">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"_Toc93501126" </w:instrText>
      </w:r>
      <w:r>
        <w:fldChar w:fldCharType="separate"/>
      </w:r>
      <w:r>
        <w:rPr>
          <w:rStyle w:val="34"/>
          <w:rFonts w:ascii="Times New Roman" w:cs="Times New Roman"/>
        </w:rPr>
        <w:t>（一） 发展现状</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_Toc93501126 \h </w:instrText>
      </w:r>
      <w:r>
        <w:rPr>
          <w:rFonts w:ascii="Times New Roman" w:cs="Times New Roman"/>
        </w:rPr>
        <w:fldChar w:fldCharType="separate"/>
      </w:r>
      <w:r>
        <w:rPr>
          <w:rFonts w:ascii="Times New Roman" w:cs="Times New Roman"/>
        </w:rPr>
        <w:t>3</w:t>
      </w:r>
      <w:r>
        <w:rPr>
          <w:rFonts w:ascii="Times New Roman" w:cs="Times New Roman"/>
        </w:rPr>
        <w:fldChar w:fldCharType="end"/>
      </w:r>
      <w:r>
        <w:rPr>
          <w:rFonts w:ascii="Times New Roman" w:cs="Times New Roman"/>
        </w:rPr>
        <w:fldChar w:fldCharType="end"/>
      </w:r>
    </w:p>
    <w:p w14:paraId="5F9260E8">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"_Toc93501127" </w:instrText>
      </w:r>
      <w:r>
        <w:fldChar w:fldCharType="separate"/>
      </w:r>
      <w:r>
        <w:rPr>
          <w:rStyle w:val="34"/>
          <w:rFonts w:ascii="Times New Roman" w:cs="Times New Roman"/>
        </w:rPr>
        <w:t>（二） 主要问题</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_Toc93501127 \h </w:instrText>
      </w:r>
      <w:r>
        <w:rPr>
          <w:rFonts w:ascii="Times New Roman" w:cs="Times New Roman"/>
        </w:rPr>
        <w:fldChar w:fldCharType="separate"/>
      </w:r>
      <w:r>
        <w:rPr>
          <w:rFonts w:ascii="Times New Roman" w:cs="Times New Roman"/>
        </w:rPr>
        <w:t>6</w:t>
      </w:r>
      <w:r>
        <w:rPr>
          <w:rFonts w:ascii="Times New Roman" w:cs="Times New Roman"/>
        </w:rPr>
        <w:fldChar w:fldCharType="end"/>
      </w:r>
      <w:r>
        <w:rPr>
          <w:rFonts w:ascii="Times New Roman" w:cs="Times New Roman"/>
        </w:rPr>
        <w:fldChar w:fldCharType="end"/>
      </w:r>
    </w:p>
    <w:p w14:paraId="3C2F7C75">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"_Toc93501128" </w:instrText>
      </w:r>
      <w:r>
        <w:fldChar w:fldCharType="separate"/>
      </w:r>
      <w:r>
        <w:rPr>
          <w:rStyle w:val="34"/>
          <w:rFonts w:ascii="Times New Roman" w:cs="Times New Roman"/>
        </w:rPr>
        <w:t>（三） 面临形势</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_Toc93501128 \h </w:instrText>
      </w:r>
      <w:r>
        <w:rPr>
          <w:rFonts w:ascii="Times New Roman" w:cs="Times New Roman"/>
        </w:rPr>
        <w:fldChar w:fldCharType="separate"/>
      </w:r>
      <w:r>
        <w:rPr>
          <w:rFonts w:ascii="Times New Roman" w:cs="Times New Roman"/>
        </w:rPr>
        <w:t>9</w:t>
      </w:r>
      <w:r>
        <w:rPr>
          <w:rFonts w:ascii="Times New Roman" w:cs="Times New Roman"/>
        </w:rPr>
        <w:fldChar w:fldCharType="end"/>
      </w:r>
      <w:r>
        <w:rPr>
          <w:rFonts w:ascii="Times New Roman" w:cs="Times New Roman"/>
        </w:rPr>
        <w:fldChar w:fldCharType="end"/>
      </w:r>
    </w:p>
    <w:p w14:paraId="6263DEA4">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"_Toc93501129" </w:instrText>
      </w:r>
      <w:r>
        <w:fldChar w:fldCharType="separate"/>
      </w:r>
      <w:r>
        <w:rPr>
          <w:rStyle w:val="34"/>
          <w:rFonts w:ascii="Times New Roman" w:hAnsi="Times New Roman" w:cs="Times New Roman"/>
          <w:b w:val="0"/>
          <w:bCs w:val="0"/>
        </w:rPr>
        <w:t>二、 总体要求</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_Toc93501129 \h </w:instrText>
      </w:r>
      <w:r>
        <w:rPr>
          <w:rFonts w:ascii="Times New Roman" w:hAnsi="Times New Roman" w:cs="Times New Roman"/>
          <w:b w:val="0"/>
          <w:bCs w:val="0"/>
        </w:rPr>
        <w:fldChar w:fldCharType="separate"/>
      </w:r>
      <w:r>
        <w:rPr>
          <w:rFonts w:ascii="Times New Roman" w:hAnsi="Times New Roman" w:cs="Times New Roman"/>
          <w:b w:val="0"/>
          <w:bCs w:val="0"/>
        </w:rPr>
        <w:t>11</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39CB40F2">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"_Toc93501130" </w:instrText>
      </w:r>
      <w:r>
        <w:fldChar w:fldCharType="separate"/>
      </w:r>
      <w:r>
        <w:rPr>
          <w:rStyle w:val="34"/>
          <w:rFonts w:ascii="Times New Roman" w:cs="Times New Roman"/>
        </w:rPr>
        <w:t>（一） 指导思想</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_Toc93501130 \h </w:instrText>
      </w:r>
      <w:r>
        <w:rPr>
          <w:rFonts w:ascii="Times New Roman" w:cs="Times New Roman"/>
        </w:rPr>
        <w:fldChar w:fldCharType="separate"/>
      </w:r>
      <w:r>
        <w:rPr>
          <w:rFonts w:ascii="Times New Roman" w:cs="Times New Roman"/>
        </w:rPr>
        <w:t>11</w:t>
      </w:r>
      <w:r>
        <w:rPr>
          <w:rFonts w:ascii="Times New Roman" w:cs="Times New Roman"/>
        </w:rPr>
        <w:fldChar w:fldCharType="end"/>
      </w:r>
      <w:r>
        <w:rPr>
          <w:rFonts w:ascii="Times New Roman" w:cs="Times New Roman"/>
        </w:rPr>
        <w:fldChar w:fldCharType="end"/>
      </w:r>
    </w:p>
    <w:p w14:paraId="235F16B6">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"_Toc93501131" </w:instrText>
      </w:r>
      <w:r>
        <w:fldChar w:fldCharType="separate"/>
      </w:r>
      <w:r>
        <w:rPr>
          <w:rStyle w:val="34"/>
          <w:rFonts w:ascii="Times New Roman" w:cs="Times New Roman"/>
        </w:rPr>
        <w:t>（二） 基本原则</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_Toc93501131 \h </w:instrText>
      </w:r>
      <w:r>
        <w:rPr>
          <w:rFonts w:ascii="Times New Roman" w:cs="Times New Roman"/>
        </w:rPr>
        <w:fldChar w:fldCharType="separate"/>
      </w:r>
      <w:r>
        <w:rPr>
          <w:rFonts w:ascii="Times New Roman" w:cs="Times New Roman"/>
        </w:rPr>
        <w:t>11</w:t>
      </w:r>
      <w:r>
        <w:rPr>
          <w:rFonts w:ascii="Times New Roman" w:cs="Times New Roman"/>
        </w:rPr>
        <w:fldChar w:fldCharType="end"/>
      </w:r>
      <w:r>
        <w:rPr>
          <w:rFonts w:ascii="Times New Roman" w:cs="Times New Roman"/>
        </w:rPr>
        <w:fldChar w:fldCharType="end"/>
      </w:r>
    </w:p>
    <w:p w14:paraId="3CB6EC54">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"_Toc93501132" </w:instrText>
      </w:r>
      <w:r>
        <w:fldChar w:fldCharType="separate"/>
      </w:r>
      <w:r>
        <w:rPr>
          <w:rStyle w:val="34"/>
          <w:rFonts w:ascii="Times New Roman" w:cs="Times New Roman"/>
        </w:rPr>
        <w:t>（三） 发展目标</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_Toc93501132 \h </w:instrText>
      </w:r>
      <w:r>
        <w:rPr>
          <w:rFonts w:ascii="Times New Roman" w:cs="Times New Roman"/>
        </w:rPr>
        <w:fldChar w:fldCharType="separate"/>
      </w:r>
      <w:r>
        <w:rPr>
          <w:rFonts w:ascii="Times New Roman" w:cs="Times New Roman"/>
        </w:rPr>
        <w:t>13</w:t>
      </w:r>
      <w:r>
        <w:rPr>
          <w:rFonts w:ascii="Times New Roman" w:cs="Times New Roman"/>
        </w:rPr>
        <w:fldChar w:fldCharType="end"/>
      </w:r>
      <w:r>
        <w:rPr>
          <w:rFonts w:ascii="Times New Roman" w:cs="Times New Roman"/>
        </w:rPr>
        <w:fldChar w:fldCharType="end"/>
      </w:r>
    </w:p>
    <w:p w14:paraId="13B637BD">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"_Toc93501133" </w:instrText>
      </w:r>
      <w:r>
        <w:fldChar w:fldCharType="separate"/>
      </w:r>
      <w:r>
        <w:rPr>
          <w:rStyle w:val="34"/>
          <w:rFonts w:ascii="Times New Roman" w:cs="Times New Roman"/>
        </w:rPr>
        <w:t>（四） 与市规划关系</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_Toc93501133 \h </w:instrText>
      </w:r>
      <w:r>
        <w:rPr>
          <w:rFonts w:ascii="Times New Roman" w:cs="Times New Roman"/>
        </w:rPr>
        <w:fldChar w:fldCharType="separate"/>
      </w:r>
      <w:r>
        <w:rPr>
          <w:rFonts w:ascii="Times New Roman" w:cs="Times New Roman"/>
        </w:rPr>
        <w:t>16</w:t>
      </w:r>
      <w:r>
        <w:rPr>
          <w:rFonts w:ascii="Times New Roman" w:cs="Times New Roman"/>
        </w:rPr>
        <w:fldChar w:fldCharType="end"/>
      </w:r>
      <w:r>
        <w:rPr>
          <w:rFonts w:ascii="Times New Roman" w:cs="Times New Roman"/>
        </w:rPr>
        <w:fldChar w:fldCharType="end"/>
      </w:r>
    </w:p>
    <w:p w14:paraId="4B6582BC">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"_Toc93501134" </w:instrText>
      </w:r>
      <w:r>
        <w:fldChar w:fldCharType="separate"/>
      </w:r>
      <w:r>
        <w:rPr>
          <w:rStyle w:val="34"/>
          <w:rFonts w:ascii="Times New Roman" w:hAnsi="Times New Roman" w:cs="Times New Roman"/>
          <w:b w:val="0"/>
          <w:bCs w:val="0"/>
        </w:rPr>
        <w:t>三、 总体架构</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_Toc93501134 \h </w:instrText>
      </w:r>
      <w:r>
        <w:rPr>
          <w:rFonts w:ascii="Times New Roman" w:hAnsi="Times New Roman" w:cs="Times New Roman"/>
          <w:b w:val="0"/>
          <w:bCs w:val="0"/>
        </w:rPr>
        <w:fldChar w:fldCharType="separate"/>
      </w:r>
      <w:r>
        <w:rPr>
          <w:rFonts w:ascii="Times New Roman" w:hAnsi="Times New Roman" w:cs="Times New Roman"/>
          <w:b w:val="0"/>
          <w:bCs w:val="0"/>
        </w:rPr>
        <w:t>18</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525F7D62">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"_Toc93501135" </w:instrText>
      </w:r>
      <w:r>
        <w:fldChar w:fldCharType="separate"/>
      </w:r>
      <w:r>
        <w:rPr>
          <w:rStyle w:val="34"/>
          <w:rFonts w:ascii="Times New Roman" w:cs="Times New Roman"/>
        </w:rPr>
        <w:t>（一） 管理架构</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_Toc93501135 \h </w:instrText>
      </w:r>
      <w:r>
        <w:rPr>
          <w:rFonts w:ascii="Times New Roman" w:cs="Times New Roman"/>
        </w:rPr>
        <w:fldChar w:fldCharType="separate"/>
      </w:r>
      <w:r>
        <w:rPr>
          <w:rFonts w:ascii="Times New Roman" w:cs="Times New Roman"/>
        </w:rPr>
        <w:t>18</w:t>
      </w:r>
      <w:r>
        <w:rPr>
          <w:rFonts w:ascii="Times New Roman" w:cs="Times New Roman"/>
        </w:rPr>
        <w:fldChar w:fldCharType="end"/>
      </w:r>
      <w:r>
        <w:rPr>
          <w:rFonts w:ascii="Times New Roman" w:cs="Times New Roman"/>
        </w:rPr>
        <w:fldChar w:fldCharType="end"/>
      </w:r>
    </w:p>
    <w:p w14:paraId="731F8123">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"_Toc93501136" </w:instrText>
      </w:r>
      <w:r>
        <w:fldChar w:fldCharType="separate"/>
      </w:r>
      <w:r>
        <w:rPr>
          <w:rStyle w:val="34"/>
          <w:rFonts w:ascii="Times New Roman" w:cs="Times New Roman"/>
        </w:rPr>
        <w:t>（二） 业务架构</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_Toc93501136 \h </w:instrText>
      </w:r>
      <w:r>
        <w:rPr>
          <w:rFonts w:ascii="Times New Roman" w:cs="Times New Roman"/>
        </w:rPr>
        <w:fldChar w:fldCharType="separate"/>
      </w:r>
      <w:r>
        <w:rPr>
          <w:rFonts w:ascii="Times New Roman" w:cs="Times New Roman"/>
        </w:rPr>
        <w:t>19</w:t>
      </w:r>
      <w:r>
        <w:rPr>
          <w:rFonts w:ascii="Times New Roman" w:cs="Times New Roman"/>
        </w:rPr>
        <w:fldChar w:fldCharType="end"/>
      </w:r>
      <w:r>
        <w:rPr>
          <w:rFonts w:ascii="Times New Roman" w:cs="Times New Roman"/>
        </w:rPr>
        <w:fldChar w:fldCharType="end"/>
      </w:r>
    </w:p>
    <w:p w14:paraId="181D09A9">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"_Toc93501137" </w:instrText>
      </w:r>
      <w:r>
        <w:fldChar w:fldCharType="separate"/>
      </w:r>
      <w:r>
        <w:rPr>
          <w:rStyle w:val="34"/>
          <w:rFonts w:ascii="Times New Roman" w:cs="Times New Roman"/>
        </w:rPr>
        <w:t>（三） 技术架构</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_Toc93501137 \h </w:instrText>
      </w:r>
      <w:r>
        <w:rPr>
          <w:rFonts w:ascii="Times New Roman" w:cs="Times New Roman"/>
        </w:rPr>
        <w:fldChar w:fldCharType="separate"/>
      </w:r>
      <w:r>
        <w:rPr>
          <w:rFonts w:ascii="Times New Roman" w:cs="Times New Roman"/>
        </w:rPr>
        <w:t>22</w:t>
      </w:r>
      <w:r>
        <w:rPr>
          <w:rFonts w:ascii="Times New Roman" w:cs="Times New Roman"/>
        </w:rPr>
        <w:fldChar w:fldCharType="end"/>
      </w:r>
      <w:r>
        <w:rPr>
          <w:rFonts w:ascii="Times New Roman" w:cs="Times New Roman"/>
        </w:rPr>
        <w:fldChar w:fldCharType="end"/>
      </w:r>
    </w:p>
    <w:p w14:paraId="4419CF91">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"_Toc93501138" </w:instrText>
      </w:r>
      <w:r>
        <w:fldChar w:fldCharType="separate"/>
      </w:r>
      <w:r>
        <w:rPr>
          <w:rStyle w:val="34"/>
          <w:rFonts w:ascii="Times New Roman" w:cs="Times New Roman"/>
        </w:rPr>
        <w:t>（四） 数据架构</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_Toc93501138 \h </w:instrText>
      </w:r>
      <w:r>
        <w:rPr>
          <w:rFonts w:ascii="Times New Roman" w:cs="Times New Roman"/>
        </w:rPr>
        <w:fldChar w:fldCharType="separate"/>
      </w:r>
      <w:r>
        <w:rPr>
          <w:rFonts w:ascii="Times New Roman" w:cs="Times New Roman"/>
        </w:rPr>
        <w:t>25</w:t>
      </w:r>
      <w:r>
        <w:rPr>
          <w:rFonts w:ascii="Times New Roman" w:cs="Times New Roman"/>
        </w:rPr>
        <w:fldChar w:fldCharType="end"/>
      </w:r>
      <w:r>
        <w:rPr>
          <w:rFonts w:ascii="Times New Roman" w:cs="Times New Roman"/>
        </w:rPr>
        <w:fldChar w:fldCharType="end"/>
      </w:r>
    </w:p>
    <w:p w14:paraId="67C1FE71">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"_Toc93501139" </w:instrText>
      </w:r>
      <w:r>
        <w:fldChar w:fldCharType="separate"/>
      </w:r>
      <w:r>
        <w:rPr>
          <w:rStyle w:val="34"/>
          <w:rFonts w:ascii="Times New Roman" w:hAnsi="Times New Roman" w:cs="Times New Roman"/>
          <w:b w:val="0"/>
          <w:bCs w:val="0"/>
        </w:rPr>
        <w:t>四、 主要任务</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_Toc93501139 \h </w:instrText>
      </w:r>
      <w:r>
        <w:rPr>
          <w:rFonts w:ascii="Times New Roman" w:hAnsi="Times New Roman" w:cs="Times New Roman"/>
          <w:b w:val="0"/>
          <w:bCs w:val="0"/>
        </w:rPr>
        <w:fldChar w:fldCharType="separate"/>
      </w:r>
      <w:r>
        <w:rPr>
          <w:rFonts w:ascii="Times New Roman" w:hAnsi="Times New Roman" w:cs="Times New Roman"/>
          <w:b w:val="0"/>
          <w:bCs w:val="0"/>
        </w:rPr>
        <w:t>28</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5CAD7D1B">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"_Toc93501140" </w:instrText>
      </w:r>
      <w:r>
        <w:fldChar w:fldCharType="separate"/>
      </w:r>
      <w:r>
        <w:rPr>
          <w:rStyle w:val="34"/>
          <w:rFonts w:ascii="Times New Roman" w:cs="Times New Roman"/>
        </w:rPr>
        <w:t>（一） 聚焦数字惠民，推进高质量政务服务走在全市前列…</w:t>
      </w:r>
      <w:r>
        <w:rPr>
          <w:rFonts w:ascii="Times New Roman" w:cs="Times New Roman"/>
        </w:rPr>
        <w:tab/>
      </w:r>
      <w:r>
        <w:rPr>
          <w:rFonts w:ascii="Times New Roman" w:cs="Times New Roman"/>
        </w:rPr>
        <w:fldChar w:fldCharType="begin"/>
      </w:r>
      <w:r>
        <w:rPr>
          <w:rFonts w:ascii="Times New Roman" w:cs="Times New Roman"/>
        </w:rPr>
        <w:instrText xml:space="preserve"> PAGEREF _Toc93501140 \h </w:instrText>
      </w:r>
      <w:r>
        <w:rPr>
          <w:rFonts w:ascii="Times New Roman" w:cs="Times New Roman"/>
        </w:rPr>
        <w:fldChar w:fldCharType="separate"/>
      </w:r>
      <w:r>
        <w:rPr>
          <w:rFonts w:ascii="Times New Roman" w:cs="Times New Roman"/>
        </w:rPr>
        <w:t>28</w:t>
      </w:r>
      <w:r>
        <w:rPr>
          <w:rFonts w:ascii="Times New Roman" w:cs="Times New Roman"/>
        </w:rPr>
        <w:fldChar w:fldCharType="end"/>
      </w:r>
      <w:r>
        <w:rPr>
          <w:rFonts w:ascii="Times New Roman" w:cs="Times New Roman"/>
        </w:rPr>
        <w:fldChar w:fldCharType="end"/>
      </w:r>
    </w:p>
    <w:p w14:paraId="356EC7C1">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"_Toc93501141" </w:instrText>
      </w:r>
      <w:r>
        <w:fldChar w:fldCharType="separate"/>
      </w:r>
      <w:r>
        <w:rPr>
          <w:rStyle w:val="34"/>
          <w:rFonts w:ascii="Times New Roman" w:cs="Times New Roman"/>
        </w:rPr>
        <w:t>（二） 聚焦数字慧治，推进高效能社会治理走在全市前列…</w:t>
      </w:r>
      <w:r>
        <w:rPr>
          <w:rFonts w:ascii="Times New Roman" w:cs="Times New Roman"/>
        </w:rPr>
        <w:tab/>
      </w:r>
      <w:r>
        <w:rPr>
          <w:rFonts w:ascii="Times New Roman" w:cs="Times New Roman"/>
        </w:rPr>
        <w:fldChar w:fldCharType="begin"/>
      </w:r>
      <w:r>
        <w:rPr>
          <w:rFonts w:ascii="Times New Roman" w:cs="Times New Roman"/>
        </w:rPr>
        <w:instrText xml:space="preserve"> PAGEREF _Toc93501141 \h </w:instrText>
      </w:r>
      <w:r>
        <w:rPr>
          <w:rFonts w:ascii="Times New Roman" w:cs="Times New Roman"/>
        </w:rPr>
        <w:fldChar w:fldCharType="separate"/>
      </w:r>
      <w:r>
        <w:rPr>
          <w:rFonts w:ascii="Times New Roman" w:cs="Times New Roman"/>
        </w:rPr>
        <w:t>37</w:t>
      </w:r>
      <w:r>
        <w:rPr>
          <w:rFonts w:ascii="Times New Roman" w:cs="Times New Roman"/>
        </w:rPr>
        <w:fldChar w:fldCharType="end"/>
      </w:r>
      <w:r>
        <w:rPr>
          <w:rFonts w:ascii="Times New Roman" w:cs="Times New Roman"/>
        </w:rPr>
        <w:fldChar w:fldCharType="end"/>
      </w:r>
    </w:p>
    <w:p w14:paraId="773317DE">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"_Toc93501142" </w:instrText>
      </w:r>
      <w:r>
        <w:fldChar w:fldCharType="separate"/>
      </w:r>
      <w:r>
        <w:rPr>
          <w:rStyle w:val="34"/>
          <w:rFonts w:ascii="Times New Roman" w:cs="Times New Roman"/>
        </w:rPr>
        <w:t>（三） 聚焦数字优政，推进高质效政务运行走在全市前列</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_Toc93501142 \h </w:instrText>
      </w:r>
      <w:r>
        <w:rPr>
          <w:rFonts w:ascii="Times New Roman" w:cs="Times New Roman"/>
        </w:rPr>
        <w:fldChar w:fldCharType="separate"/>
      </w:r>
      <w:r>
        <w:rPr>
          <w:rFonts w:ascii="Times New Roman" w:cs="Times New Roman"/>
        </w:rPr>
        <w:t>44</w:t>
      </w:r>
      <w:r>
        <w:rPr>
          <w:rFonts w:ascii="Times New Roman" w:cs="Times New Roman"/>
        </w:rPr>
        <w:fldChar w:fldCharType="end"/>
      </w:r>
      <w:r>
        <w:rPr>
          <w:rFonts w:ascii="Times New Roman" w:cs="Times New Roman"/>
        </w:rPr>
        <w:fldChar w:fldCharType="end"/>
      </w:r>
    </w:p>
    <w:p w14:paraId="1FF04ACD">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"_Toc93501143" </w:instrText>
      </w:r>
      <w:r>
        <w:fldChar w:fldCharType="separate"/>
      </w:r>
      <w:r>
        <w:rPr>
          <w:rStyle w:val="34"/>
          <w:rFonts w:ascii="Times New Roman" w:cs="Times New Roman"/>
        </w:rPr>
        <w:t>（四） 聚焦数字强基，推进高水平支撑能力走在全市前列</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_Toc93501143 \h </w:instrText>
      </w:r>
      <w:r>
        <w:rPr>
          <w:rFonts w:ascii="Times New Roman" w:cs="Times New Roman"/>
        </w:rPr>
        <w:fldChar w:fldCharType="separate"/>
      </w:r>
      <w:r>
        <w:rPr>
          <w:rFonts w:ascii="Times New Roman" w:cs="Times New Roman"/>
        </w:rPr>
        <w:t>47</w:t>
      </w:r>
      <w:r>
        <w:rPr>
          <w:rFonts w:ascii="Times New Roman" w:cs="Times New Roman"/>
        </w:rPr>
        <w:fldChar w:fldCharType="end"/>
      </w:r>
      <w:r>
        <w:rPr>
          <w:rFonts w:ascii="Times New Roman" w:cs="Times New Roman"/>
        </w:rPr>
        <w:fldChar w:fldCharType="end"/>
      </w:r>
    </w:p>
    <w:p w14:paraId="2C48712C">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"_Toc93501144" </w:instrText>
      </w:r>
      <w:r>
        <w:fldChar w:fldCharType="separate"/>
      </w:r>
      <w:r>
        <w:rPr>
          <w:rStyle w:val="34"/>
          <w:rFonts w:ascii="Times New Roman" w:cs="Times New Roman"/>
        </w:rPr>
        <w:t>（五） 聚焦数字赋能，推进红色文化建设走在全市前列</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_Toc93501144 \h </w:instrText>
      </w:r>
      <w:r>
        <w:rPr>
          <w:rFonts w:ascii="Times New Roman" w:cs="Times New Roman"/>
        </w:rPr>
        <w:fldChar w:fldCharType="separate"/>
      </w:r>
      <w:r>
        <w:rPr>
          <w:rFonts w:ascii="Times New Roman" w:cs="Times New Roman"/>
        </w:rPr>
        <w:t>50</w:t>
      </w:r>
      <w:r>
        <w:rPr>
          <w:rFonts w:ascii="Times New Roman" w:cs="Times New Roman"/>
        </w:rPr>
        <w:fldChar w:fldCharType="end"/>
      </w:r>
      <w:r>
        <w:rPr>
          <w:rFonts w:ascii="Times New Roman" w:cs="Times New Roman"/>
        </w:rPr>
        <w:fldChar w:fldCharType="end"/>
      </w:r>
    </w:p>
    <w:p w14:paraId="11438180">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"_Toc93501145" </w:instrText>
      </w:r>
      <w:r>
        <w:fldChar w:fldCharType="separate"/>
      </w:r>
      <w:r>
        <w:rPr>
          <w:rStyle w:val="34"/>
          <w:rFonts w:ascii="Times New Roman" w:hAnsi="Times New Roman" w:cs="Times New Roman"/>
          <w:b w:val="0"/>
          <w:bCs w:val="0"/>
        </w:rPr>
        <w:t>五、 制度建设</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_Toc93501145 \h </w:instrText>
      </w:r>
      <w:r>
        <w:rPr>
          <w:rFonts w:ascii="Times New Roman" w:hAnsi="Times New Roman" w:cs="Times New Roman"/>
          <w:b w:val="0"/>
          <w:bCs w:val="0"/>
        </w:rPr>
        <w:fldChar w:fldCharType="separate"/>
      </w:r>
      <w:r>
        <w:rPr>
          <w:rFonts w:ascii="Times New Roman" w:hAnsi="Times New Roman" w:cs="Times New Roman"/>
          <w:b w:val="0"/>
          <w:bCs w:val="0"/>
        </w:rPr>
        <w:t>53</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4E36CC4B">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"_Toc93501146" </w:instrText>
      </w:r>
      <w:r>
        <w:fldChar w:fldCharType="separate"/>
      </w:r>
      <w:r>
        <w:rPr>
          <w:rStyle w:val="34"/>
          <w:rFonts w:ascii="Times New Roman" w:cs="Times New Roman"/>
        </w:rPr>
        <w:t>（一） 强化统筹管理机制</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_Toc93501146 \h </w:instrText>
      </w:r>
      <w:r>
        <w:rPr>
          <w:rFonts w:ascii="Times New Roman" w:cs="Times New Roman"/>
        </w:rPr>
        <w:fldChar w:fldCharType="separate"/>
      </w:r>
      <w:r>
        <w:rPr>
          <w:rFonts w:ascii="Times New Roman" w:cs="Times New Roman"/>
        </w:rPr>
        <w:t>53</w:t>
      </w:r>
      <w:r>
        <w:rPr>
          <w:rFonts w:ascii="Times New Roman" w:cs="Times New Roman"/>
        </w:rPr>
        <w:fldChar w:fldCharType="end"/>
      </w:r>
      <w:r>
        <w:rPr>
          <w:rFonts w:ascii="Times New Roman" w:cs="Times New Roman"/>
        </w:rPr>
        <w:fldChar w:fldCharType="end"/>
      </w:r>
    </w:p>
    <w:p w14:paraId="429955F4">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"_Toc93501147" </w:instrText>
      </w:r>
      <w:r>
        <w:fldChar w:fldCharType="separate"/>
      </w:r>
      <w:r>
        <w:rPr>
          <w:rStyle w:val="34"/>
          <w:rFonts w:ascii="Times New Roman" w:cs="Times New Roman"/>
        </w:rPr>
        <w:t>（二） 提升建设运营能力</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_Toc93501147 \h </w:instrText>
      </w:r>
      <w:r>
        <w:rPr>
          <w:rFonts w:ascii="Times New Roman" w:cs="Times New Roman"/>
        </w:rPr>
        <w:fldChar w:fldCharType="separate"/>
      </w:r>
      <w:r>
        <w:rPr>
          <w:rFonts w:ascii="Times New Roman" w:cs="Times New Roman"/>
        </w:rPr>
        <w:t>54</w:t>
      </w:r>
      <w:r>
        <w:rPr>
          <w:rFonts w:ascii="Times New Roman" w:cs="Times New Roman"/>
        </w:rPr>
        <w:fldChar w:fldCharType="end"/>
      </w:r>
      <w:r>
        <w:rPr>
          <w:rFonts w:ascii="Times New Roman" w:cs="Times New Roman"/>
        </w:rPr>
        <w:fldChar w:fldCharType="end"/>
      </w:r>
    </w:p>
    <w:p w14:paraId="638055BD">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"_Toc93501148" </w:instrText>
      </w:r>
      <w:r>
        <w:fldChar w:fldCharType="separate"/>
      </w:r>
      <w:r>
        <w:rPr>
          <w:rStyle w:val="34"/>
          <w:rFonts w:ascii="Times New Roman" w:cs="Times New Roman"/>
        </w:rPr>
        <w:t>（三） 加强标准规范宣贯</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_Toc93501148 \h </w:instrText>
      </w:r>
      <w:r>
        <w:rPr>
          <w:rFonts w:ascii="Times New Roman" w:cs="Times New Roman"/>
        </w:rPr>
        <w:fldChar w:fldCharType="separate"/>
      </w:r>
      <w:r>
        <w:rPr>
          <w:rFonts w:ascii="Times New Roman" w:cs="Times New Roman"/>
        </w:rPr>
        <w:t>54</w:t>
      </w:r>
      <w:r>
        <w:rPr>
          <w:rFonts w:ascii="Times New Roman" w:cs="Times New Roman"/>
        </w:rPr>
        <w:fldChar w:fldCharType="end"/>
      </w:r>
      <w:r>
        <w:rPr>
          <w:rFonts w:ascii="Times New Roman" w:cs="Times New Roman"/>
        </w:rPr>
        <w:fldChar w:fldCharType="end"/>
      </w:r>
    </w:p>
    <w:p w14:paraId="6605FE50">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"_Toc93501149" </w:instrText>
      </w:r>
      <w:r>
        <w:fldChar w:fldCharType="separate"/>
      </w:r>
      <w:r>
        <w:rPr>
          <w:rStyle w:val="34"/>
          <w:rFonts w:ascii="Times New Roman" w:hAnsi="Times New Roman" w:cs="Times New Roman"/>
          <w:b w:val="0"/>
          <w:bCs w:val="0"/>
        </w:rPr>
        <w:t>六、 实施策略</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_Toc93501149 \h </w:instrText>
      </w:r>
      <w:r>
        <w:rPr>
          <w:rFonts w:ascii="Times New Roman" w:hAnsi="Times New Roman" w:cs="Times New Roman"/>
          <w:b w:val="0"/>
          <w:bCs w:val="0"/>
        </w:rPr>
        <w:fldChar w:fldCharType="separate"/>
      </w:r>
      <w:r>
        <w:rPr>
          <w:rFonts w:ascii="Times New Roman" w:hAnsi="Times New Roman" w:cs="Times New Roman"/>
          <w:b w:val="0"/>
          <w:bCs w:val="0"/>
        </w:rPr>
        <w:t>56</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502B1BC7">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"_Toc93501150" </w:instrText>
      </w:r>
      <w:r>
        <w:fldChar w:fldCharType="separate"/>
      </w:r>
      <w:r>
        <w:rPr>
          <w:rStyle w:val="34"/>
          <w:rFonts w:ascii="Times New Roman" w:cs="Times New Roman"/>
        </w:rPr>
        <w:t>（一） 全县一体，统分结合</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_Toc93501150 \h </w:instrText>
      </w:r>
      <w:r>
        <w:rPr>
          <w:rFonts w:ascii="Times New Roman" w:cs="Times New Roman"/>
        </w:rPr>
        <w:fldChar w:fldCharType="separate"/>
      </w:r>
      <w:r>
        <w:rPr>
          <w:rFonts w:ascii="Times New Roman" w:cs="Times New Roman"/>
        </w:rPr>
        <w:t>56</w:t>
      </w:r>
      <w:r>
        <w:rPr>
          <w:rFonts w:ascii="Times New Roman" w:cs="Times New Roman"/>
        </w:rPr>
        <w:fldChar w:fldCharType="end"/>
      </w:r>
      <w:r>
        <w:rPr>
          <w:rFonts w:ascii="Times New Roman" w:cs="Times New Roman"/>
        </w:rPr>
        <w:fldChar w:fldCharType="end"/>
      </w:r>
    </w:p>
    <w:p w14:paraId="45416EA9">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"_Toc93501151" </w:instrText>
      </w:r>
      <w:r>
        <w:fldChar w:fldCharType="separate"/>
      </w:r>
      <w:r>
        <w:rPr>
          <w:rStyle w:val="34"/>
          <w:rFonts w:ascii="Times New Roman" w:cs="Times New Roman"/>
        </w:rPr>
        <w:t>（二） 明确目标，分步实施</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_Toc93501151 \h </w:instrText>
      </w:r>
      <w:r>
        <w:rPr>
          <w:rFonts w:ascii="Times New Roman" w:cs="Times New Roman"/>
        </w:rPr>
        <w:fldChar w:fldCharType="separate"/>
      </w:r>
      <w:r>
        <w:rPr>
          <w:rFonts w:ascii="Times New Roman" w:cs="Times New Roman"/>
        </w:rPr>
        <w:t>56</w:t>
      </w:r>
      <w:r>
        <w:rPr>
          <w:rFonts w:ascii="Times New Roman" w:cs="Times New Roman"/>
        </w:rPr>
        <w:fldChar w:fldCharType="end"/>
      </w:r>
      <w:r>
        <w:rPr>
          <w:rFonts w:ascii="Times New Roman" w:cs="Times New Roman"/>
        </w:rPr>
        <w:fldChar w:fldCharType="end"/>
      </w:r>
    </w:p>
    <w:p w14:paraId="69BC76B2">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"_Toc93501152" </w:instrText>
      </w:r>
      <w:r>
        <w:fldChar w:fldCharType="separate"/>
      </w:r>
      <w:r>
        <w:rPr>
          <w:rStyle w:val="34"/>
          <w:rFonts w:ascii="Times New Roman" w:hAnsi="Times New Roman" w:cs="Times New Roman"/>
          <w:b w:val="0"/>
          <w:bCs w:val="0"/>
        </w:rPr>
        <w:t>七、 保障措施</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_Toc93501152 \h </w:instrText>
      </w:r>
      <w:r>
        <w:rPr>
          <w:rFonts w:ascii="Times New Roman" w:hAnsi="Times New Roman" w:cs="Times New Roman"/>
          <w:b w:val="0"/>
          <w:bCs w:val="0"/>
        </w:rPr>
        <w:fldChar w:fldCharType="separate"/>
      </w:r>
      <w:r>
        <w:rPr>
          <w:rFonts w:ascii="Times New Roman" w:hAnsi="Times New Roman" w:cs="Times New Roman"/>
          <w:b w:val="0"/>
          <w:bCs w:val="0"/>
        </w:rPr>
        <w:t>59</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390843FA">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"_Toc93501153" </w:instrText>
      </w:r>
      <w:r>
        <w:fldChar w:fldCharType="separate"/>
      </w:r>
      <w:r>
        <w:rPr>
          <w:rStyle w:val="34"/>
          <w:rFonts w:ascii="Times New Roman" w:cs="Times New Roman"/>
        </w:rPr>
        <w:t>（一） 组织保障</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_Toc93501153 \h </w:instrText>
      </w:r>
      <w:r>
        <w:rPr>
          <w:rFonts w:ascii="Times New Roman" w:cs="Times New Roman"/>
        </w:rPr>
        <w:fldChar w:fldCharType="separate"/>
      </w:r>
      <w:r>
        <w:rPr>
          <w:rFonts w:ascii="Times New Roman" w:cs="Times New Roman"/>
        </w:rPr>
        <w:t>59</w:t>
      </w:r>
      <w:r>
        <w:rPr>
          <w:rFonts w:ascii="Times New Roman" w:cs="Times New Roman"/>
        </w:rPr>
        <w:fldChar w:fldCharType="end"/>
      </w:r>
      <w:r>
        <w:rPr>
          <w:rFonts w:ascii="Times New Roman" w:cs="Times New Roman"/>
        </w:rPr>
        <w:fldChar w:fldCharType="end"/>
      </w:r>
    </w:p>
    <w:p w14:paraId="33794D35">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"_Toc93501154" </w:instrText>
      </w:r>
      <w:r>
        <w:fldChar w:fldCharType="separate"/>
      </w:r>
      <w:r>
        <w:rPr>
          <w:rStyle w:val="34"/>
          <w:rFonts w:ascii="Times New Roman" w:cs="Times New Roman"/>
        </w:rPr>
        <w:t>（二） 人才保障</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_Toc93501154 \h </w:instrText>
      </w:r>
      <w:r>
        <w:rPr>
          <w:rFonts w:ascii="Times New Roman" w:cs="Times New Roman"/>
        </w:rPr>
        <w:fldChar w:fldCharType="separate"/>
      </w:r>
      <w:r>
        <w:rPr>
          <w:rFonts w:ascii="Times New Roman" w:cs="Times New Roman"/>
        </w:rPr>
        <w:t>59</w:t>
      </w:r>
      <w:r>
        <w:rPr>
          <w:rFonts w:ascii="Times New Roman" w:cs="Times New Roman"/>
        </w:rPr>
        <w:fldChar w:fldCharType="end"/>
      </w:r>
      <w:r>
        <w:rPr>
          <w:rFonts w:ascii="Times New Roman" w:cs="Times New Roman"/>
        </w:rPr>
        <w:fldChar w:fldCharType="end"/>
      </w:r>
    </w:p>
    <w:p w14:paraId="2D2651AD">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"_Toc93501155" </w:instrText>
      </w:r>
      <w:r>
        <w:fldChar w:fldCharType="separate"/>
      </w:r>
      <w:r>
        <w:rPr>
          <w:rStyle w:val="34"/>
          <w:rFonts w:ascii="Times New Roman" w:cs="Times New Roman"/>
        </w:rPr>
        <w:t>（三） 技术保障</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_Toc93501155 \h </w:instrText>
      </w:r>
      <w:r>
        <w:rPr>
          <w:rFonts w:ascii="Times New Roman" w:cs="Times New Roman"/>
        </w:rPr>
        <w:fldChar w:fldCharType="separate"/>
      </w:r>
      <w:r>
        <w:rPr>
          <w:rFonts w:ascii="Times New Roman" w:cs="Times New Roman"/>
        </w:rPr>
        <w:t>60</w:t>
      </w:r>
      <w:r>
        <w:rPr>
          <w:rFonts w:ascii="Times New Roman" w:cs="Times New Roman"/>
        </w:rPr>
        <w:fldChar w:fldCharType="end"/>
      </w:r>
      <w:r>
        <w:rPr>
          <w:rFonts w:ascii="Times New Roman" w:cs="Times New Roman"/>
        </w:rPr>
        <w:fldChar w:fldCharType="end"/>
      </w:r>
    </w:p>
    <w:p w14:paraId="4AEF10AC">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"_Toc93501156" </w:instrText>
      </w:r>
      <w:r>
        <w:fldChar w:fldCharType="separate"/>
      </w:r>
      <w:r>
        <w:rPr>
          <w:rStyle w:val="34"/>
          <w:rFonts w:ascii="Times New Roman" w:cs="Times New Roman"/>
        </w:rPr>
        <w:t>（四） 资金保障</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_Toc93501156 \h </w:instrText>
      </w:r>
      <w:r>
        <w:rPr>
          <w:rFonts w:ascii="Times New Roman" w:cs="Times New Roman"/>
        </w:rPr>
        <w:fldChar w:fldCharType="separate"/>
      </w:r>
      <w:r>
        <w:rPr>
          <w:rFonts w:ascii="Times New Roman" w:cs="Times New Roman"/>
        </w:rPr>
        <w:t>60</w:t>
      </w:r>
      <w:r>
        <w:rPr>
          <w:rFonts w:ascii="Times New Roman" w:cs="Times New Roman"/>
        </w:rPr>
        <w:fldChar w:fldCharType="end"/>
      </w:r>
      <w:r>
        <w:rPr>
          <w:rFonts w:ascii="Times New Roman" w:cs="Times New Roman"/>
        </w:rPr>
        <w:fldChar w:fldCharType="end"/>
      </w:r>
    </w:p>
    <w:p w14:paraId="43E55520">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"_Toc93501157" </w:instrText>
      </w:r>
      <w:r>
        <w:fldChar w:fldCharType="separate"/>
      </w:r>
      <w:r>
        <w:rPr>
          <w:rStyle w:val="34"/>
          <w:rFonts w:ascii="Times New Roman" w:hAnsi="Times New Roman" w:cs="Times New Roman"/>
          <w:b w:val="0"/>
          <w:bCs w:val="0"/>
        </w:rPr>
        <w:t>附件1 指标计算方法</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_Toc93501157 \h </w:instrText>
      </w:r>
      <w:r>
        <w:rPr>
          <w:rFonts w:ascii="Times New Roman" w:hAnsi="Times New Roman" w:cs="Times New Roman"/>
          <w:b w:val="0"/>
          <w:bCs w:val="0"/>
        </w:rPr>
        <w:fldChar w:fldCharType="separate"/>
      </w:r>
      <w:r>
        <w:rPr>
          <w:rFonts w:ascii="Times New Roman" w:hAnsi="Times New Roman" w:cs="Times New Roman"/>
          <w:b w:val="0"/>
          <w:bCs w:val="0"/>
        </w:rPr>
        <w:t>62</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4C439A23">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"_Toc93501158" </w:instrText>
      </w:r>
      <w:r>
        <w:fldChar w:fldCharType="separate"/>
      </w:r>
      <w:r>
        <w:rPr>
          <w:rStyle w:val="34"/>
          <w:rFonts w:ascii="Times New Roman" w:hAnsi="Times New Roman" w:cs="Times New Roman"/>
          <w:b w:val="0"/>
          <w:bCs w:val="0"/>
        </w:rPr>
        <w:t>附件2 名词解释</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_Toc93501158 \h </w:instrText>
      </w:r>
      <w:r>
        <w:rPr>
          <w:rFonts w:ascii="Times New Roman" w:hAnsi="Times New Roman" w:cs="Times New Roman"/>
          <w:b w:val="0"/>
          <w:bCs w:val="0"/>
        </w:rPr>
        <w:fldChar w:fldCharType="separate"/>
      </w:r>
      <w:r>
        <w:rPr>
          <w:rFonts w:ascii="Times New Roman" w:hAnsi="Times New Roman" w:cs="Times New Roman"/>
          <w:b w:val="0"/>
          <w:bCs w:val="0"/>
        </w:rPr>
        <w:t>64</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0AC54A77">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"_Toc93501159" </w:instrText>
      </w:r>
      <w:r>
        <w:fldChar w:fldCharType="separate"/>
      </w:r>
      <w:r>
        <w:rPr>
          <w:rStyle w:val="34"/>
          <w:rFonts w:ascii="Times New Roman" w:hAnsi="Times New Roman" w:cs="Times New Roman"/>
          <w:b w:val="0"/>
          <w:bCs w:val="0"/>
        </w:rPr>
        <w:t>附件3 规划重点任务分工表</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_Toc93501159 \h </w:instrText>
      </w:r>
      <w:r>
        <w:rPr>
          <w:rFonts w:ascii="Times New Roman" w:hAnsi="Times New Roman" w:cs="Times New Roman"/>
          <w:b w:val="0"/>
          <w:bCs w:val="0"/>
        </w:rPr>
        <w:fldChar w:fldCharType="separate"/>
      </w:r>
      <w:r>
        <w:rPr>
          <w:rFonts w:ascii="Times New Roman" w:hAnsi="Times New Roman" w:cs="Times New Roman"/>
          <w:b w:val="0"/>
          <w:bCs w:val="0"/>
        </w:rPr>
        <w:t>67</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0728ECEC">
      <w:pPr>
        <w:pStyle w:val="23"/>
        <w:ind w:firstLine="0" w:firstLineChars="0"/>
        <w:rPr>
          <w:rFonts w:ascii="Times New Roman" w:hAnsi="Times New Roman" w:cs="Times New Roman" w:eastAsiaTheme="minorEastAsia"/>
          <w:b w:val="0"/>
          <w:bCs w:val="0"/>
          <w:caps w:val="0"/>
          <w:sz w:val="20"/>
          <w:szCs w:val="21"/>
        </w:rPr>
      </w:pPr>
      <w:r>
        <w:fldChar w:fldCharType="begin"/>
      </w:r>
      <w:r>
        <w:instrText xml:space="preserve"> HYPERLINK \l "_Toc93501160" </w:instrText>
      </w:r>
      <w:r>
        <w:fldChar w:fldCharType="separate"/>
      </w:r>
      <w:r>
        <w:rPr>
          <w:rStyle w:val="34"/>
          <w:rFonts w:ascii="Times New Roman" w:hAnsi="Times New Roman" w:cs="Times New Roman"/>
          <w:b w:val="0"/>
          <w:bCs w:val="0"/>
        </w:rPr>
        <w:t>附件4 海丰县</w:t>
      </w:r>
      <w:r>
        <w:rPr>
          <w:rStyle w:val="34"/>
          <w:rFonts w:hint="eastAsia" w:ascii="Times New Roman" w:hAnsi="Times New Roman" w:cs="Times New Roman"/>
          <w:b w:val="0"/>
          <w:bCs w:val="0"/>
        </w:rPr>
        <w:t>“十四五”规划</w:t>
      </w:r>
      <w:r>
        <w:rPr>
          <w:rStyle w:val="34"/>
          <w:rFonts w:ascii="Times New Roman" w:hAnsi="Times New Roman" w:cs="Times New Roman"/>
          <w:b w:val="0"/>
          <w:bCs w:val="0"/>
        </w:rPr>
        <w:t>现场调研座谈会意见响应情况表</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_Toc93501160 \h </w:instrText>
      </w:r>
      <w:r>
        <w:rPr>
          <w:rFonts w:ascii="Times New Roman" w:hAnsi="Times New Roman" w:cs="Times New Roman"/>
          <w:b w:val="0"/>
          <w:bCs w:val="0"/>
        </w:rPr>
        <w:fldChar w:fldCharType="separate"/>
      </w:r>
      <w:r>
        <w:rPr>
          <w:rFonts w:ascii="Times New Roman" w:hAnsi="Times New Roman" w:cs="Times New Roman"/>
          <w:b w:val="0"/>
          <w:bCs w:val="0"/>
        </w:rPr>
        <w:t>74</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7BB44B8A">
      <w:pPr>
        <w:snapToGrid w:val="0"/>
        <w:spacing w:before="156" w:after="156" w:line="240" w:lineRule="auto"/>
        <w:ind w:firstLine="420"/>
        <w:contextualSpacing/>
        <w:jc w:val="center"/>
        <w:rPr>
          <w:rFonts w:ascii="黑体" w:hAnsi="黑体" w:eastAsia="黑体"/>
        </w:rPr>
      </w:pPr>
      <w:r>
        <w:rPr>
          <w:rFonts w:eastAsia="黑体" w:cs="Times New Roman"/>
          <w:sz w:val="21"/>
          <w:szCs w:val="21"/>
        </w:rPr>
        <w:fldChar w:fldCharType="end"/>
      </w:r>
    </w:p>
    <w:p w14:paraId="583E5BBE">
      <w:pPr>
        <w:pStyle w:val="51"/>
        <w:spacing w:before="156" w:after="156"/>
        <w:ind w:firstLine="0" w:firstLineChars="0"/>
        <w:jc w:val="center"/>
        <w:rPr>
          <w:b/>
          <w:bCs/>
        </w:rPr>
        <w:sectPr>
          <w:footerReference r:id="rId11" w:type="default"/>
          <w:pgSz w:w="11906" w:h="16838"/>
          <w:pgMar w:top="1440" w:right="1588" w:bottom="1440" w:left="1588" w:header="851" w:footer="992" w:gutter="0"/>
          <w:pgNumType w:fmt="upperRoman" w:start="1"/>
          <w:cols w:space="425" w:num="1"/>
          <w:docGrid w:type="lines" w:linePitch="312" w:charSpace="0"/>
        </w:sectPr>
      </w:pPr>
      <w:bookmarkStart w:id="3" w:name="_Toc70495356"/>
    </w:p>
    <w:p w14:paraId="19FC1159">
      <w:pPr>
        <w:pStyle w:val="51"/>
        <w:spacing w:before="156" w:after="156"/>
        <w:ind w:firstLine="0" w:firstLineChars="0"/>
        <w:jc w:val="center"/>
        <w:rPr>
          <w:b/>
          <w:bCs/>
        </w:rPr>
      </w:pPr>
    </w:p>
    <w:p w14:paraId="3307D1B2">
      <w:pPr>
        <w:pStyle w:val="51"/>
        <w:spacing w:before="156" w:after="156"/>
        <w:ind w:firstLine="0" w:firstLineChars="0"/>
        <w:jc w:val="center"/>
        <w:rPr>
          <w:rFonts w:ascii="方正小标宋简体" w:eastAsia="方正小标宋简体"/>
          <w:sz w:val="44"/>
          <w:szCs w:val="44"/>
        </w:rPr>
      </w:pPr>
      <w:r>
        <w:rPr>
          <w:rFonts w:hint="eastAsia" w:ascii="方正小标宋简体" w:eastAsia="方正小标宋简体"/>
          <w:sz w:val="44"/>
          <w:szCs w:val="44"/>
        </w:rPr>
        <w:t>引</w:t>
      </w:r>
      <w:r>
        <w:rPr>
          <w:rFonts w:ascii="方正小标宋简体" w:eastAsia="方正小标宋简体"/>
          <w:sz w:val="44"/>
          <w:szCs w:val="44"/>
        </w:rPr>
        <w:t xml:space="preserve"> </w:t>
      </w:r>
      <w:r>
        <w:rPr>
          <w:rFonts w:hint="eastAsia" w:ascii="方正小标宋简体" w:eastAsia="方正小标宋简体"/>
          <w:sz w:val="44"/>
          <w:szCs w:val="44"/>
        </w:rPr>
        <w:t>言</w:t>
      </w:r>
      <w:bookmarkEnd w:id="3"/>
    </w:p>
    <w:p w14:paraId="68ED2EDB">
      <w:pPr>
        <w:pStyle w:val="51"/>
        <w:spacing w:before="156" w:after="156"/>
        <w:ind w:firstLine="0" w:firstLineChars="0"/>
        <w:jc w:val="center"/>
        <w:rPr>
          <w:b/>
          <w:bCs/>
        </w:rPr>
      </w:pPr>
    </w:p>
    <w:p w14:paraId="5B4BBE2E">
      <w:pPr>
        <w:ind w:firstLine="640"/>
        <w:rPr>
          <w:rFonts w:hAnsi="仿宋_GB2312" w:cs="仿宋_GB2312"/>
          <w:szCs w:val="32"/>
        </w:rPr>
      </w:pPr>
      <w:bookmarkStart w:id="4" w:name="_Hlk90639206"/>
      <w:r>
        <w:rPr>
          <w:rFonts w:hint="eastAsia"/>
        </w:rPr>
        <w:t>数字政府作为数字中国体系的重要组成部分</w:t>
      </w:r>
      <w:r>
        <w:t>，是推动数字中国建设，推动社会经济高质量发展，再创营商环境新优势的重要抓手和重要引擎。党的十九大报告提出要推动互联网、大数据、人工智能和实体经济深度融合，要建设网络强国、数字中国、智慧</w:t>
      </w:r>
      <w:r>
        <w:rPr>
          <w:rFonts w:hint="eastAsia"/>
        </w:rPr>
        <w:t>城市</w:t>
      </w:r>
      <w:r>
        <w:t>。党的十九届五中全会明确提出“加强数字社会、数字政府建设，提升公共服务、社会治理等数字化智能化水平”。2017年以来，</w:t>
      </w:r>
      <w:r>
        <w:rPr>
          <w:rFonts w:hint="eastAsia"/>
        </w:rPr>
        <w:t>广东省在全国率先启动数字政府改革建设工作，深化“放管服”改革，实现政府治理体系和治理能力现代化再上新台阶。我市以“省市联建”试点城市为契机，大力推动数字政府改革建设，推动政府数字化转型</w:t>
      </w:r>
      <w:r>
        <w:t>，把服务民生、改善民生、惠及民生作为数字政府改革建设的</w:t>
      </w:r>
      <w:r>
        <w:rPr>
          <w:rFonts w:hint="eastAsia"/>
        </w:rPr>
        <w:t>重要任务</w:t>
      </w:r>
      <w:r>
        <w:t>，</w:t>
      </w:r>
      <w:r>
        <w:rPr>
          <w:rFonts w:hint="eastAsia" w:hAnsi="仿宋_GB2312" w:cs="仿宋_GB2312"/>
          <w:szCs w:val="32"/>
        </w:rPr>
        <w:t>成功探索出了一条欠发达地市数字化赋能高质量发展的道路。</w:t>
      </w:r>
    </w:p>
    <w:p w14:paraId="4FCB6C26">
      <w:pPr>
        <w:ind w:firstLine="640"/>
        <w:rPr>
          <w:rFonts w:hAnsi="仿宋_GB2312" w:cs="仿宋_GB2312"/>
          <w:szCs w:val="32"/>
        </w:rPr>
      </w:pPr>
      <w:r>
        <w:rPr>
          <w:rFonts w:hint="eastAsia" w:hAnsi="仿宋_GB2312" w:cs="仿宋_GB2312"/>
          <w:szCs w:val="32"/>
        </w:rPr>
        <w:t>海丰县深入贯彻市委市政府、县委县政府相关工作部署和会议精神，扎实推进数字政府改革建设，持续推进“六个通办”，</w:t>
      </w:r>
      <w:r>
        <w:rPr>
          <w:rFonts w:hint="eastAsia"/>
        </w:rPr>
        <w:t>极大提高了营商便民服务水平。“十四五”期间，我县将</w:t>
      </w:r>
      <w:r>
        <w:rPr>
          <w:rFonts w:hint="eastAsia" w:hAnsi="仿宋_GB2312" w:cs="仿宋_GB2312"/>
          <w:szCs w:val="32"/>
        </w:rPr>
        <w:t>进一步强化</w:t>
      </w:r>
      <w:r>
        <w:rPr>
          <w:rFonts w:hint="eastAsia"/>
        </w:rPr>
        <w:t>数字政府改革建设，</w:t>
      </w:r>
      <w:r>
        <w:t>围绕</w:t>
      </w:r>
      <w:bookmarkStart w:id="5" w:name="_Hlk92373743"/>
      <w:r>
        <w:t>“</w:t>
      </w:r>
      <w:r>
        <w:rPr>
          <w:rFonts w:hint="eastAsia"/>
        </w:rPr>
        <w:t>奋进全国‘百强县’、再造一个新海丰，当好汕尾建设沿海经济带靓丽明珠和革命老区高质量发展示范区的排头兵</w:t>
      </w:r>
      <w:r>
        <w:t>”</w:t>
      </w:r>
      <w:bookmarkEnd w:id="5"/>
      <w:r>
        <w:t>的目标定位</w:t>
      </w:r>
      <w:r>
        <w:rPr>
          <w:rFonts w:hint="eastAsia"/>
        </w:rPr>
        <w:t>，纵深发展，实现政府服务由分散向融合转变，政府治理由粗放向精细转变，政府运行由独立向协同转变，产业发展由常规向创新转变，为我市</w:t>
      </w:r>
      <w:r>
        <w:t>建设成为沿海经济带靓丽明珠</w:t>
      </w:r>
      <w:r>
        <w:rPr>
          <w:rFonts w:hint="eastAsia"/>
        </w:rPr>
        <w:t>贡献海丰力量。</w:t>
      </w:r>
    </w:p>
    <w:p w14:paraId="02A78169">
      <w:pPr>
        <w:ind w:firstLine="640"/>
        <w:rPr>
          <w:color w:val="0D0D0D"/>
        </w:rPr>
      </w:pPr>
      <w:r>
        <w:rPr>
          <w:rFonts w:hint="eastAsia"/>
        </w:rPr>
        <w:t>为进一步明确“十四五”期间我县数字政府改革建设的目标、架构、任务和保障措施，</w:t>
      </w:r>
      <w:r>
        <w:rPr>
          <w:rFonts w:hint="eastAsia"/>
          <w:color w:val="0D0D0D"/>
          <w:kern w:val="0"/>
        </w:rPr>
        <w:t>更好指导我县开展数字政府改革建设工作，依据</w:t>
      </w:r>
      <w:r>
        <w:rPr>
          <w:rFonts w:hint="eastAsia"/>
        </w:rPr>
        <w:t>《广东省数字政府改革建设“十四五”规划》《汕尾市国民经济和社会发展第十四个五年规划和二</w:t>
      </w:r>
      <w:r>
        <w:rPr>
          <w:rFonts w:hint="eastAsia" w:ascii="微软雅黑" w:hAnsi="微软雅黑" w:eastAsia="微软雅黑" w:cs="微软雅黑"/>
        </w:rPr>
        <w:t>〇</w:t>
      </w:r>
      <w:r>
        <w:rPr>
          <w:rFonts w:hint="eastAsia" w:cs="仿宋_GB2312"/>
        </w:rPr>
        <w:t>三五年远景目标纲要》</w:t>
      </w:r>
      <w:r>
        <w:rPr>
          <w:rFonts w:hint="eastAsia"/>
        </w:rPr>
        <w:t>《汕尾市数字政府改革建设“十四五”规划》《海丰县国民经济和社会发展第十四个五年规划和二</w:t>
      </w:r>
      <w:r>
        <w:rPr>
          <w:rFonts w:hint="eastAsia" w:ascii="微软雅黑" w:hAnsi="微软雅黑" w:eastAsia="微软雅黑" w:cs="微软雅黑"/>
        </w:rPr>
        <w:t>〇</w:t>
      </w:r>
      <w:r>
        <w:rPr>
          <w:rFonts w:hint="eastAsia" w:cs="仿宋_GB2312"/>
        </w:rPr>
        <w:t>三五年远景目标纲要》</w:t>
      </w:r>
      <w:r>
        <w:rPr>
          <w:rFonts w:hint="eastAsia"/>
        </w:rPr>
        <w:t>等相关文件要求，制定本规划。</w:t>
      </w:r>
      <w:r>
        <w:rPr>
          <w:rFonts w:hint="eastAsia"/>
          <w:color w:val="0D0D0D"/>
        </w:rPr>
        <w:t>规划期为2021-2025年。</w:t>
      </w:r>
    </w:p>
    <w:bookmarkEnd w:id="4"/>
    <w:p w14:paraId="5983F013">
      <w:pPr>
        <w:spacing w:line="240" w:lineRule="auto"/>
        <w:ind w:firstLine="640"/>
        <w:rPr>
          <w:color w:val="0D0D0D"/>
        </w:rPr>
      </w:pPr>
      <w:r>
        <w:rPr>
          <w:rFonts w:ascii="仿宋_GB2312"/>
          <w:szCs w:val="28"/>
        </w:rPr>
        <w:br w:type="page"/>
      </w:r>
    </w:p>
    <w:p w14:paraId="5F091A5D">
      <w:pPr>
        <w:pStyle w:val="2"/>
        <w:ind w:left="0" w:firstLine="640"/>
      </w:pPr>
      <w:bookmarkStart w:id="6" w:name="_Toc70495357"/>
      <w:bookmarkStart w:id="7" w:name="_Toc93501125"/>
      <w:r>
        <w:t>发展基础与形势</w:t>
      </w:r>
      <w:bookmarkEnd w:id="0"/>
      <w:bookmarkEnd w:id="1"/>
      <w:bookmarkEnd w:id="2"/>
      <w:bookmarkEnd w:id="6"/>
      <w:bookmarkEnd w:id="7"/>
    </w:p>
    <w:p w14:paraId="67D6A1B2">
      <w:pPr>
        <w:pStyle w:val="3"/>
        <w:ind w:left="0" w:firstLine="720" w:firstLineChars="200"/>
      </w:pPr>
      <w:bookmarkStart w:id="8" w:name="_Toc62036740"/>
      <w:bookmarkStart w:id="9" w:name="_Toc70495358"/>
      <w:bookmarkStart w:id="10" w:name="_Toc93501126"/>
      <w:bookmarkStart w:id="11" w:name="_Toc68618937"/>
      <w:bookmarkStart w:id="12" w:name="_Toc68618866"/>
      <w:r>
        <w:rPr>
          <w:rFonts w:hint="eastAsia"/>
        </w:rPr>
        <w:t>发展现状</w:t>
      </w:r>
      <w:bookmarkEnd w:id="8"/>
      <w:bookmarkEnd w:id="9"/>
      <w:bookmarkEnd w:id="10"/>
      <w:bookmarkEnd w:id="11"/>
      <w:bookmarkEnd w:id="12"/>
    </w:p>
    <w:p w14:paraId="1DA23AF7">
      <w:pPr>
        <w:pStyle w:val="4"/>
        <w:ind w:firstLine="643"/>
      </w:pPr>
      <w:r>
        <w:rPr>
          <w:rFonts w:hint="eastAsia"/>
        </w:rPr>
        <w:t>管理运营机制初步建立</w:t>
      </w:r>
    </w:p>
    <w:p w14:paraId="694A1D7D">
      <w:pPr>
        <w:ind w:firstLine="640"/>
      </w:pPr>
      <w:r>
        <w:rPr>
          <w:rFonts w:hint="eastAsia"/>
        </w:rPr>
        <w:t>按照省、市数字政府改革建设要求，组建海丰县政务服务数据管理局，作为全县数字政府建设工作的统筹协调机构，负责政务信息化项目立项审批工作。统筹推进“一门一网式”“六个通办”政务服务改革，加强政务平台建设，优化服务流程，大力推进政务服务和营商环境优化。印发《海丰县县级政务信息化服务项目管理办法（试行）》《海丰县数字政府改革建设2019年工作要点》《海丰县数字政府改革建设2020年实施方案》</w:t>
      </w:r>
      <w:r>
        <w:rPr>
          <w:rFonts w:hint="eastAsia"/>
          <w:spacing w:val="10"/>
          <w:szCs w:val="32"/>
        </w:rPr>
        <w:t>等一系列管理文件，科学部署年度数字政府建设工作任务，强化政务信息化项目管理，走实走好数字政府改革建设的每一步</w:t>
      </w:r>
      <w:r>
        <w:rPr>
          <w:rFonts w:hint="eastAsia"/>
        </w:rPr>
        <w:t>。</w:t>
      </w:r>
    </w:p>
    <w:p w14:paraId="3065811E">
      <w:pPr>
        <w:pStyle w:val="4"/>
        <w:ind w:firstLine="643"/>
      </w:pPr>
      <w:r>
        <w:rPr>
          <w:rFonts w:hint="eastAsia"/>
        </w:rPr>
        <w:t>基础支撑能力不断增强</w:t>
      </w:r>
    </w:p>
    <w:p w14:paraId="6FD35533">
      <w:pPr>
        <w:ind w:firstLine="643"/>
      </w:pPr>
      <w:r>
        <w:rPr>
          <w:rFonts w:hint="eastAsia"/>
          <w:b/>
          <w:bCs/>
        </w:rPr>
        <w:t>持续升级政务外网，实现县镇村有效覆盖。</w:t>
      </w:r>
      <w:r>
        <w:rPr>
          <w:rFonts w:hint="eastAsia"/>
        </w:rPr>
        <w:t>持续改造政务外网进出口边界防火墙以及相关安全设备，优化县政务外网中心节点网络，升级政务外网服务性能和覆盖范围，实现县主干带宽输入100M，镇接入10M，村利用VPN连接，满足县、镇、村三级覆盖和有效应用。</w:t>
      </w:r>
    </w:p>
    <w:p w14:paraId="702E0E17">
      <w:pPr>
        <w:ind w:firstLine="643"/>
      </w:pPr>
      <w:r>
        <w:rPr>
          <w:rFonts w:hint="eastAsia"/>
          <w:b/>
          <w:bCs/>
        </w:rPr>
        <w:t>推动信息系统上云，逐步实现集中管理。</w:t>
      </w:r>
      <w:r>
        <w:rPr>
          <w:rFonts w:hint="eastAsia"/>
        </w:rPr>
        <w:t>积极推动各单位信息系统迁移上云，对照“应上尽上”的目标和原则，编制系统迁云计划，全力推动各单位业务系统迁云，逐步实现全面迁云。</w:t>
      </w:r>
    </w:p>
    <w:p w14:paraId="566E467E">
      <w:pPr>
        <w:pStyle w:val="4"/>
        <w:ind w:firstLine="643"/>
      </w:pPr>
      <w:r>
        <w:rPr>
          <w:rFonts w:hint="eastAsia"/>
        </w:rPr>
        <w:t>政务行政效能不断提升</w:t>
      </w:r>
    </w:p>
    <w:p w14:paraId="156BE175">
      <w:pPr>
        <w:ind w:firstLine="643"/>
      </w:pPr>
      <w:r>
        <w:rPr>
          <w:rFonts w:hint="eastAsia"/>
          <w:b/>
          <w:bCs/>
        </w:rPr>
        <w:t>推广“粤系列”平台应用。</w:t>
      </w:r>
      <w:r>
        <w:rPr>
          <w:rFonts w:hint="eastAsia"/>
        </w:rPr>
        <w:t>以推进“数字政府”改革建设为契机，借力创新赋能，积极推广应用“粤省事·汕尾版”“粤商通·汕尾版”“粤政易·汕尾版”应用，实现个人群众、企业和公务人员服务指尖办理。截至2</w:t>
      </w:r>
      <w:r>
        <w:t>020</w:t>
      </w:r>
      <w:r>
        <w:rPr>
          <w:rFonts w:hint="eastAsia"/>
        </w:rPr>
        <w:t>年1</w:t>
      </w:r>
      <w:r>
        <w:t>2</w:t>
      </w:r>
      <w:r>
        <w:rPr>
          <w:rFonts w:hint="eastAsia"/>
        </w:rPr>
        <w:t>月“粤省事·汕尾版”注册用户达47.16万人，“粤商通·汕尾版”全县用户29522家，“粤政易·汕尾版”注册用户12318人，月活跃人数10692，平均月活跃率为</w:t>
      </w:r>
      <w:r>
        <w:t>80</w:t>
      </w:r>
      <w:r>
        <w:rPr>
          <w:rFonts w:hint="eastAsia"/>
        </w:rPr>
        <w:t>.</w:t>
      </w:r>
      <w:r>
        <w:t>00</w:t>
      </w:r>
      <w:r>
        <w:rPr>
          <w:rFonts w:hint="eastAsia"/>
        </w:rPr>
        <w:t>%。</w:t>
      </w:r>
    </w:p>
    <w:p w14:paraId="778AB316">
      <w:pPr>
        <w:ind w:firstLine="643"/>
      </w:pPr>
      <w:r>
        <w:rPr>
          <w:rFonts w:hint="eastAsia"/>
          <w:b/>
          <w:bCs/>
        </w:rPr>
        <w:t>推动基层减负便民项目建设</w:t>
      </w:r>
      <w:r>
        <w:t>。我县把基层减负及“四免”专项优化一并纳入政务一体化能力提升项目，结合乡镇体制改革工作，持续推进基层高频政务服务事项标准化，逐步完善镇、村两级政务服务体系，推动基层减负便民增效。发布《关于征求基层减负便民工作意见的函》收集并梳理19个可优化基层证明，其中可取消11个基层证明，纳入优化证明2个，同时梳理出34份可优化表格，通过业务简化措施，减少347项数据项的填写、降低55.25%的填报率。  </w:t>
      </w:r>
    </w:p>
    <w:p w14:paraId="05D088CF">
      <w:pPr>
        <w:pStyle w:val="4"/>
        <w:ind w:firstLine="643"/>
      </w:pPr>
      <w:r>
        <w:rPr>
          <w:rFonts w:hint="eastAsia"/>
        </w:rPr>
        <w:t>便民惠企服务亮点突出</w:t>
      </w:r>
    </w:p>
    <w:p w14:paraId="0DFF229C">
      <w:pPr>
        <w:ind w:firstLine="643"/>
      </w:pPr>
      <w:r>
        <w:rPr>
          <w:rFonts w:hint="eastAsia"/>
          <w:b/>
          <w:bCs/>
        </w:rPr>
        <w:t>着力打造一流市场环境。</w:t>
      </w:r>
      <w:r>
        <w:rPr>
          <w:rFonts w:hint="eastAsia"/>
        </w:rPr>
        <w:t>聚焦企业全生命周期中的“痛点”“堵点”“难点”，不断推进“八个便利化”举措落地见效。不断提升企业开办效率，开办企业全流程压缩为3个环节，办理时限由3个工作日压缩至1个工作日；持续推进不动产登记提速，通过并联审批简化审批流程，减少申报材料，实现一般登记3个工作日，抵押登记1个工作日。在纳税服务方面，推进网上办税，推行新办纳税人涉税事项集成办理服务，单位纳税人及个体经营工商户业务办理时长同比缩短3小时及2小时。优化出口退（免）税办理服务，出口退税正常申报业务平均办理时间缩短至1.2个工作日，提速70%；在企业投资项目落地方面，依托广东省投资项目在线审批监管平台，对投资项目采取全程网上评估评审，将政府投资项目立项时限由原来20个工作日缩短为5个工作日，社会投资项目备案时限不超过3个工作日。</w:t>
      </w:r>
    </w:p>
    <w:p w14:paraId="069F74D7">
      <w:pPr>
        <w:ind w:firstLine="643"/>
      </w:pPr>
      <w:r>
        <w:rPr>
          <w:rFonts w:hint="eastAsia"/>
          <w:b/>
          <w:bCs/>
        </w:rPr>
        <w:t>着力打造一流政务环境。</w:t>
      </w:r>
      <w:r>
        <w:rPr>
          <w:rFonts w:hint="eastAsia"/>
        </w:rPr>
        <w:t>以简化手续、优化流程、提高办事效率为主要措施，不断深化“一门一网式”改革，推行“六个通办”。在“一窗通办”方面，全县3</w:t>
      </w:r>
      <w:r>
        <w:t>8</w:t>
      </w:r>
      <w:r>
        <w:rPr>
          <w:rFonts w:hint="eastAsia"/>
        </w:rPr>
        <w:t>个部门1662项公共服务事项入驻政务服务大厅，部门入住率</w:t>
      </w:r>
      <w:r>
        <w:t>97%</w:t>
      </w:r>
      <w:r>
        <w:rPr>
          <w:rFonts w:hint="eastAsia"/>
        </w:rPr>
        <w:t>，事项进驻率</w:t>
      </w:r>
      <w:r>
        <w:t>90</w:t>
      </w:r>
      <w:r>
        <w:rPr>
          <w:rFonts w:hint="eastAsia"/>
        </w:rPr>
        <w:t>.</w:t>
      </w:r>
      <w:r>
        <w:t>2%</w:t>
      </w:r>
      <w:r>
        <w:rPr>
          <w:rFonts w:hint="eastAsia"/>
        </w:rPr>
        <w:t>；在“一网通办”方面，大力推动县金融工作局、燃气等单位服务事项进驻广东政务服务网，实现可网办事项为1747项，网上办比率达到100%，全流程网办事项为1519项，全流程网办率达到86.95%。行政许可事项732项，可网办事项为732项，网上办比率达到100%；全流程网办事项709项，全流程网办率达到96.86%；在“一地通办”方面，在县政务服务中心、海城镇城西社区和农商银行总行部署3台政务服务一体机，提供56项事项服务，同时大力推进“政邮合作”“政银合作”，在建设银行、工商银行、中国银行、农业银行、邮政银行等25个网点的64台银行智慧柜员机上线56项政务服务事项；在“一证、一码通办”方面，梳理完成覆盖2</w:t>
      </w:r>
      <w:r>
        <w:t>2</w:t>
      </w:r>
      <w:r>
        <w:rPr>
          <w:rFonts w:hint="eastAsia"/>
        </w:rPr>
        <w:t>个部门3</w:t>
      </w:r>
      <w:r>
        <w:t>37</w:t>
      </w:r>
      <w:r>
        <w:rPr>
          <w:rFonts w:hint="eastAsia"/>
        </w:rPr>
        <w:t>项政务服务事项的首批“免证办”政务服务事项清单和37种电子证照清单，实现清单之外无证明。</w:t>
      </w:r>
    </w:p>
    <w:p w14:paraId="0D0966D7">
      <w:pPr>
        <w:pStyle w:val="4"/>
        <w:ind w:firstLine="643"/>
      </w:pPr>
      <w:r>
        <w:rPr>
          <w:rFonts w:hint="eastAsia"/>
        </w:rPr>
        <w:t>社会治理能力显著提升</w:t>
      </w:r>
    </w:p>
    <w:p w14:paraId="7B8CB16C">
      <w:pPr>
        <w:ind w:firstLine="640"/>
      </w:pPr>
      <w:r>
        <w:rPr>
          <w:rFonts w:hint="eastAsia"/>
        </w:rPr>
        <w:t>推进“平安海丰”建设，全面铺开“一村一警”警务新模式，延伸“打防管控”触角，建设“平安海丰”视频监控及卡口系统信息化工程，社会治安管控能力有效加强。推进公安警务实战化和基础信息化建设，推进“雪亮工程”建设及网安合成作战平台建设，基层防控工作基础不断夯实。推进我县“全科网格”建设以及推广“民情地图”海城镇、黄羌镇试点工作，逐步提升基层社会治理现代化水平。</w:t>
      </w:r>
    </w:p>
    <w:p w14:paraId="72ADDDBF">
      <w:pPr>
        <w:pStyle w:val="3"/>
        <w:ind w:left="0" w:firstLine="720" w:firstLineChars="200"/>
      </w:pPr>
      <w:bookmarkStart w:id="13" w:name="_Toc84980741"/>
      <w:bookmarkEnd w:id="13"/>
      <w:bookmarkStart w:id="14" w:name="_Toc84980735"/>
      <w:bookmarkEnd w:id="14"/>
      <w:bookmarkStart w:id="15" w:name="_Toc84980738"/>
      <w:bookmarkEnd w:id="15"/>
      <w:bookmarkStart w:id="16" w:name="_Toc84980740"/>
      <w:bookmarkEnd w:id="16"/>
      <w:bookmarkStart w:id="17" w:name="_Toc84980737"/>
      <w:bookmarkEnd w:id="17"/>
      <w:bookmarkStart w:id="18" w:name="_Toc84980736"/>
      <w:bookmarkEnd w:id="18"/>
      <w:bookmarkStart w:id="19" w:name="_Toc84980731"/>
      <w:bookmarkEnd w:id="19"/>
      <w:bookmarkStart w:id="20" w:name="_Toc84980734"/>
      <w:bookmarkEnd w:id="20"/>
      <w:bookmarkStart w:id="21" w:name="_Toc84980739"/>
      <w:bookmarkEnd w:id="21"/>
      <w:bookmarkStart w:id="22" w:name="_Toc84980742"/>
      <w:bookmarkEnd w:id="22"/>
      <w:bookmarkStart w:id="23" w:name="_Toc84980733"/>
      <w:bookmarkEnd w:id="23"/>
      <w:bookmarkStart w:id="24" w:name="_Toc84980732"/>
      <w:bookmarkEnd w:id="24"/>
      <w:bookmarkStart w:id="25" w:name="_Toc68618944"/>
      <w:bookmarkStart w:id="26" w:name="_Toc93501127"/>
      <w:bookmarkStart w:id="27" w:name="_Toc70495359"/>
      <w:bookmarkStart w:id="28" w:name="_Toc68618867"/>
      <w:r>
        <w:rPr>
          <w:rFonts w:hint="eastAsia"/>
        </w:rPr>
        <w:t>主要问题</w:t>
      </w:r>
      <w:bookmarkEnd w:id="25"/>
      <w:bookmarkEnd w:id="26"/>
      <w:bookmarkEnd w:id="27"/>
      <w:bookmarkEnd w:id="28"/>
    </w:p>
    <w:p w14:paraId="08A9E868">
      <w:pPr>
        <w:pStyle w:val="4"/>
        <w:ind w:firstLine="643"/>
      </w:pPr>
      <w:r>
        <w:rPr>
          <w:rFonts w:hint="eastAsia"/>
        </w:rPr>
        <w:t>数字政府制度规范仍需优化</w:t>
      </w:r>
    </w:p>
    <w:p w14:paraId="0C244427">
      <w:pPr>
        <w:ind w:firstLine="640"/>
      </w:pPr>
      <w:r>
        <w:rPr>
          <w:rFonts w:hint="eastAsia"/>
        </w:rPr>
        <w:t>我县数字政府改革建设工作机制仍需优化完善，全县各级各部门在总体规划、统筹管理、集约建设等方面仍欠缺高效统一的管理机制，各部门的建设任务划分不够明确，部门间缺少良好的沟通协调机制，机房和网络等基础设施重复投资建设的问题仍然存在。二是“管运分离”的建设运营模式尚未在全县覆盖，各部门还存在分散建设、自主运营的情况，数字政府建设运营服务能力仍需加强，与县级各部门的需求还存在一定的差距。三是专家咨询机制尚未建立，数字政府改革建设的科学决策水平有待提升。数字政府建设缺少有效的评价体系，建设效能和财政资金使用效率有待提高。</w:t>
      </w:r>
    </w:p>
    <w:p w14:paraId="5F9E93B8">
      <w:pPr>
        <w:pStyle w:val="4"/>
        <w:numPr>
          <w:ilvl w:val="2"/>
          <w:numId w:val="2"/>
        </w:numPr>
        <w:ind w:firstLineChars="0"/>
      </w:pPr>
      <w:r>
        <w:rPr>
          <w:rFonts w:hint="eastAsia"/>
        </w:rPr>
        <w:t>基础支撑整体化程度仍需加强</w:t>
      </w:r>
    </w:p>
    <w:p w14:paraId="45CB9E64">
      <w:pPr>
        <w:ind w:firstLine="643"/>
        <w:rPr>
          <w:b/>
          <w:bCs/>
        </w:rPr>
      </w:pPr>
      <w:r>
        <w:rPr>
          <w:rFonts w:hint="eastAsia"/>
          <w:b/>
          <w:bCs/>
        </w:rPr>
        <w:t>云网集约化水平有待提升。</w:t>
      </w:r>
      <w:r>
        <w:rPr>
          <w:rFonts w:hint="eastAsia"/>
        </w:rPr>
        <w:t>一是政务信息系统上云计划推进缓慢，多数县级单位仍以自建机房或租赁第三方托管服务为主，对政务云普遍认识不深，对上云安全性、稳定性的存在质疑。二是政务外网纵向骨干网覆盖不足，部分村级单位需要借助镇级单位网络办事。三是镇村级政务网带宽明显不够、经常出现网络延迟、网络不稳定，影响部门业务系统的使用。四是政务网和业务专网融合程度不足，拥有垂直业务系统的部门由于专网垂直度高，难以打通，形成了多个独立运作、数据难以横向贯通的封闭网络。</w:t>
      </w:r>
    </w:p>
    <w:p w14:paraId="03CDB7ED">
      <w:pPr>
        <w:ind w:firstLine="643"/>
      </w:pPr>
      <w:r>
        <w:rPr>
          <w:rFonts w:hint="eastAsia"/>
          <w:b/>
          <w:bCs/>
        </w:rPr>
        <w:t>数据共享开放能力不足。</w:t>
      </w:r>
      <w:r>
        <w:rPr>
          <w:rFonts w:hint="eastAsia"/>
        </w:rPr>
        <w:t>一是各职能部门政务信息系统以国家和省垂系统为主，相关业务数据存放在国家和省级部门，本地沉淀数据少，导致数据难以汇集共享，业务难以协同联动。二是全县缺乏</w:t>
      </w:r>
      <w:r>
        <w:rPr>
          <w:color w:val="0D0D0D"/>
        </w:rPr>
        <w:t>跨行业、跨部门、跨层级的数据资源共享交换体制</w:t>
      </w:r>
      <w:r>
        <w:rPr>
          <w:rFonts w:hint="eastAsia"/>
        </w:rPr>
        <w:t>，未形成统一的政务资源目录清单，数据质量规范不一，职能部门业务数据共享仍以发函等基础手段协调为主。</w:t>
      </w:r>
    </w:p>
    <w:p w14:paraId="37661AAF">
      <w:pPr>
        <w:pStyle w:val="4"/>
        <w:ind w:firstLine="643"/>
      </w:pPr>
      <w:r>
        <w:rPr>
          <w:rFonts w:hint="eastAsia"/>
        </w:rPr>
        <w:t>政务服务和治理能力仍需提升</w:t>
      </w:r>
    </w:p>
    <w:p w14:paraId="262F0838">
      <w:pPr>
        <w:ind w:firstLine="643"/>
        <w:rPr>
          <w:b/>
        </w:rPr>
      </w:pPr>
      <w:r>
        <w:rPr>
          <w:rFonts w:hint="eastAsia"/>
          <w:b/>
        </w:rPr>
        <w:t>在政务服务领域，</w:t>
      </w:r>
      <w:r>
        <w:rPr>
          <w:rFonts w:hint="eastAsia"/>
        </w:rPr>
        <w:t>一是政务服务“一门一网式”改革受政务服务中心场地影响，部分重点部门及业务仍无法进驻，距离实现“只进一扇门”、“最多跑一次”目标存在一定差距。二是事项标准化不够深入，线上展示事项办事材料与实际线下办事材料不一致，群众办事仍存在重复填报问题。三是政务服务“无证明城市”、“四免”工作不够深化，少部分业务受理人员受理过程中仍以上级要求或存在审计风险为由要求办事群众递交纸质证明文件。</w:t>
      </w:r>
    </w:p>
    <w:p w14:paraId="4FB43174">
      <w:pPr>
        <w:ind w:firstLine="643"/>
      </w:pPr>
      <w:r>
        <w:rPr>
          <w:b/>
        </w:rPr>
        <w:t>在营商环境</w:t>
      </w:r>
      <w:r>
        <w:rPr>
          <w:rFonts w:hint="eastAsia"/>
          <w:b/>
        </w:rPr>
        <w:t>领域</w:t>
      </w:r>
      <w:r>
        <w:rPr>
          <w:rFonts w:hint="eastAsia"/>
        </w:rPr>
        <w:t>，企业全生命周期服务能力有待提高，企业开办、不动产交易、工建审批、缴税纳税等与企业运营相关的综合性服务平台缺失，汇聚整合各行业部门及第三方信用数据的信用监管体系亟需完善</w:t>
      </w:r>
      <w:r>
        <w:t>。</w:t>
      </w:r>
    </w:p>
    <w:p w14:paraId="1911CDC8">
      <w:pPr>
        <w:ind w:firstLine="643"/>
      </w:pPr>
      <w:r>
        <w:rPr>
          <w:rFonts w:hint="eastAsia"/>
          <w:b/>
        </w:rPr>
        <w:t>在社会治理领域</w:t>
      </w:r>
      <w:r>
        <w:rPr>
          <w:rFonts w:hint="eastAsia"/>
        </w:rPr>
        <w:t>，</w:t>
      </w:r>
      <w:r>
        <w:t>精细智能的</w:t>
      </w:r>
      <w:r>
        <w:rPr>
          <w:rFonts w:hint="eastAsia"/>
        </w:rPr>
        <w:t>“民情地图”</w:t>
      </w:r>
      <w:r>
        <w:t>治理平台尚未完全</w:t>
      </w:r>
      <w:r>
        <w:rPr>
          <w:rFonts w:hint="eastAsia"/>
        </w:rPr>
        <w:t>推广</w:t>
      </w:r>
      <w:r>
        <w:t>，各类态势感知</w:t>
      </w:r>
      <w:r>
        <w:rPr>
          <w:rFonts w:hint="eastAsia"/>
        </w:rPr>
        <w:t>设备</w:t>
      </w:r>
      <w:r>
        <w:t>有待</w:t>
      </w:r>
      <w:r>
        <w:rPr>
          <w:rFonts w:hint="eastAsia"/>
        </w:rPr>
        <w:t>建设</w:t>
      </w:r>
      <w:r>
        <w:t>健全，风险监测预警能力仍需加强；支撑各部门开展共同治理、联合监管的数据共享程度</w:t>
      </w:r>
      <w:r>
        <w:rPr>
          <w:rFonts w:hint="eastAsia"/>
        </w:rPr>
        <w:t>需进一步提高</w:t>
      </w:r>
      <w:r>
        <w:t>。</w:t>
      </w:r>
    </w:p>
    <w:p w14:paraId="58848D7F">
      <w:pPr>
        <w:ind w:firstLine="643"/>
      </w:pPr>
      <w:r>
        <w:rPr>
          <w:rFonts w:hint="eastAsia"/>
          <w:b/>
        </w:rPr>
        <w:t>在政府运行领域</w:t>
      </w:r>
      <w:r>
        <w:rPr>
          <w:rFonts w:hint="eastAsia"/>
        </w:rPr>
        <w:t>，全县未实现高度协同、上下联动的跨</w:t>
      </w:r>
      <w:r>
        <w:t>部门、跨层级的办文、办会、审批等高频行政活动，</w:t>
      </w:r>
      <w:r>
        <w:rPr>
          <w:rFonts w:hint="eastAsia"/>
        </w:rPr>
        <w:t>各地</w:t>
      </w:r>
      <w:r>
        <w:t>各部门间的信息流转效率</w:t>
      </w:r>
      <w:r>
        <w:rPr>
          <w:rFonts w:hint="eastAsia"/>
        </w:rPr>
        <w:t>存在</w:t>
      </w:r>
      <w:r>
        <w:t>较大的提升空间</w:t>
      </w:r>
      <w:r>
        <w:rPr>
          <w:rFonts w:hint="eastAsia"/>
        </w:rPr>
        <w:t>。</w:t>
      </w:r>
    </w:p>
    <w:p w14:paraId="241B6FAF">
      <w:pPr>
        <w:pStyle w:val="4"/>
        <w:ind w:firstLine="643"/>
      </w:pPr>
      <w:r>
        <w:rPr>
          <w:rFonts w:hint="eastAsia"/>
        </w:rPr>
        <w:t>数字化人才储备仍需完善</w:t>
      </w:r>
    </w:p>
    <w:p w14:paraId="265BDAEC">
      <w:pPr>
        <w:ind w:firstLine="640"/>
      </w:pPr>
      <w:r>
        <w:rPr>
          <w:rFonts w:hint="eastAsia"/>
        </w:rPr>
        <w:t>当前我县信息化人才储备不足，全县各部门数字化人才队伍力量薄弱，专业水平参差不齐，既熟业务又懂技术的复合型人才异常紧缺，人才需求结构性矛盾较为突出。人才招引、培训和使用机制有待健全，人员配备难以适应信息技术快速发展，影响了各部门政务信息化发展水平。</w:t>
      </w:r>
    </w:p>
    <w:p w14:paraId="06608255">
      <w:pPr>
        <w:pStyle w:val="3"/>
        <w:ind w:left="0" w:firstLine="720" w:firstLineChars="200"/>
      </w:pPr>
      <w:bookmarkStart w:id="29" w:name="_Toc68618950"/>
      <w:bookmarkStart w:id="30" w:name="_Toc93501128"/>
      <w:bookmarkStart w:id="31" w:name="_Toc68618868"/>
      <w:bookmarkStart w:id="32" w:name="_Toc70495360"/>
      <w:r>
        <w:rPr>
          <w:rFonts w:hint="eastAsia"/>
        </w:rPr>
        <w:t>面临形势</w:t>
      </w:r>
      <w:bookmarkEnd w:id="29"/>
      <w:bookmarkEnd w:id="30"/>
      <w:bookmarkEnd w:id="31"/>
      <w:bookmarkEnd w:id="32"/>
    </w:p>
    <w:p w14:paraId="5BAC1152">
      <w:pPr>
        <w:ind w:firstLine="640"/>
      </w:pPr>
      <w:r>
        <w:rPr>
          <w:rFonts w:hint="eastAsia"/>
        </w:rPr>
        <w:t>当今世界正面临百年未有之大变局，机遇和挑战并存，全球治理体系正在发生深刻变化。“十四五”时期，国内外环境变化，信息技术革命持续演进和全球政府治理模式创新，将会给数字政府改革建设带来重大机遇和挑战。</w:t>
      </w:r>
    </w:p>
    <w:p w14:paraId="0492F6A9">
      <w:pPr>
        <w:ind w:firstLine="640"/>
      </w:pPr>
      <w:r>
        <w:rPr>
          <w:rFonts w:hint="eastAsia"/>
        </w:rPr>
        <w:t>从国内看，我国数字政府改革建设已进入全面提升阶段，数字政府成为推进服务型政府建设的重要抓手、一体化政府建设的重要助推器、提升治理智慧化水平的重要工具。习近平总书记提出，要建设网络强国、数字中国、智慧社会，全面实施国家大数据战略，助力经济从高速增长转向高质量发展，党的十九大报告明确指出要加快建设网络强国、数字中国、智慧社会。</w:t>
      </w:r>
    </w:p>
    <w:p w14:paraId="055ADD10">
      <w:pPr>
        <w:ind w:firstLine="640"/>
      </w:pPr>
      <w:r>
        <w:rPr>
          <w:rFonts w:hint="eastAsia"/>
        </w:rPr>
        <w:t>从省内看，广东省网上政务服务能力连续两年获得全国第一，成为数字政府改革建设创新范本。广州、深圳等先进地市数字政府改革建设处于全省领先、全国前列地位。我市以数字政府“省市联建”试点城市落地汕尾为抓手，聚焦“四个一流”，稳步推进“八个便利化”“无证明城市”“六个通办”“信用汕尾”等各项工作，数字政府改革建设位列粤东西北区域第一梯队，取得明显成效。在取得成绩之余，我市总体数字政府改革建设能力仍然偏弱，政务服务便利化水平仍有提升空间，营商环境优化仍需持续深化，社会治理和公共服务领域仍需加大建设。</w:t>
      </w:r>
    </w:p>
    <w:p w14:paraId="17D4CDE8">
      <w:pPr>
        <w:ind w:firstLine="640"/>
        <w:rPr>
          <w:rFonts w:hAnsi="仿宋_GB2312" w:cs="仿宋_GB2312"/>
          <w:szCs w:val="32"/>
        </w:rPr>
      </w:pPr>
      <w:r>
        <w:rPr>
          <w:rFonts w:hint="eastAsia" w:hAnsi="仿宋_GB2312" w:cs="仿宋_GB2312"/>
          <w:szCs w:val="32"/>
        </w:rPr>
        <w:t>从县域层面上看，目前我县与先进地区的“不见面审批”“全城通办”“秒批”等模式对比，行政审批服务水平和效率还需进一步提升，企业群众办事的痛点堵点问题较多，投资项目、工程建设项目、企业开办、不动产登记等领域行政审批改革仍需再深化，流程还需再优化。</w:t>
      </w:r>
      <w:r>
        <w:rPr>
          <w:rFonts w:hint="eastAsia" w:hAnsi="Calibri" w:cs="Times New Roman"/>
          <w:szCs w:val="32"/>
        </w:rPr>
        <w:t>县镇村三级政务服务体系建设还不够健全、规范，服务能力还有待提高，</w:t>
      </w:r>
      <w:r>
        <w:rPr>
          <w:rFonts w:hint="eastAsia" w:hAnsi="仿宋_GB2312" w:cs="仿宋_GB2312"/>
          <w:szCs w:val="32"/>
        </w:rPr>
        <w:t>同时</w:t>
      </w:r>
      <w:r>
        <w:rPr>
          <w:rFonts w:hint="eastAsia" w:hAnsi="Calibri" w:cs="Times New Roman"/>
          <w:szCs w:val="32"/>
        </w:rPr>
        <w:t>政务服务事项网上可办率、全流程网办率等</w:t>
      </w:r>
      <w:r>
        <w:rPr>
          <w:rFonts w:hAnsi="Calibri" w:cs="Times New Roman"/>
          <w:szCs w:val="32"/>
        </w:rPr>
        <w:t>距离</w:t>
      </w:r>
      <w:r>
        <w:rPr>
          <w:rFonts w:hint="eastAsia" w:hAnsi="Calibri" w:cs="Times New Roman"/>
          <w:szCs w:val="32"/>
        </w:rPr>
        <w:t>省、市</w:t>
      </w:r>
      <w:r>
        <w:rPr>
          <w:rFonts w:hAnsi="Calibri" w:cs="Times New Roman"/>
          <w:szCs w:val="32"/>
        </w:rPr>
        <w:t>的</w:t>
      </w:r>
      <w:r>
        <w:rPr>
          <w:rFonts w:hint="eastAsia" w:hAnsi="Calibri" w:cs="Times New Roman"/>
          <w:szCs w:val="32"/>
        </w:rPr>
        <w:t>工作</w:t>
      </w:r>
      <w:r>
        <w:rPr>
          <w:rFonts w:hAnsi="Calibri" w:cs="Times New Roman"/>
          <w:szCs w:val="32"/>
        </w:rPr>
        <w:t>目标</w:t>
      </w:r>
      <w:r>
        <w:rPr>
          <w:rFonts w:hint="eastAsia" w:hAnsi="Calibri" w:cs="Times New Roman"/>
          <w:szCs w:val="32"/>
        </w:rPr>
        <w:t>仍存在较大差距</w:t>
      </w:r>
      <w:r>
        <w:rPr>
          <w:rFonts w:hAnsi="Calibri" w:cs="Times New Roman"/>
          <w:szCs w:val="32"/>
        </w:rPr>
        <w:t>提升空间大</w:t>
      </w:r>
      <w:r>
        <w:rPr>
          <w:rFonts w:ascii="仿宋" w:hAnsi="仿宋" w:eastAsia="仿宋"/>
          <w:bCs/>
          <w:szCs w:val="32"/>
        </w:rPr>
        <w:t>。</w:t>
      </w:r>
    </w:p>
    <w:p w14:paraId="51315153">
      <w:pPr>
        <w:ind w:firstLine="640"/>
      </w:pPr>
      <w:r>
        <w:rPr>
          <w:rFonts w:hint="eastAsia"/>
        </w:rPr>
        <w:t>此外，以人工智能、大数据、物联网、</w:t>
      </w:r>
      <w:r>
        <w:t>5G等为代表的新一代信息技术高速发展、交叉融合，信息和通信技术领域创新空前活跃，新兴技术持续向经济、社会和公共管理领域渗透，新应用、新模式、新业态、新技术和新服务层出不穷，引领和催生各领域发展方式的革命性转变。面对经济社会深度变革的客观现实，</w:t>
      </w:r>
      <w:r>
        <w:rPr>
          <w:rFonts w:hint="eastAsia"/>
        </w:rPr>
        <w:t>我县数</w:t>
      </w:r>
      <w:r>
        <w:t>字政府改革建设必须顺应互联网发展趋势，推进新一代信息技术服务与政府职能转变深度融合，全力推动经济调节、公共服务、市场监管、社会治理、生态环保等政府职能数字化转型，撬动数字产业、数字经济、数字社会全面发展。</w:t>
      </w:r>
    </w:p>
    <w:p w14:paraId="425DD8C3">
      <w:pPr>
        <w:widowControl/>
        <w:spacing w:line="240" w:lineRule="auto"/>
        <w:ind w:firstLine="0" w:firstLineChars="0"/>
        <w:jc w:val="left"/>
        <w:rPr>
          <w:rFonts w:eastAsia="黑体"/>
          <w:bCs/>
          <w:kern w:val="44"/>
          <w:szCs w:val="44"/>
        </w:rPr>
      </w:pPr>
      <w:bookmarkStart w:id="33" w:name="_Toc68618869"/>
      <w:bookmarkStart w:id="34" w:name="_Toc68618951"/>
      <w:bookmarkStart w:id="35" w:name="_Toc70495361"/>
      <w:r>
        <w:br w:type="page"/>
      </w:r>
    </w:p>
    <w:p w14:paraId="55A542C8">
      <w:pPr>
        <w:pStyle w:val="2"/>
        <w:ind w:left="0" w:firstLine="640"/>
      </w:pPr>
      <w:bookmarkStart w:id="36" w:name="_Toc93501129"/>
      <w:r>
        <w:rPr>
          <w:rFonts w:hint="eastAsia"/>
        </w:rPr>
        <w:t>总体要求</w:t>
      </w:r>
      <w:bookmarkEnd w:id="33"/>
      <w:bookmarkEnd w:id="34"/>
      <w:bookmarkEnd w:id="35"/>
      <w:bookmarkEnd w:id="36"/>
    </w:p>
    <w:p w14:paraId="715700F7">
      <w:pPr>
        <w:pStyle w:val="3"/>
        <w:ind w:left="0" w:firstLine="720" w:firstLineChars="200"/>
      </w:pPr>
      <w:bookmarkStart w:id="37" w:name="_Toc93501130"/>
      <w:bookmarkStart w:id="38" w:name="_Toc70495362"/>
      <w:bookmarkStart w:id="39" w:name="_Toc68618952"/>
      <w:bookmarkStart w:id="40" w:name="_Toc68618870"/>
      <w:r>
        <w:rPr>
          <w:rFonts w:hint="eastAsia"/>
        </w:rPr>
        <w:t>指导思想</w:t>
      </w:r>
      <w:bookmarkEnd w:id="37"/>
      <w:bookmarkEnd w:id="38"/>
      <w:bookmarkEnd w:id="39"/>
      <w:bookmarkEnd w:id="40"/>
    </w:p>
    <w:p w14:paraId="1BBE3C55">
      <w:pPr>
        <w:ind w:firstLine="640"/>
      </w:pPr>
      <w:r>
        <w:rPr>
          <w:rFonts w:hint="eastAsia"/>
        </w:rPr>
        <w:t>坚持以习近平新时代中国特色社会主义思想为指导，深入学习贯彻党的十九大和十九届二中、三中、四中、五中、六中全会精神，全面贯彻习近平总书记对广东重要讲话和重要指示批示精神，以及省委省政府“1+1+9”、市委市政府“四大历史使命、六大重点任务”和县委县政府“六个始终坚持”的部署要求，围绕“奋进全国‘百强县’、再造一个新海丰，当好汕尾建设沿海经济带靓丽明珠和革命老区高质量发展示范区的排头兵”的总体定位目标，在省市数字政府改革建设总体框架下，发挥我县区位优势，以高质量发展为主题，以增进人民福祉为根本目的，构建“数字惠民、数字慧治、数字优政、数字强基、数字赋能”的数字政府实施路径，持续深化“互联网+政务服务”建设，不断推动营商环境优化和社会治理能力提升，加快推进政府治理体系和治理能力现代化建设，提升我县数字政府发展水平，全面支撑我县建设成为社会主义现代化强县的目标，为汕尾加快建设成为沿海经济带靓丽明珠负起海丰当担、贡献海丰力量。</w:t>
      </w:r>
    </w:p>
    <w:p w14:paraId="3A56C975">
      <w:pPr>
        <w:pStyle w:val="3"/>
        <w:ind w:left="0" w:firstLine="720" w:firstLineChars="200"/>
      </w:pPr>
      <w:bookmarkStart w:id="41" w:name="_Toc68618871"/>
      <w:bookmarkStart w:id="42" w:name="_Toc93501131"/>
      <w:bookmarkStart w:id="43" w:name="_Toc70495363"/>
      <w:bookmarkStart w:id="44" w:name="_Toc68618953"/>
      <w:r>
        <w:rPr>
          <w:rFonts w:hint="eastAsia"/>
        </w:rPr>
        <w:t>基本原则</w:t>
      </w:r>
      <w:bookmarkEnd w:id="41"/>
      <w:bookmarkEnd w:id="42"/>
      <w:bookmarkEnd w:id="43"/>
      <w:bookmarkEnd w:id="44"/>
    </w:p>
    <w:p w14:paraId="1B72E9C5">
      <w:pPr>
        <w:pStyle w:val="4"/>
        <w:ind w:firstLine="643"/>
      </w:pPr>
      <w:bookmarkStart w:id="45" w:name="_Toc68618954"/>
      <w:bookmarkStart w:id="46" w:name="_Toc68618959"/>
      <w:bookmarkStart w:id="47" w:name="_Toc68618872"/>
      <w:r>
        <w:rPr>
          <w:rFonts w:hint="eastAsia"/>
        </w:rPr>
        <w:t>以人为本，服务为先</w:t>
      </w:r>
      <w:bookmarkEnd w:id="45"/>
      <w:bookmarkStart w:id="48" w:name="_Toc68618956"/>
    </w:p>
    <w:p w14:paraId="1D83A8CA">
      <w:pPr>
        <w:ind w:firstLine="640"/>
      </w:pPr>
      <w:r>
        <w:rPr>
          <w:rFonts w:hint="eastAsia"/>
        </w:rPr>
        <w:t>坚持以人民为中心的发展理念，践行全心全意为人民服务的根本宗旨，把满足人民对美好生活的向往作为数字政府建设的出发点和落脚点，扎根人民关心关注的政务、经济、民生等重要领域，让数字政府建设成果惠及全社会，切实提升人民的幸福感、获得感。</w:t>
      </w:r>
    </w:p>
    <w:p w14:paraId="2EE8AFC5">
      <w:pPr>
        <w:pStyle w:val="4"/>
        <w:ind w:firstLine="643"/>
      </w:pPr>
      <w:r>
        <w:rPr>
          <w:rFonts w:hint="eastAsia"/>
        </w:rPr>
        <w:t>市县一体</w:t>
      </w:r>
      <w:r>
        <w:t>，</w:t>
      </w:r>
      <w:r>
        <w:rPr>
          <w:rFonts w:hint="eastAsia"/>
        </w:rPr>
        <w:t>上下联动</w:t>
      </w:r>
      <w:bookmarkEnd w:id="48"/>
    </w:p>
    <w:p w14:paraId="56DC79BD">
      <w:pPr>
        <w:ind w:firstLine="640"/>
        <w:rPr>
          <w:lang w:eastAsia="zh-Hans"/>
        </w:rPr>
      </w:pPr>
      <w:r>
        <w:rPr>
          <w:rFonts w:hint="eastAsia"/>
          <w:lang w:eastAsia="zh-Hans"/>
        </w:rPr>
        <w:t>在省市数字政府总体框架下，坚持全县“一盘棋”思路，运用系统性思维，按照上连汕尾、覆盖全县、纵向贯通、横向协同的要求，加强海丰县数字政府建设统筹规划和统一部署，统筹兼顾全县各领域、各单位建设重点和任务，加强部门之间的沟通协调，推动数字政府建设协调共进。</w:t>
      </w:r>
    </w:p>
    <w:p w14:paraId="72CDD84E">
      <w:pPr>
        <w:pStyle w:val="4"/>
        <w:ind w:firstLine="643"/>
      </w:pPr>
      <w:bookmarkStart w:id="49" w:name="_Toc68618957"/>
      <w:r>
        <w:rPr>
          <w:rFonts w:hint="eastAsia"/>
        </w:rPr>
        <w:t>集约共享，安全可靠</w:t>
      </w:r>
    </w:p>
    <w:p w14:paraId="6EF9D557">
      <w:pPr>
        <w:ind w:firstLine="640"/>
      </w:pPr>
      <w:r>
        <w:rPr>
          <w:rFonts w:hint="eastAsia"/>
        </w:rPr>
        <w:t>加强信息基础设施统一规划、统一采购、统一接入、统一覆盖、统一管理和集约化建设，强化共性支撑能力建设，促进网络互通、平台共用、数据共享和业务协同，加强网络和信息安全建设与管理，加强关键信息基础设施、信息系统安全保障，推动网络安全保障体系与数字政府建设同步规划、同步建设、同步运行。</w:t>
      </w:r>
    </w:p>
    <w:p w14:paraId="5D1FBF5C">
      <w:pPr>
        <w:pStyle w:val="4"/>
        <w:ind w:firstLine="643"/>
      </w:pPr>
      <w:r>
        <w:rPr>
          <w:rFonts w:hint="eastAsia"/>
        </w:rPr>
        <w:t>明确目标，分步实施</w:t>
      </w:r>
      <w:bookmarkEnd w:id="49"/>
    </w:p>
    <w:p w14:paraId="22A5CD04">
      <w:pPr>
        <w:ind w:firstLine="640"/>
        <w:rPr>
          <w:lang w:eastAsia="zh-Hans"/>
        </w:rPr>
      </w:pPr>
      <w:r>
        <w:rPr>
          <w:rFonts w:hint="eastAsia"/>
          <w:lang w:eastAsia="zh-Hans"/>
        </w:rPr>
        <w:t>坚持发展与监管并重，强化政府宏观指导、政策引领、监督监管作用，以政策扶持、统筹协调和优化环境等调控措施，深化政企合作模式，激发各类市场主体的创新创业活力，发挥优秀企业和智库力量，提升我县数字政府规划、建设和运营水平，激活数字政府发展整体动力。</w:t>
      </w:r>
    </w:p>
    <w:p w14:paraId="26FFC799">
      <w:pPr>
        <w:pStyle w:val="3"/>
        <w:ind w:left="0" w:firstLine="720" w:firstLineChars="200"/>
      </w:pPr>
      <w:bookmarkStart w:id="50" w:name="_Toc93501132"/>
      <w:bookmarkStart w:id="51" w:name="_Toc70495364"/>
      <w:r>
        <w:rPr>
          <w:rFonts w:hint="eastAsia"/>
        </w:rPr>
        <w:t>发展目标</w:t>
      </w:r>
      <w:bookmarkEnd w:id="46"/>
      <w:bookmarkEnd w:id="47"/>
      <w:bookmarkEnd w:id="50"/>
      <w:bookmarkEnd w:id="51"/>
    </w:p>
    <w:p w14:paraId="38DE0158">
      <w:pPr>
        <w:ind w:firstLine="640"/>
      </w:pPr>
      <w:r>
        <w:rPr>
          <w:rFonts w:hint="eastAsia"/>
        </w:rPr>
        <w:t>围绕“奋进全国‘百强县’、再造一个新海丰，当好汕尾建设沿海经济带靓丽明珠和革命老区高质量发展示范区的排头兵”的发展目标，充分运用5G、大数据、物联网、人工智能等新一代信息化技术，深入推进我县数字政府改革建设，以公共服务、产业发展、综合治理、政府运行和基础设施为发展重点，不断提升我县数字政府改革建设水平。到2025年，实现“五个走在全市前列”的具体目标，基本形成海丰数字政府创新发展局面，提升政府服务、县域治理、行政协同、行政决策等领域便捷化、精细化、高效化、科学化水平，当好汕尾建设沿海经济带靓丽明珠排头兵。</w:t>
      </w:r>
      <w:r>
        <w:rPr>
          <w:rFonts w:hint="eastAsia"/>
          <w:bCs/>
        </w:rPr>
        <w:t>具体目标：</w:t>
      </w:r>
    </w:p>
    <w:p w14:paraId="65A66C6B">
      <w:pPr>
        <w:ind w:firstLine="643"/>
        <w:rPr>
          <w:rFonts w:hAnsi="仿宋" w:cs="仿宋"/>
          <w:bCs/>
          <w:szCs w:val="32"/>
        </w:rPr>
      </w:pPr>
      <w:r>
        <w:rPr>
          <w:rFonts w:hint="eastAsia"/>
          <w:b/>
          <w:szCs w:val="32"/>
        </w:rPr>
        <w:t>——推进高质量政务服务走在全市前列。</w:t>
      </w:r>
      <w:r>
        <w:rPr>
          <w:rFonts w:hint="eastAsia"/>
          <w:bCs/>
          <w:szCs w:val="32"/>
        </w:rPr>
        <w:t>到2025年政务服务质量显著提升，基本建成“高效办成一件事”服务模式。“六个通办”、“无证明城市”、“八个便利化”全面建成，除涉密等事项外，实现“零跑动”事项覆盖率100%，一窗受理率100%，一件事主题服务事项50项，政务服务一体机村社区覆盖率100%，群众和企业满意度进一步提升。</w:t>
      </w:r>
    </w:p>
    <w:p w14:paraId="3E4ECD14">
      <w:pPr>
        <w:ind w:firstLine="643"/>
        <w:rPr>
          <w:bCs/>
          <w:szCs w:val="32"/>
        </w:rPr>
      </w:pPr>
      <w:r>
        <w:rPr>
          <w:rFonts w:hint="eastAsia"/>
          <w:b/>
          <w:szCs w:val="32"/>
        </w:rPr>
        <w:t>——</w:t>
      </w:r>
      <w:r>
        <w:rPr>
          <w:rFonts w:hint="eastAsia"/>
          <w:b/>
          <w:szCs w:val="28"/>
        </w:rPr>
        <w:t>推进高效能社会治理走在全市前列。</w:t>
      </w:r>
      <w:r>
        <w:rPr>
          <w:rFonts w:hint="eastAsia"/>
          <w:szCs w:val="28"/>
        </w:rPr>
        <w:t>到2025年，基本建成全县“一网统管”治理体系，实现“民情地图”全面推广，以党建为“龙头”的基层治理格局基本建成，推动基层更加和谐稳定。</w:t>
      </w:r>
    </w:p>
    <w:p w14:paraId="5D6B60C9">
      <w:pPr>
        <w:ind w:firstLine="643"/>
        <w:rPr>
          <w:bCs/>
          <w:szCs w:val="32"/>
        </w:rPr>
      </w:pPr>
      <w:r>
        <w:rPr>
          <w:rFonts w:hint="eastAsia"/>
          <w:b/>
          <w:szCs w:val="32"/>
        </w:rPr>
        <w:t>——</w:t>
      </w:r>
      <w:r>
        <w:rPr>
          <w:rFonts w:hint="eastAsia"/>
          <w:b/>
          <w:color w:val="0D0D0D"/>
        </w:rPr>
        <w:t>推进高质效政务运行走在全市前列。</w:t>
      </w:r>
      <w:r>
        <w:rPr>
          <w:rFonts w:hint="eastAsia"/>
          <w:bCs/>
          <w:szCs w:val="32"/>
        </w:rPr>
        <w:t xml:space="preserve">到2025年，实现统一协同办公平台在县镇村三级全面应用，统一协同办公系统覆盖率100%，电子印章覆盖率100%。基本完成高效流转“一件事”清单梳理，实现政府内部“一件事”事项全程电子化、指尖化。显著提升政府内部上下联动、左右协同、科学决策的能力。 </w:t>
      </w:r>
    </w:p>
    <w:p w14:paraId="16B1A371">
      <w:pPr>
        <w:ind w:firstLine="643"/>
        <w:rPr>
          <w:bCs/>
        </w:rPr>
      </w:pPr>
      <w:r>
        <w:rPr>
          <w:rFonts w:hint="eastAsia"/>
          <w:b/>
        </w:rPr>
        <w:t>——</w:t>
      </w:r>
      <w:r>
        <w:rPr>
          <w:rFonts w:hint="eastAsia"/>
          <w:b/>
          <w:color w:val="0D0D0D"/>
        </w:rPr>
        <w:t>推进高水平支撑能力走在全市前列</w:t>
      </w:r>
      <w:r>
        <w:rPr>
          <w:rFonts w:hint="eastAsia"/>
          <w:b/>
        </w:rPr>
        <w:t>。</w:t>
      </w:r>
      <w:r>
        <w:rPr>
          <w:rFonts w:hint="eastAsia"/>
          <w:bCs/>
        </w:rPr>
        <w:t>强化网络与信息安全保障，推进政务外网扩容提质，促进非涉密政务信息系统迁移上云，非涉密专网融合。到2025年实现网络安全防护能力全面提升，政务外网县、镇、村三级全面覆盖，非涉密系统“一朵云”承载、“一张网”覆盖。</w:t>
      </w:r>
    </w:p>
    <w:p w14:paraId="089CCE61">
      <w:pPr>
        <w:ind w:firstLine="643"/>
        <w:rPr>
          <w:b/>
        </w:rPr>
      </w:pPr>
      <w:r>
        <w:rPr>
          <w:rFonts w:hint="eastAsia"/>
          <w:b/>
        </w:rPr>
        <w:t>——</w:t>
      </w:r>
      <w:r>
        <w:rPr>
          <w:rFonts w:hint="eastAsia"/>
          <w:b/>
          <w:color w:val="0D0D0D"/>
        </w:rPr>
        <w:t>推进红色文化建设走在全市前列</w:t>
      </w:r>
      <w:r>
        <w:rPr>
          <w:rFonts w:hint="eastAsia"/>
          <w:b/>
        </w:rPr>
        <w:t>。</w:t>
      </w:r>
      <w:r>
        <w:rPr>
          <w:rFonts w:hint="eastAsia"/>
        </w:rPr>
        <w:t>推进智慧旅游服务平台建设，加强红色资源供给配置，推动红色文旅与海丰数字文化优势产业联动，通过大数据、V</w:t>
      </w:r>
      <w:r>
        <w:t>R</w:t>
      </w:r>
      <w:r>
        <w:rPr>
          <w:rFonts w:hint="eastAsia"/>
        </w:rPr>
        <w:t>、5</w:t>
      </w:r>
      <w:r>
        <w:t>G</w:t>
      </w:r>
      <w:r>
        <w:rPr>
          <w:rFonts w:hint="eastAsia"/>
        </w:rPr>
        <w:t>等技术传承红色基因，创新红色产品，增强红色文旅参与度，提振红色经济生命力。</w:t>
      </w:r>
    </w:p>
    <w:p w14:paraId="23FED3BE">
      <w:pPr>
        <w:ind w:firstLine="640"/>
      </w:pPr>
      <w:r>
        <w:rPr>
          <w:rFonts w:hint="eastAsia"/>
        </w:rPr>
        <w:t xml:space="preserve">围绕上述目标，在数字化履职能力、数字化驱动能力、数字化支撑能力等方面梳理出海丰县数字政府改革建设“十四五”主要公共指标如下： </w:t>
      </w:r>
    </w:p>
    <w:p w14:paraId="55D2F140">
      <w:pPr>
        <w:keepNext/>
        <w:spacing w:before="156" w:after="156" w:line="384" w:lineRule="auto"/>
        <w:ind w:firstLine="640"/>
        <w:jc w:val="center"/>
        <w:rPr>
          <w:rFonts w:eastAsia="黑体" w:cs="Times New Roman"/>
          <w:szCs w:val="24"/>
        </w:rPr>
      </w:pPr>
      <w:r>
        <w:rPr>
          <w:rFonts w:hint="eastAsia" w:eastAsia="黑体" w:cs="Times New Roman"/>
          <w:szCs w:val="24"/>
        </w:rPr>
        <w:t>表</w:t>
      </w:r>
      <w:r>
        <w:rPr>
          <w:rFonts w:eastAsia="黑体" w:cs="Times New Roman"/>
          <w:szCs w:val="24"/>
        </w:rPr>
        <w:fldChar w:fldCharType="begin"/>
      </w:r>
      <w:r>
        <w:rPr>
          <w:rFonts w:eastAsia="黑体" w:cs="Times New Roman"/>
          <w:szCs w:val="24"/>
        </w:rPr>
        <w:instrText xml:space="preserve"> SEQ </w:instrText>
      </w:r>
      <w:r>
        <w:rPr>
          <w:rFonts w:hint="eastAsia" w:eastAsia="黑体" w:cs="Times New Roman"/>
          <w:szCs w:val="24"/>
        </w:rPr>
        <w:instrText xml:space="preserve">表格</w:instrText>
      </w:r>
      <w:r>
        <w:rPr>
          <w:rFonts w:eastAsia="黑体" w:cs="Times New Roman"/>
          <w:szCs w:val="24"/>
        </w:rPr>
        <w:instrText xml:space="preserve"> \* ARABIC </w:instrText>
      </w:r>
      <w:r>
        <w:rPr>
          <w:rFonts w:eastAsia="黑体" w:cs="Times New Roman"/>
          <w:szCs w:val="24"/>
        </w:rPr>
        <w:fldChar w:fldCharType="separate"/>
      </w:r>
      <w:r>
        <w:rPr>
          <w:rFonts w:eastAsia="黑体" w:cs="Times New Roman"/>
          <w:szCs w:val="24"/>
        </w:rPr>
        <w:t>1</w:t>
      </w:r>
      <w:r>
        <w:rPr>
          <w:rFonts w:eastAsia="黑体" w:cs="Times New Roman"/>
          <w:szCs w:val="24"/>
        </w:rPr>
        <w:fldChar w:fldCharType="end"/>
      </w:r>
      <w:r>
        <w:rPr>
          <w:rFonts w:eastAsia="黑体" w:cs="Times New Roman"/>
          <w:szCs w:val="24"/>
        </w:rPr>
        <w:t xml:space="preserve"> </w:t>
      </w:r>
      <w:r>
        <w:rPr>
          <w:rFonts w:hint="eastAsia" w:eastAsia="黑体" w:cs="Times New Roman"/>
          <w:szCs w:val="24"/>
        </w:rPr>
        <w:t>海丰县数字政府</w:t>
      </w:r>
      <w:r>
        <w:rPr>
          <w:rFonts w:hint="eastAsia" w:ascii="仿宋_GB2312" w:cs="Times New Roman"/>
          <w:szCs w:val="24"/>
        </w:rPr>
        <w:t>“</w:t>
      </w:r>
      <w:r>
        <w:rPr>
          <w:rFonts w:hint="eastAsia" w:eastAsia="黑体" w:cs="Times New Roman"/>
          <w:szCs w:val="24"/>
        </w:rPr>
        <w:t>十四五</w:t>
      </w:r>
      <w:r>
        <w:rPr>
          <w:rFonts w:hint="eastAsia" w:ascii="仿宋_GB2312" w:cs="Times New Roman"/>
          <w:szCs w:val="24"/>
        </w:rPr>
        <w:t>”</w:t>
      </w:r>
      <w:r>
        <w:rPr>
          <w:rFonts w:hint="eastAsia" w:eastAsia="黑体" w:cs="Times New Roman"/>
          <w:szCs w:val="24"/>
        </w:rPr>
        <w:t>发展主要公共指标</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741"/>
        <w:gridCol w:w="3517"/>
        <w:gridCol w:w="1172"/>
        <w:gridCol w:w="1637"/>
      </w:tblGrid>
      <w:tr w14:paraId="6A60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491" w:type="pct"/>
            <w:shd w:val="clear" w:color="000000" w:fill="D0CECE"/>
            <w:vAlign w:val="center"/>
          </w:tcPr>
          <w:p w14:paraId="38D93ED7">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973" w:type="pct"/>
            <w:shd w:val="clear" w:color="000000" w:fill="D0CECE"/>
            <w:vAlign w:val="center"/>
          </w:tcPr>
          <w:p w14:paraId="7746EF85">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类别</w:t>
            </w:r>
          </w:p>
        </w:tc>
        <w:tc>
          <w:tcPr>
            <w:tcW w:w="1965" w:type="pct"/>
            <w:shd w:val="clear" w:color="000000" w:fill="D0CECE"/>
            <w:vAlign w:val="center"/>
          </w:tcPr>
          <w:p w14:paraId="47FEEF79">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主要指标</w:t>
            </w:r>
          </w:p>
        </w:tc>
        <w:tc>
          <w:tcPr>
            <w:tcW w:w="655" w:type="pct"/>
            <w:shd w:val="clear" w:color="000000" w:fill="D0CECE"/>
            <w:vAlign w:val="center"/>
          </w:tcPr>
          <w:p w14:paraId="2CE5D30E">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现状值</w:t>
            </w:r>
          </w:p>
        </w:tc>
        <w:tc>
          <w:tcPr>
            <w:tcW w:w="915" w:type="pct"/>
            <w:shd w:val="clear" w:color="000000" w:fill="D0CECE"/>
            <w:vAlign w:val="center"/>
          </w:tcPr>
          <w:p w14:paraId="3FFAFE1C">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目标值</w:t>
            </w:r>
          </w:p>
        </w:tc>
      </w:tr>
      <w:tr w14:paraId="28BF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4DD6398A">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w:t>
            </w:r>
          </w:p>
        </w:tc>
        <w:tc>
          <w:tcPr>
            <w:tcW w:w="973" w:type="pct"/>
            <w:vMerge w:val="restart"/>
            <w:shd w:val="clear" w:color="auto" w:fill="auto"/>
            <w:vAlign w:val="center"/>
          </w:tcPr>
          <w:p w14:paraId="3B650BFF">
            <w:pPr>
              <w:widowControl/>
              <w:spacing w:line="240" w:lineRule="auto"/>
              <w:ind w:firstLine="0" w:firstLineChars="0"/>
              <w:jc w:val="center"/>
              <w:rPr>
                <w:rFonts w:hint="eastAsia" w:ascii="仿宋_GB2312" w:hAnsi="等线" w:eastAsia="仿宋_GB2312" w:cs="宋体"/>
                <w:color w:val="000000"/>
                <w:kern w:val="0"/>
                <w:sz w:val="28"/>
                <w:szCs w:val="28"/>
                <w:lang w:eastAsia="zh-CN"/>
              </w:rPr>
            </w:pPr>
            <w:r>
              <w:rPr>
                <w:rFonts w:hint="eastAsia" w:ascii="仿宋_GB2312" w:hAnsi="等线" w:cs="宋体"/>
                <w:color w:val="000000"/>
                <w:kern w:val="0"/>
                <w:sz w:val="28"/>
                <w:szCs w:val="28"/>
              </w:rPr>
              <w:t>数字化</w:t>
            </w:r>
          </w:p>
          <w:p w14:paraId="41C6591D">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履职能力</w:t>
            </w:r>
          </w:p>
        </w:tc>
        <w:tc>
          <w:tcPr>
            <w:tcW w:w="1965" w:type="pct"/>
            <w:shd w:val="clear" w:color="auto" w:fill="auto"/>
            <w:vAlign w:val="center"/>
          </w:tcPr>
          <w:p w14:paraId="208200A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“零跑动”事项覆盖率（%）</w:t>
            </w:r>
          </w:p>
        </w:tc>
        <w:tc>
          <w:tcPr>
            <w:tcW w:w="655" w:type="pct"/>
            <w:shd w:val="clear" w:color="auto" w:fill="auto"/>
            <w:vAlign w:val="center"/>
          </w:tcPr>
          <w:p w14:paraId="3E4D0F4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95.9</w:t>
            </w:r>
          </w:p>
        </w:tc>
        <w:tc>
          <w:tcPr>
            <w:tcW w:w="915" w:type="pct"/>
            <w:shd w:val="clear" w:color="auto" w:fill="auto"/>
            <w:vAlign w:val="center"/>
          </w:tcPr>
          <w:p w14:paraId="38830B54">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3DDD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491" w:type="pct"/>
            <w:shd w:val="clear" w:color="auto" w:fill="auto"/>
            <w:vAlign w:val="center"/>
          </w:tcPr>
          <w:p w14:paraId="2F4B45A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2</w:t>
            </w:r>
          </w:p>
        </w:tc>
        <w:tc>
          <w:tcPr>
            <w:tcW w:w="973" w:type="pct"/>
            <w:vMerge w:val="continue"/>
            <w:vAlign w:val="center"/>
          </w:tcPr>
          <w:p w14:paraId="3FB04751">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4669925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一窗综合受理率（%）</w:t>
            </w:r>
          </w:p>
        </w:tc>
        <w:tc>
          <w:tcPr>
            <w:tcW w:w="655" w:type="pct"/>
            <w:shd w:val="clear" w:color="auto" w:fill="auto"/>
            <w:vAlign w:val="center"/>
          </w:tcPr>
          <w:p w14:paraId="11E2F8E7">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99.2</w:t>
            </w:r>
          </w:p>
        </w:tc>
        <w:tc>
          <w:tcPr>
            <w:tcW w:w="915" w:type="pct"/>
            <w:shd w:val="clear" w:color="auto" w:fill="auto"/>
            <w:vAlign w:val="center"/>
          </w:tcPr>
          <w:p w14:paraId="6ADC030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597B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7B6CEAFD">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3</w:t>
            </w:r>
          </w:p>
        </w:tc>
        <w:tc>
          <w:tcPr>
            <w:tcW w:w="973" w:type="pct"/>
            <w:vMerge w:val="continue"/>
            <w:vAlign w:val="center"/>
          </w:tcPr>
          <w:p w14:paraId="0C0C34DF">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6AF4351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“一件事”主题集成服务数量（件）</w:t>
            </w:r>
          </w:p>
        </w:tc>
        <w:tc>
          <w:tcPr>
            <w:tcW w:w="655" w:type="pct"/>
            <w:shd w:val="clear" w:color="auto" w:fill="auto"/>
            <w:vAlign w:val="center"/>
          </w:tcPr>
          <w:p w14:paraId="05CE07B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0</w:t>
            </w:r>
          </w:p>
        </w:tc>
        <w:tc>
          <w:tcPr>
            <w:tcW w:w="915" w:type="pct"/>
            <w:shd w:val="clear" w:color="auto" w:fill="auto"/>
            <w:vAlign w:val="center"/>
          </w:tcPr>
          <w:p w14:paraId="541044E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50</w:t>
            </w:r>
          </w:p>
        </w:tc>
      </w:tr>
      <w:tr w14:paraId="0558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1" w:type="pct"/>
            <w:shd w:val="clear" w:color="auto" w:fill="auto"/>
            <w:vAlign w:val="center"/>
          </w:tcPr>
          <w:p w14:paraId="0067F24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4</w:t>
            </w:r>
          </w:p>
        </w:tc>
        <w:tc>
          <w:tcPr>
            <w:tcW w:w="973" w:type="pct"/>
            <w:vMerge w:val="continue"/>
            <w:vAlign w:val="center"/>
          </w:tcPr>
          <w:p w14:paraId="4C47B2D9">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7026608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政务服务一体机村社区覆盖率（%）</w:t>
            </w:r>
          </w:p>
        </w:tc>
        <w:tc>
          <w:tcPr>
            <w:tcW w:w="655" w:type="pct"/>
            <w:shd w:val="clear" w:color="auto" w:fill="auto"/>
            <w:vAlign w:val="center"/>
          </w:tcPr>
          <w:p w14:paraId="14582FB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0AE02CC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2AC4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1" w:type="pct"/>
            <w:shd w:val="clear" w:color="auto" w:fill="auto"/>
            <w:vAlign w:val="center"/>
          </w:tcPr>
          <w:p w14:paraId="23EEA05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5</w:t>
            </w:r>
          </w:p>
        </w:tc>
        <w:tc>
          <w:tcPr>
            <w:tcW w:w="973" w:type="pct"/>
            <w:vMerge w:val="continue"/>
            <w:vAlign w:val="center"/>
          </w:tcPr>
          <w:p w14:paraId="2E715FE7">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5EDC4CA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高频服务事项“全市通办”比例（%）</w:t>
            </w:r>
          </w:p>
        </w:tc>
        <w:tc>
          <w:tcPr>
            <w:tcW w:w="655" w:type="pct"/>
            <w:shd w:val="clear" w:color="auto" w:fill="auto"/>
            <w:vAlign w:val="center"/>
          </w:tcPr>
          <w:p w14:paraId="75540917">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31550649">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1B86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91" w:type="pct"/>
            <w:shd w:val="clear" w:color="auto" w:fill="auto"/>
            <w:vAlign w:val="center"/>
          </w:tcPr>
          <w:p w14:paraId="245D63A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6</w:t>
            </w:r>
          </w:p>
        </w:tc>
        <w:tc>
          <w:tcPr>
            <w:tcW w:w="973" w:type="pct"/>
            <w:vMerge w:val="continue"/>
            <w:vAlign w:val="center"/>
          </w:tcPr>
          <w:p w14:paraId="3EF66227">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4E5F9924">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政务服务“好差评”（分）</w:t>
            </w:r>
          </w:p>
        </w:tc>
        <w:tc>
          <w:tcPr>
            <w:tcW w:w="655" w:type="pct"/>
            <w:shd w:val="clear" w:color="auto" w:fill="auto"/>
            <w:vAlign w:val="center"/>
          </w:tcPr>
          <w:p w14:paraId="4AB9AA0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9.8</w:t>
            </w:r>
          </w:p>
        </w:tc>
        <w:tc>
          <w:tcPr>
            <w:tcW w:w="915" w:type="pct"/>
            <w:shd w:val="clear" w:color="auto" w:fill="auto"/>
            <w:vAlign w:val="center"/>
          </w:tcPr>
          <w:p w14:paraId="36A0F7B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w:t>
            </w:r>
          </w:p>
        </w:tc>
      </w:tr>
      <w:tr w14:paraId="0E18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2817166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7</w:t>
            </w:r>
          </w:p>
        </w:tc>
        <w:tc>
          <w:tcPr>
            <w:tcW w:w="973" w:type="pct"/>
            <w:vMerge w:val="continue"/>
            <w:vAlign w:val="center"/>
          </w:tcPr>
          <w:p w14:paraId="4AE9D18E">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1D1FE8BB">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“粤政易·汕尾版”日活跃用户数（万名）</w:t>
            </w:r>
          </w:p>
        </w:tc>
        <w:tc>
          <w:tcPr>
            <w:tcW w:w="655" w:type="pct"/>
            <w:shd w:val="clear" w:color="auto" w:fill="auto"/>
            <w:vAlign w:val="center"/>
          </w:tcPr>
          <w:p w14:paraId="73E9BCB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　</w:t>
            </w:r>
          </w:p>
        </w:tc>
        <w:tc>
          <w:tcPr>
            <w:tcW w:w="915" w:type="pct"/>
            <w:shd w:val="clear" w:color="auto" w:fill="auto"/>
            <w:vAlign w:val="center"/>
          </w:tcPr>
          <w:p w14:paraId="43A8786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1.2</w:t>
            </w:r>
          </w:p>
        </w:tc>
      </w:tr>
      <w:tr w14:paraId="5934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2A6ED62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8</w:t>
            </w:r>
          </w:p>
        </w:tc>
        <w:tc>
          <w:tcPr>
            <w:tcW w:w="973" w:type="pct"/>
            <w:vMerge w:val="continue"/>
            <w:vAlign w:val="center"/>
          </w:tcPr>
          <w:p w14:paraId="2D54BCD8">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73E21ED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“善美村居”日活跃用户数（名）</w:t>
            </w:r>
          </w:p>
        </w:tc>
        <w:tc>
          <w:tcPr>
            <w:tcW w:w="655" w:type="pct"/>
            <w:shd w:val="clear" w:color="auto" w:fill="auto"/>
            <w:vAlign w:val="center"/>
          </w:tcPr>
          <w:p w14:paraId="13E6FBD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7294281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7000</w:t>
            </w:r>
          </w:p>
        </w:tc>
      </w:tr>
      <w:tr w14:paraId="4A98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5C35EE99">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w:t>
            </w:r>
          </w:p>
        </w:tc>
        <w:tc>
          <w:tcPr>
            <w:tcW w:w="973" w:type="pct"/>
            <w:vMerge w:val="continue"/>
            <w:vAlign w:val="center"/>
          </w:tcPr>
          <w:p w14:paraId="18BA0C01">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6B320F3B">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“善美店小二”日活跃用户数（名）</w:t>
            </w:r>
          </w:p>
        </w:tc>
        <w:tc>
          <w:tcPr>
            <w:tcW w:w="655" w:type="pct"/>
            <w:shd w:val="clear" w:color="auto" w:fill="auto"/>
            <w:vAlign w:val="center"/>
          </w:tcPr>
          <w:p w14:paraId="53CEE6D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044F1D2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250</w:t>
            </w:r>
          </w:p>
        </w:tc>
      </w:tr>
      <w:tr w14:paraId="2E59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3B31390A">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w:t>
            </w:r>
          </w:p>
        </w:tc>
        <w:tc>
          <w:tcPr>
            <w:tcW w:w="973" w:type="pct"/>
            <w:vMerge w:val="continue"/>
            <w:vAlign w:val="center"/>
          </w:tcPr>
          <w:p w14:paraId="1855712E">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61CCD7C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“民情地图”应用场景数量（个）</w:t>
            </w:r>
          </w:p>
        </w:tc>
        <w:tc>
          <w:tcPr>
            <w:tcW w:w="655" w:type="pct"/>
            <w:shd w:val="clear" w:color="auto" w:fill="auto"/>
            <w:vAlign w:val="center"/>
          </w:tcPr>
          <w:p w14:paraId="11E8911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0</w:t>
            </w:r>
          </w:p>
        </w:tc>
        <w:tc>
          <w:tcPr>
            <w:tcW w:w="915" w:type="pct"/>
            <w:shd w:val="clear" w:color="auto" w:fill="auto"/>
            <w:vAlign w:val="center"/>
          </w:tcPr>
          <w:p w14:paraId="2903B15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w:t>
            </w:r>
          </w:p>
        </w:tc>
      </w:tr>
      <w:tr w14:paraId="4BAB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91" w:type="pct"/>
            <w:shd w:val="clear" w:color="auto" w:fill="auto"/>
            <w:vAlign w:val="center"/>
          </w:tcPr>
          <w:p w14:paraId="1F37F739">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11</w:t>
            </w:r>
          </w:p>
        </w:tc>
        <w:tc>
          <w:tcPr>
            <w:tcW w:w="973" w:type="pct"/>
            <w:vMerge w:val="restart"/>
            <w:shd w:val="clear" w:color="auto" w:fill="auto"/>
            <w:vAlign w:val="center"/>
          </w:tcPr>
          <w:p w14:paraId="4E3132BF">
            <w:pPr>
              <w:widowControl/>
              <w:spacing w:line="240" w:lineRule="auto"/>
              <w:ind w:firstLine="0" w:firstLineChars="0"/>
              <w:jc w:val="center"/>
              <w:rPr>
                <w:rFonts w:hint="eastAsia" w:ascii="仿宋_GB2312" w:hAnsi="等线" w:eastAsia="仿宋_GB2312" w:cs="宋体"/>
                <w:color w:val="000000"/>
                <w:kern w:val="0"/>
                <w:sz w:val="28"/>
                <w:szCs w:val="28"/>
                <w:lang w:eastAsia="zh-CN"/>
              </w:rPr>
            </w:pPr>
            <w:r>
              <w:rPr>
                <w:rFonts w:hint="eastAsia" w:ascii="仿宋_GB2312" w:hAnsi="等线" w:cs="宋体"/>
                <w:color w:val="000000"/>
                <w:kern w:val="0"/>
                <w:sz w:val="28"/>
                <w:szCs w:val="28"/>
              </w:rPr>
              <w:t>数字化</w:t>
            </w:r>
          </w:p>
          <w:p w14:paraId="03E4921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驱动能力</w:t>
            </w:r>
          </w:p>
        </w:tc>
        <w:tc>
          <w:tcPr>
            <w:tcW w:w="1965" w:type="pct"/>
            <w:shd w:val="clear" w:color="auto" w:fill="auto"/>
            <w:vAlign w:val="center"/>
          </w:tcPr>
          <w:p w14:paraId="6BF64BDD">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应共享的数据需求满足率（%）</w:t>
            </w:r>
          </w:p>
        </w:tc>
        <w:tc>
          <w:tcPr>
            <w:tcW w:w="655" w:type="pct"/>
            <w:shd w:val="clear" w:color="auto" w:fill="auto"/>
            <w:vAlign w:val="center"/>
          </w:tcPr>
          <w:p w14:paraId="524BA448">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7A87411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5675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414EC9E8">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12</w:t>
            </w:r>
          </w:p>
        </w:tc>
        <w:tc>
          <w:tcPr>
            <w:tcW w:w="973" w:type="pct"/>
            <w:vMerge w:val="continue"/>
            <w:vAlign w:val="center"/>
          </w:tcPr>
          <w:p w14:paraId="68AAE9FC">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3B73C4E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“雪亮工程”视频数据共享平台视频终端接入数量（路）</w:t>
            </w:r>
          </w:p>
        </w:tc>
        <w:tc>
          <w:tcPr>
            <w:tcW w:w="655" w:type="pct"/>
            <w:shd w:val="clear" w:color="auto" w:fill="auto"/>
            <w:vAlign w:val="center"/>
          </w:tcPr>
          <w:p w14:paraId="4C6D58B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2</w:t>
            </w:r>
            <w:r>
              <w:rPr>
                <w:rFonts w:ascii="仿宋_GB2312" w:hAnsi="等线" w:cs="宋体"/>
                <w:color w:val="000000"/>
                <w:kern w:val="0"/>
                <w:sz w:val="28"/>
                <w:szCs w:val="28"/>
              </w:rPr>
              <w:t>742</w:t>
            </w:r>
            <w:r>
              <w:rPr>
                <w:rFonts w:hint="eastAsia" w:ascii="仿宋_GB2312" w:hAnsi="等线" w:cs="宋体"/>
                <w:color w:val="000000"/>
                <w:kern w:val="0"/>
                <w:sz w:val="28"/>
                <w:szCs w:val="28"/>
              </w:rPr>
              <w:t>　</w:t>
            </w:r>
          </w:p>
        </w:tc>
        <w:tc>
          <w:tcPr>
            <w:tcW w:w="915" w:type="pct"/>
            <w:shd w:val="clear" w:color="auto" w:fill="auto"/>
            <w:vAlign w:val="center"/>
          </w:tcPr>
          <w:p w14:paraId="2C24B559">
            <w:pPr>
              <w:widowControl/>
              <w:spacing w:line="240" w:lineRule="auto"/>
              <w:ind w:firstLine="0" w:firstLineChars="0"/>
              <w:jc w:val="center"/>
              <w:rPr>
                <w:rFonts w:ascii="仿宋_GB2312" w:hAnsi="等线" w:cs="宋体"/>
                <w:color w:val="000000"/>
                <w:kern w:val="0"/>
                <w:sz w:val="28"/>
                <w:szCs w:val="28"/>
              </w:rPr>
            </w:pPr>
            <w:r>
              <w:rPr>
                <w:rFonts w:ascii="仿宋_GB2312" w:hAnsi="等线" w:cs="宋体"/>
                <w:color w:val="000000"/>
                <w:kern w:val="0"/>
                <w:sz w:val="28"/>
                <w:szCs w:val="28"/>
              </w:rPr>
              <w:t>10000</w:t>
            </w:r>
          </w:p>
        </w:tc>
      </w:tr>
      <w:tr w14:paraId="7D23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5574923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13</w:t>
            </w:r>
          </w:p>
        </w:tc>
        <w:tc>
          <w:tcPr>
            <w:tcW w:w="973" w:type="pct"/>
            <w:vMerge w:val="restart"/>
            <w:shd w:val="clear" w:color="auto" w:fill="auto"/>
            <w:vAlign w:val="center"/>
          </w:tcPr>
          <w:p w14:paraId="1CC5DAB8">
            <w:pPr>
              <w:widowControl/>
              <w:spacing w:line="240" w:lineRule="auto"/>
              <w:ind w:firstLine="0" w:firstLineChars="0"/>
              <w:jc w:val="center"/>
              <w:rPr>
                <w:rFonts w:hint="eastAsia" w:ascii="仿宋_GB2312" w:hAnsi="等线" w:eastAsia="仿宋_GB2312" w:cs="宋体"/>
                <w:color w:val="000000"/>
                <w:kern w:val="0"/>
                <w:sz w:val="28"/>
                <w:szCs w:val="28"/>
                <w:lang w:eastAsia="zh-CN"/>
              </w:rPr>
            </w:pPr>
            <w:r>
              <w:rPr>
                <w:rFonts w:hint="eastAsia" w:ascii="仿宋_GB2312" w:hAnsi="等线" w:cs="宋体"/>
                <w:color w:val="000000"/>
                <w:kern w:val="0"/>
                <w:sz w:val="28"/>
                <w:szCs w:val="28"/>
              </w:rPr>
              <w:t>数字化</w:t>
            </w:r>
          </w:p>
          <w:p w14:paraId="61C38A8D">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支撑能力</w:t>
            </w:r>
          </w:p>
        </w:tc>
        <w:tc>
          <w:tcPr>
            <w:tcW w:w="1965" w:type="pct"/>
            <w:shd w:val="clear" w:color="auto" w:fill="auto"/>
            <w:vAlign w:val="center"/>
          </w:tcPr>
          <w:p w14:paraId="471D976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政务外网接入率（%）</w:t>
            </w:r>
          </w:p>
        </w:tc>
        <w:tc>
          <w:tcPr>
            <w:tcW w:w="655" w:type="pct"/>
            <w:shd w:val="clear" w:color="auto" w:fill="auto"/>
            <w:vAlign w:val="center"/>
          </w:tcPr>
          <w:p w14:paraId="79F1A35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96</w:t>
            </w:r>
          </w:p>
        </w:tc>
        <w:tc>
          <w:tcPr>
            <w:tcW w:w="915" w:type="pct"/>
            <w:shd w:val="clear" w:color="auto" w:fill="auto"/>
            <w:vAlign w:val="center"/>
          </w:tcPr>
          <w:p w14:paraId="0F88375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206F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1" w:type="pct"/>
            <w:shd w:val="clear" w:color="auto" w:fill="auto"/>
            <w:vAlign w:val="center"/>
          </w:tcPr>
          <w:p w14:paraId="77156EA4">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14</w:t>
            </w:r>
          </w:p>
        </w:tc>
        <w:tc>
          <w:tcPr>
            <w:tcW w:w="973" w:type="pct"/>
            <w:vMerge w:val="continue"/>
            <w:vAlign w:val="center"/>
          </w:tcPr>
          <w:p w14:paraId="6086551F">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30EDB19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电子证照用证率（%）</w:t>
            </w:r>
          </w:p>
        </w:tc>
        <w:tc>
          <w:tcPr>
            <w:tcW w:w="655" w:type="pct"/>
            <w:shd w:val="clear" w:color="auto" w:fill="auto"/>
            <w:vAlign w:val="center"/>
          </w:tcPr>
          <w:p w14:paraId="3183A73A">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32.33</w:t>
            </w:r>
          </w:p>
        </w:tc>
        <w:tc>
          <w:tcPr>
            <w:tcW w:w="915" w:type="pct"/>
            <w:shd w:val="clear" w:color="auto" w:fill="auto"/>
            <w:vAlign w:val="center"/>
          </w:tcPr>
          <w:p w14:paraId="45375759">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2318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1D43522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15</w:t>
            </w:r>
          </w:p>
        </w:tc>
        <w:tc>
          <w:tcPr>
            <w:tcW w:w="973" w:type="pct"/>
            <w:vMerge w:val="continue"/>
            <w:vAlign w:val="center"/>
          </w:tcPr>
          <w:p w14:paraId="0D8B6145">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1C9F3807">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政府部门电子印章覆盖率（%）</w:t>
            </w:r>
          </w:p>
        </w:tc>
        <w:tc>
          <w:tcPr>
            <w:tcW w:w="655" w:type="pct"/>
            <w:shd w:val="clear" w:color="auto" w:fill="auto"/>
            <w:vAlign w:val="center"/>
          </w:tcPr>
          <w:p w14:paraId="474E6D1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w:t>
            </w:r>
            <w:r>
              <w:rPr>
                <w:rFonts w:ascii="仿宋_GB2312" w:hAnsi="等线" w:cs="宋体"/>
                <w:color w:val="000000"/>
                <w:kern w:val="0"/>
                <w:sz w:val="28"/>
                <w:szCs w:val="28"/>
              </w:rPr>
              <w:t>8</w:t>
            </w:r>
          </w:p>
        </w:tc>
        <w:tc>
          <w:tcPr>
            <w:tcW w:w="915" w:type="pct"/>
            <w:shd w:val="clear" w:color="auto" w:fill="auto"/>
            <w:vAlign w:val="center"/>
          </w:tcPr>
          <w:p w14:paraId="5621DE1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03D9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1" w:type="pct"/>
            <w:shd w:val="clear" w:color="auto" w:fill="auto"/>
            <w:vAlign w:val="center"/>
          </w:tcPr>
          <w:p w14:paraId="5D8E4DCF">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16</w:t>
            </w:r>
          </w:p>
        </w:tc>
        <w:tc>
          <w:tcPr>
            <w:tcW w:w="973" w:type="pct"/>
            <w:vMerge w:val="continue"/>
            <w:vAlign w:val="center"/>
          </w:tcPr>
          <w:p w14:paraId="45345F46">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43412E4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一体化政务服务平台可网办事项单点登录率（%）</w:t>
            </w:r>
          </w:p>
        </w:tc>
        <w:tc>
          <w:tcPr>
            <w:tcW w:w="655" w:type="pct"/>
            <w:shd w:val="clear" w:color="auto" w:fill="auto"/>
            <w:vAlign w:val="center"/>
          </w:tcPr>
          <w:p w14:paraId="74FCD73A">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98</w:t>
            </w:r>
          </w:p>
        </w:tc>
        <w:tc>
          <w:tcPr>
            <w:tcW w:w="915" w:type="pct"/>
            <w:shd w:val="clear" w:color="auto" w:fill="auto"/>
            <w:vAlign w:val="center"/>
          </w:tcPr>
          <w:p w14:paraId="506C47F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bl>
    <w:p w14:paraId="330F4A3B">
      <w:pPr>
        <w:pStyle w:val="51"/>
        <w:spacing w:before="156" w:after="156" w:line="560" w:lineRule="exact"/>
        <w:ind w:firstLine="0" w:firstLineChars="0"/>
      </w:pPr>
    </w:p>
    <w:p w14:paraId="0724B0AA">
      <w:pPr>
        <w:spacing w:before="156" w:after="156"/>
        <w:ind w:firstLine="560"/>
        <w:rPr>
          <w:rFonts w:cs="Times New Roman"/>
          <w:sz w:val="28"/>
          <w:szCs w:val="32"/>
        </w:rPr>
      </w:pPr>
      <w:r>
        <w:rPr>
          <w:rFonts w:hint="eastAsia" w:cs="Times New Roman"/>
          <w:sz w:val="28"/>
          <w:szCs w:val="32"/>
        </w:rPr>
        <w:t>注：本规划列举的是数字政府主要公共指标，行业指标分别在各行业相关专项规划中明确，指标计算方法见附件1。</w:t>
      </w:r>
    </w:p>
    <w:p w14:paraId="250C4539">
      <w:pPr>
        <w:pStyle w:val="3"/>
        <w:ind w:left="0" w:firstLine="720" w:firstLineChars="200"/>
      </w:pPr>
      <w:bookmarkStart w:id="52" w:name="_Toc93501133"/>
      <w:r>
        <w:rPr>
          <w:rFonts w:hint="eastAsia"/>
        </w:rPr>
        <w:t>与市规划关系</w:t>
      </w:r>
      <w:bookmarkEnd w:id="52"/>
    </w:p>
    <w:p w14:paraId="3675BD30">
      <w:pPr>
        <w:ind w:firstLine="643"/>
      </w:pPr>
      <w:r>
        <w:rPr>
          <w:rFonts w:hint="eastAsia"/>
          <w:b/>
        </w:rPr>
        <w:t>——机制改革方面。</w:t>
      </w:r>
      <w:r>
        <w:rPr>
          <w:rFonts w:hint="eastAsia"/>
        </w:rPr>
        <w:t>在市数字政府改革建设统一框架下，在海丰县数字政府改革建设工作领导小组统一领导下，统筹推进海丰县数字政府改革建设。县政务服务数据管理局在市政务服务数据管理局指导下，承担本级数字政府工作领导小组日常工作，明确本地数字政府建设框架与任务，组织协调本地各部门，分工协作、上下贯通，推动数字政府各项改革建设任务落地。县级各部门要统筹兼顾上级主管部门和本级数字政府改革建设的需求和要求，结合实际开展信息化能力建设，做好与市级相关工作的衔接。</w:t>
      </w:r>
    </w:p>
    <w:p w14:paraId="3EB6AA74">
      <w:pPr>
        <w:ind w:firstLine="643"/>
      </w:pPr>
      <w:r>
        <w:rPr>
          <w:rFonts w:hint="eastAsia"/>
          <w:b/>
        </w:rPr>
        <w:t>——业务应用及应用支撑方面。</w:t>
      </w:r>
      <w:r>
        <w:rPr>
          <w:rFonts w:hint="eastAsia" w:ascii="仿宋_GB2312" w:cs="Times New Roman"/>
          <w:bCs/>
          <w:szCs w:val="32"/>
        </w:rPr>
        <w:t>充分使用省统筹建设的“粤省事”“粤商通”“粤政易”“粤省心”等应用和市统筹建设的“善美村居”、“善美店小二”等标准化交互应用及政务服务中央厨房、“民情地图”平台、协同办公平台等一体化市级公共应用。县级各部门应优先推广使用市直各部门建设的行业专业应用，原则上不得建设同类专业应用，县本级可探索建设本地特色业务应用。负责将业务应用成效贯彻落实到管辖范围内镇村。应充分利用省、市统建的统一身份认证平台、电子证照、电子签章签名系统、地理信息公共服务平台、短信平台等公共能力支撑平台和区块链基础平台、人工智能基础平台等应用开发开放平台，不再自建应用支撑平台</w:t>
      </w:r>
      <w:r>
        <w:rPr>
          <w:rFonts w:hint="eastAsia"/>
        </w:rPr>
        <w:t>。</w:t>
      </w:r>
    </w:p>
    <w:p w14:paraId="1B4F6F9A">
      <w:pPr>
        <w:ind w:firstLine="643"/>
      </w:pPr>
      <w:r>
        <w:rPr>
          <w:rFonts w:hint="eastAsia"/>
          <w:b/>
        </w:rPr>
        <w:t>——数据资源方面。</w:t>
      </w:r>
      <w:r>
        <w:rPr>
          <w:rFonts w:hint="eastAsia"/>
        </w:rPr>
        <w:t>按照市数字政府数据架构，充分利用市政务大数据中心门户和市数据平台提供的数据治理工具和数据服务，充分对接“雪亮工程”视频数据共享平台、物联感知数据共享平台，采集、汇聚业务数据资源，为各部门政务应用提供数据服务支撑，不再自行建设全市统一的数据能力模块清单内相关内容。</w:t>
      </w:r>
    </w:p>
    <w:p w14:paraId="65928B59">
      <w:pPr>
        <w:ind w:firstLine="643"/>
      </w:pPr>
      <w:r>
        <w:rPr>
          <w:rFonts w:hint="eastAsia"/>
          <w:b/>
        </w:rPr>
        <w:t>——基础设施方面。</w:t>
      </w:r>
      <w:r>
        <w:rPr>
          <w:rFonts w:hint="eastAsia"/>
        </w:rPr>
        <w:t>依据市数字政府技术架构要求，不再单独建设或租赁数据机房，新建非涉密应用系统统一部署到市政务云平台，已建非涉密系统全部向市政务云平台迁移。依据市统一要求和标准推进政务外网升级改造，协调推进相关政务网络统筹管理。县各部门按照上级主管部门要求及业务实际需求，按照省、市数字政府相关标准，科学布局视频、感知终端设备，并接入相关共享管理平台。</w:t>
      </w:r>
    </w:p>
    <w:p w14:paraId="69D8AA54">
      <w:pPr>
        <w:widowControl/>
        <w:spacing w:line="240" w:lineRule="auto"/>
        <w:ind w:firstLine="0" w:firstLineChars="0"/>
        <w:jc w:val="left"/>
      </w:pPr>
      <w:r>
        <w:br w:type="page"/>
      </w:r>
    </w:p>
    <w:p w14:paraId="4BDE4AFB">
      <w:pPr>
        <w:pStyle w:val="2"/>
        <w:ind w:left="0" w:firstLine="640"/>
      </w:pPr>
      <w:bookmarkStart w:id="53" w:name="_Toc68618961"/>
      <w:bookmarkStart w:id="54" w:name="_Toc93501134"/>
      <w:bookmarkStart w:id="55" w:name="_Toc70495366"/>
      <w:bookmarkStart w:id="56" w:name="_Toc68618874"/>
      <w:r>
        <w:rPr>
          <w:rFonts w:hint="eastAsia"/>
        </w:rPr>
        <w:t>总体架构</w:t>
      </w:r>
      <w:bookmarkEnd w:id="53"/>
      <w:bookmarkEnd w:id="54"/>
      <w:bookmarkEnd w:id="55"/>
      <w:bookmarkEnd w:id="56"/>
    </w:p>
    <w:p w14:paraId="0BC8D097">
      <w:pPr>
        <w:pStyle w:val="3"/>
        <w:ind w:left="0" w:firstLine="720" w:firstLineChars="200"/>
      </w:pPr>
      <w:bookmarkStart w:id="57" w:name="_Toc68618962"/>
      <w:bookmarkStart w:id="58" w:name="_Toc93501135"/>
      <w:bookmarkStart w:id="59" w:name="_Toc70495367"/>
      <w:bookmarkStart w:id="60" w:name="_Toc68618875"/>
      <w:r>
        <w:rPr>
          <w:rFonts w:hint="eastAsia"/>
        </w:rPr>
        <w:t>管理架构</w:t>
      </w:r>
      <w:bookmarkEnd w:id="57"/>
      <w:bookmarkEnd w:id="58"/>
      <w:bookmarkEnd w:id="59"/>
      <w:bookmarkEnd w:id="60"/>
    </w:p>
    <w:p w14:paraId="4A43DBDB">
      <w:pPr>
        <w:ind w:firstLine="640"/>
      </w:pPr>
      <w:r>
        <w:t>按照</w:t>
      </w:r>
      <w:r>
        <w:rPr>
          <w:rFonts w:hint="eastAsia"/>
        </w:rPr>
        <w:t>“</w:t>
      </w:r>
      <w:r>
        <w:t>政企合作、管运分离</w:t>
      </w:r>
      <w:r>
        <w:rPr>
          <w:rFonts w:hint="eastAsia"/>
        </w:rPr>
        <w:t>”</w:t>
      </w:r>
      <w:r>
        <w:t>的总体原则，不断完善</w:t>
      </w:r>
      <w:r>
        <w:rPr>
          <w:rFonts w:hint="eastAsia"/>
        </w:rPr>
        <w:t>全县“</w:t>
      </w:r>
      <w:r>
        <w:t>统一领导、统筹管理、专业运营、智库支撑</w:t>
      </w:r>
      <w:r>
        <w:rPr>
          <w:rFonts w:hint="eastAsia"/>
        </w:rPr>
        <w:t>”</w:t>
      </w:r>
      <w:r>
        <w:t>的数字政府改革建设管理模式。</w:t>
      </w:r>
    </w:p>
    <w:p w14:paraId="14195AC0">
      <w:pPr>
        <w:spacing w:before="156" w:after="156" w:line="240" w:lineRule="auto"/>
        <w:ind w:firstLine="640"/>
      </w:pPr>
      <w:r>
        <w:drawing>
          <wp:inline distT="0" distB="0" distL="0" distR="0">
            <wp:extent cx="5274310" cy="3355340"/>
            <wp:effectExtent l="0" t="0" r="2540" b="0"/>
            <wp:docPr id="71" name="图片 7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图示&#10;&#10;描述已自动生成"/>
                    <pic:cNvPicPr>
                      <a:picLocks noChangeAspect="1"/>
                    </pic:cNvPicPr>
                  </pic:nvPicPr>
                  <pic:blipFill>
                    <a:blip r:embed="rId14"/>
                    <a:stretch>
                      <a:fillRect/>
                    </a:stretch>
                  </pic:blipFill>
                  <pic:spPr>
                    <a:xfrm>
                      <a:off x="0" y="0"/>
                      <a:ext cx="5274310" cy="3355340"/>
                    </a:xfrm>
                    <a:prstGeom prst="rect">
                      <a:avLst/>
                    </a:prstGeom>
                  </pic:spPr>
                </pic:pic>
              </a:graphicData>
            </a:graphic>
          </wp:inline>
        </w:drawing>
      </w:r>
    </w:p>
    <w:p w14:paraId="055927D8">
      <w:pPr>
        <w:pStyle w:val="13"/>
        <w:spacing w:before="156" w:after="156"/>
        <w:ind w:firstLine="420"/>
        <w:rPr>
          <w:rFonts w:ascii="Times New Roman"/>
        </w:rPr>
      </w:pPr>
      <w:r>
        <w:t xml:space="preserve">图 </w:t>
      </w:r>
      <w:r>
        <w:fldChar w:fldCharType="begin"/>
      </w:r>
      <w:r>
        <w:instrText xml:space="preserve"> SEQ 图 \* ARABIC </w:instrText>
      </w:r>
      <w:r>
        <w:fldChar w:fldCharType="separate"/>
      </w:r>
      <w:r>
        <w:t>1</w:t>
      </w:r>
      <w:r>
        <w:fldChar w:fldCharType="end"/>
      </w:r>
      <w:r>
        <w:rPr>
          <w:rFonts w:hint="eastAsia"/>
        </w:rPr>
        <w:t xml:space="preserve"> 海丰县数字政府管理架构图</w:t>
      </w:r>
    </w:p>
    <w:p w14:paraId="7E59A059">
      <w:pPr>
        <w:ind w:firstLine="643"/>
      </w:pPr>
      <w:r>
        <w:rPr>
          <w:rFonts w:hint="eastAsia"/>
          <w:b/>
          <w:bCs/>
        </w:rPr>
        <w:t>1</w:t>
      </w:r>
      <w:r>
        <w:rPr>
          <w:b/>
          <w:bCs/>
        </w:rPr>
        <w:t>.</w:t>
      </w:r>
      <w:r>
        <w:rPr>
          <w:rFonts w:hint="eastAsia"/>
          <w:b/>
          <w:bCs/>
        </w:rPr>
        <w:t>统一领导。</w:t>
      </w:r>
      <w:r>
        <w:rPr>
          <w:rFonts w:hint="eastAsia"/>
        </w:rPr>
        <w:t>成立海丰县数字政府改革建设工作领导小组和首席数据官（以下简称</w:t>
      </w:r>
      <w:r>
        <w:t>CDO）。健全主要领导负责制，指导</w:t>
      </w:r>
      <w:r>
        <w:rPr>
          <w:rFonts w:hint="eastAsia"/>
        </w:rPr>
        <w:t>海丰县</w:t>
      </w:r>
      <w:r>
        <w:t>数字政府改革建设顶层设计、总体规划、实施方案和政策措施，统筹推进数字政府改革建设工作，负责本行政区域内公共数据管理工作的组织领导，对信息化建设工作中的重大事项进行决策，协调解决相关重大问题。</w:t>
      </w:r>
    </w:p>
    <w:p w14:paraId="63524031">
      <w:pPr>
        <w:ind w:firstLine="643"/>
      </w:pPr>
      <w:r>
        <w:rPr>
          <w:rFonts w:hint="eastAsia"/>
          <w:b/>
          <w:bCs/>
        </w:rPr>
        <w:t>2</w:t>
      </w:r>
      <w:r>
        <w:rPr>
          <w:b/>
          <w:bCs/>
        </w:rPr>
        <w:t>.</w:t>
      </w:r>
      <w:r>
        <w:rPr>
          <w:rFonts w:hint="eastAsia"/>
          <w:b/>
          <w:bCs/>
        </w:rPr>
        <w:t>统筹管理。</w:t>
      </w:r>
      <w:r>
        <w:rPr>
          <w:rFonts w:hint="eastAsia"/>
        </w:rPr>
        <w:t>海丰县政务服务数据管理局作为县级数字政府改革建设工作和公共数据管理的行政主管机构，统筹协调各职能部门信息化项目管理，负责建设运营公共类项目。统筹本行政区域内公共数据的采集、分类、管理、分析和应用工作，提高本级数字政府改革建设统筹、集约、共享力度。</w:t>
      </w:r>
    </w:p>
    <w:p w14:paraId="3D170525">
      <w:pPr>
        <w:ind w:firstLine="643"/>
      </w:pPr>
      <w:r>
        <w:rPr>
          <w:rFonts w:hint="eastAsia"/>
          <w:b/>
          <w:bCs/>
        </w:rPr>
        <w:t>3.专业运营。</w:t>
      </w:r>
      <w:r>
        <w:rPr>
          <w:rFonts w:hint="eastAsia"/>
        </w:rPr>
        <w:t>依托市级数字政府建设运营机构，采取购买服务模式开展海丰县政务信息化项目建设、运营工作，将市级建设运营中心服务能力复制到我县，有效推动我县数字政府建设、运营各项工作开展。</w:t>
      </w:r>
    </w:p>
    <w:p w14:paraId="50400B75">
      <w:pPr>
        <w:ind w:firstLine="643"/>
        <w:rPr>
          <w:color w:val="0D0D0D"/>
          <w:szCs w:val="32"/>
        </w:rPr>
      </w:pPr>
      <w:r>
        <w:rPr>
          <w:rFonts w:hint="eastAsia"/>
          <w:b/>
        </w:rPr>
        <w:t>4</w:t>
      </w:r>
      <w:r>
        <w:rPr>
          <w:b/>
        </w:rPr>
        <w:t>.</w:t>
      </w:r>
      <w:r>
        <w:rPr>
          <w:rFonts w:hint="eastAsia"/>
          <w:b/>
        </w:rPr>
        <w:t>智库支撑。</w:t>
      </w:r>
      <w:r>
        <w:rPr>
          <w:rFonts w:hint="eastAsia"/>
        </w:rPr>
        <w:t>复用市级数字政府改革建设专家委员会智库资源，参与我县数字政府改革建设咨询、论证评审、技术指导、课题研究等工作，借助专家、研究院所和第三方咨询机构等智库力量，为我县各级各部门数字政府改革建设工作提供前瞻性、高水平的决策咨询和智力支撑。</w:t>
      </w:r>
    </w:p>
    <w:p w14:paraId="27AC76E6">
      <w:pPr>
        <w:pStyle w:val="3"/>
        <w:ind w:left="0" w:firstLine="720" w:firstLineChars="200"/>
      </w:pPr>
      <w:bookmarkStart w:id="61" w:name="_Toc93501136"/>
      <w:bookmarkStart w:id="62" w:name="_Toc69306062"/>
      <w:bookmarkStart w:id="63" w:name="_Toc70495368"/>
      <w:r>
        <w:rPr>
          <w:rFonts w:hint="eastAsia"/>
        </w:rPr>
        <w:t>业务架构</w:t>
      </w:r>
      <w:bookmarkEnd w:id="61"/>
      <w:bookmarkEnd w:id="62"/>
      <w:bookmarkEnd w:id="63"/>
    </w:p>
    <w:p w14:paraId="47EBAD4C">
      <w:pPr>
        <w:ind w:firstLine="640"/>
      </w:pPr>
      <w:r>
        <w:rPr>
          <w:rFonts w:hint="eastAsia"/>
        </w:rPr>
        <w:t>持续深化业务流程再造和政府职能转变，充分发挥“粤省事”、“粤商通”、</w:t>
      </w:r>
      <w:r>
        <w:rPr>
          <w:rFonts w:hint="eastAsia" w:ascii="仿宋_GB2312"/>
          <w:bCs/>
          <w:szCs w:val="32"/>
        </w:rPr>
        <w:t>“粤政易”</w:t>
      </w:r>
      <w:r>
        <w:rPr>
          <w:rFonts w:hint="eastAsia"/>
        </w:rPr>
        <w:t>、民情地图、“善美店小二”、“善美村居”等平台赋能作用，以</w:t>
      </w:r>
      <w:r>
        <w:t>群众、企业、公务人员等数字政府的主要用户群体</w:t>
      </w:r>
      <w:r>
        <w:rPr>
          <w:rFonts w:hint="eastAsia"/>
        </w:rPr>
        <w:t>为核心</w:t>
      </w:r>
      <w:r>
        <w:t>，</w:t>
      </w:r>
      <w:r>
        <w:rPr>
          <w:rFonts w:hint="eastAsia"/>
        </w:rPr>
        <w:t>以业务协同为导向、以数据共享为手段，依托数字政府技术平台支撑能力，构建“横向协同、纵向联动、内部整合、外向开放”的海丰县数字政府业务体系，推动营商环境、公共服务、县域治理、政府运行等重点领域业务创新和改革，实现政务服务“一网通办”、社会治理“一网统管”、政府运行“一网协同”，全面推动政府数字化转型，提升政府履职能力</w:t>
      </w:r>
      <w:r>
        <w:t>。</w:t>
      </w:r>
    </w:p>
    <w:p w14:paraId="731C871C">
      <w:pPr>
        <w:spacing w:line="240" w:lineRule="auto"/>
        <w:ind w:firstLine="480"/>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274310" cy="3644900"/>
            <wp:effectExtent l="0" t="0" r="2540" b="0"/>
            <wp:docPr id="138" name="图片 13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图示&#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3644900"/>
                    </a:xfrm>
                    <a:prstGeom prst="rect">
                      <a:avLst/>
                    </a:prstGeom>
                    <a:noFill/>
                    <a:ln>
                      <a:noFill/>
                    </a:ln>
                  </pic:spPr>
                </pic:pic>
              </a:graphicData>
            </a:graphic>
          </wp:inline>
        </w:drawing>
      </w:r>
    </w:p>
    <w:p w14:paraId="08F0D3F9">
      <w:pPr>
        <w:pStyle w:val="13"/>
        <w:spacing w:before="156" w:after="156"/>
        <w:ind w:firstLine="420"/>
        <w:rPr>
          <w:rFonts w:ascii="Times New Roman" w:hAnsi="Times New Roman"/>
        </w:rPr>
      </w:pPr>
      <w:r>
        <w:t xml:space="preserve">图 </w:t>
      </w:r>
      <w:r>
        <w:fldChar w:fldCharType="begin"/>
      </w:r>
      <w:r>
        <w:instrText xml:space="preserve"> SEQ 图 \* ARABIC </w:instrText>
      </w:r>
      <w:r>
        <w:fldChar w:fldCharType="separate"/>
      </w:r>
      <w:r>
        <w:t>2</w:t>
      </w:r>
      <w:r>
        <w:fldChar w:fldCharType="end"/>
      </w:r>
      <w:r>
        <w:rPr>
          <w:rFonts w:hint="eastAsia"/>
        </w:rPr>
        <w:t xml:space="preserve"> 海丰县数字政府业务架构图</w:t>
      </w:r>
    </w:p>
    <w:p w14:paraId="0B7FF264">
      <w:pPr>
        <w:pStyle w:val="4"/>
        <w:ind w:firstLine="643"/>
      </w:pPr>
      <w:r>
        <w:rPr>
          <w:rFonts w:hint="eastAsia"/>
        </w:rPr>
        <w:t>聚焦数字惠民</w:t>
      </w:r>
    </w:p>
    <w:p w14:paraId="685754BE">
      <w:pPr>
        <w:ind w:firstLine="643"/>
      </w:pPr>
      <w:r>
        <w:rPr>
          <w:rFonts w:hint="eastAsia"/>
          <w:b/>
          <w:bCs/>
        </w:rPr>
        <w:t>营商环境。</w:t>
      </w:r>
      <w:r>
        <w:rPr>
          <w:rFonts w:hint="eastAsia"/>
        </w:rPr>
        <w:t>围绕“八个便利化”和企业全生命周期，针对企业开办、不动产登记、企业融资、工建审批、公共资源交易电子化等高频服务事项，通过完善政务服务事项标准化，全面提升企业综合服务能力。持续做好“善美店小二”品牌推广，为企业提供一站式、智能化、精准化的涉企服务。</w:t>
      </w:r>
    </w:p>
    <w:p w14:paraId="2C2C75C4">
      <w:pPr>
        <w:ind w:firstLine="643"/>
      </w:pPr>
      <w:r>
        <w:rPr>
          <w:rFonts w:hint="eastAsia"/>
          <w:b/>
          <w:bCs/>
        </w:rPr>
        <w:t>政务服务。</w:t>
      </w:r>
      <w:r>
        <w:rPr>
          <w:rFonts w:hint="eastAsia"/>
        </w:rPr>
        <w:t>以深化“放管服”改革为总体要求，通过推进事项标准化、加快推进“六个通办”、“四免”优化、深化“无证明城市”建设、强化服务监督等措施，开展政务服务流程和方式的系统性重塑，融合线上与线下办事渠道，加快推广应用现有的各类政务服务系统、平台、终端，推动</w:t>
      </w:r>
      <w:r>
        <w:t>全</w:t>
      </w:r>
      <w:r>
        <w:rPr>
          <w:rFonts w:hint="eastAsia"/>
        </w:rPr>
        <w:t>县</w:t>
      </w:r>
      <w:r>
        <w:t>政务服务提质增效</w:t>
      </w:r>
      <w:r>
        <w:rPr>
          <w:rFonts w:hint="eastAsia"/>
        </w:rPr>
        <w:t>。</w:t>
      </w:r>
    </w:p>
    <w:p w14:paraId="4E039D74">
      <w:pPr>
        <w:ind w:firstLine="643"/>
      </w:pPr>
      <w:r>
        <w:rPr>
          <w:rFonts w:hint="eastAsia"/>
          <w:b/>
          <w:bCs/>
        </w:rPr>
        <w:t>民生服务。</w:t>
      </w:r>
      <w:r>
        <w:t>加快推动包括医疗、教育、人社、民政等在内的信息化民生工程建设，</w:t>
      </w:r>
      <w:r>
        <w:rPr>
          <w:rFonts w:hint="eastAsia"/>
        </w:rPr>
        <w:t>形成线上线下协同、服务监管统筹的公共服务能力，推进公共服务在线化、均等化、普惠化、便捷化水平提升。依托“民情地图”平台，完善镇村组三级基层治理网格化，以党建引领，加快基层党建信息化建设，推动基层治理重心下移。推进智慧社区建设，加快完善社区服务。</w:t>
      </w:r>
    </w:p>
    <w:p w14:paraId="34DFE859">
      <w:pPr>
        <w:pStyle w:val="4"/>
        <w:ind w:firstLine="643"/>
      </w:pPr>
      <w:r>
        <w:rPr>
          <w:rFonts w:hint="eastAsia"/>
        </w:rPr>
        <w:t>聚焦数字慧治</w:t>
      </w:r>
    </w:p>
    <w:p w14:paraId="0441A56B">
      <w:pPr>
        <w:ind w:firstLine="643"/>
      </w:pPr>
      <w:r>
        <w:rPr>
          <w:rFonts w:hint="eastAsia"/>
          <w:b/>
          <w:bCs/>
        </w:rPr>
        <w:t>社会治理。</w:t>
      </w:r>
      <w:r>
        <w:rPr>
          <w:rFonts w:hint="eastAsia"/>
        </w:rPr>
        <w:t>加快推广“民情地图”平台应用，完善镇村组三级基层治理网格化，构建县域治理“一网统管”体系。围绕我县</w:t>
      </w:r>
      <w:r>
        <w:t>社会治理中各类风险、隐患、矛盾、事件等的管理需求</w:t>
      </w:r>
      <w:r>
        <w:rPr>
          <w:rFonts w:hint="eastAsia"/>
        </w:rPr>
        <w:t>，加强社会治安防控、应急指挥、消防救援、住房建设等领域的信息化建设，提高我县</w:t>
      </w:r>
      <w:r>
        <w:t>社会治理的</w:t>
      </w:r>
      <w:r>
        <w:rPr>
          <w:rFonts w:hint="eastAsia"/>
        </w:rPr>
        <w:t>科学</w:t>
      </w:r>
      <w:r>
        <w:t>化、智能化、精细化水平</w:t>
      </w:r>
      <w:r>
        <w:rPr>
          <w:rFonts w:hint="eastAsia"/>
        </w:rPr>
        <w:t>。</w:t>
      </w:r>
    </w:p>
    <w:p w14:paraId="03FC2378">
      <w:pPr>
        <w:ind w:firstLine="643"/>
        <w:rPr>
          <w:b/>
          <w:bCs/>
        </w:rPr>
      </w:pPr>
      <w:r>
        <w:rPr>
          <w:rFonts w:hint="eastAsia"/>
          <w:b/>
          <w:bCs/>
        </w:rPr>
        <w:t>市场治理。</w:t>
      </w:r>
      <w:r>
        <w:rPr>
          <w:rFonts w:hint="eastAsia"/>
          <w:color w:val="0D0D0D"/>
          <w:szCs w:val="32"/>
        </w:rPr>
        <w:t>完善多元监管方式，不断强化</w:t>
      </w:r>
      <w:r>
        <w:rPr>
          <w:rFonts w:hint="eastAsia"/>
        </w:rPr>
        <w:t>强化食品、药品、产品、知识产权等</w:t>
      </w:r>
      <w:r>
        <w:rPr>
          <w:rFonts w:hint="eastAsia"/>
          <w:color w:val="0D0D0D"/>
          <w:szCs w:val="32"/>
        </w:rPr>
        <w:t>领域的监管能力，</w:t>
      </w:r>
      <w:r>
        <w:rPr>
          <w:rFonts w:hint="eastAsia"/>
        </w:rPr>
        <w:t>建立健全以信用为基础的新型监管模式，不断提升市场综合监管和治理能力。</w:t>
      </w:r>
    </w:p>
    <w:p w14:paraId="585F0767">
      <w:pPr>
        <w:ind w:firstLine="643"/>
      </w:pPr>
      <w:r>
        <w:rPr>
          <w:rFonts w:hint="eastAsia"/>
          <w:b/>
          <w:bCs/>
        </w:rPr>
        <w:t>生态治理。</w:t>
      </w:r>
      <w:r>
        <w:t>实现生态环境监测、预警、跟踪、处置等的闭环</w:t>
      </w:r>
      <w:r>
        <w:rPr>
          <w:rFonts w:hint="eastAsia"/>
        </w:rPr>
        <w:t>管理</w:t>
      </w:r>
      <w:r>
        <w:t>，推进自然资源、生态环境、林业资源、水利工程以及气象服务</w:t>
      </w:r>
      <w:r>
        <w:rPr>
          <w:rFonts w:hint="eastAsia"/>
        </w:rPr>
        <w:t>信息化建设</w:t>
      </w:r>
      <w:r>
        <w:t>，全面提升对各类生态风险的防范和治理能力</w:t>
      </w:r>
      <w:r>
        <w:rPr>
          <w:rFonts w:hint="eastAsia"/>
        </w:rPr>
        <w:t>。</w:t>
      </w:r>
    </w:p>
    <w:p w14:paraId="7925208D">
      <w:pPr>
        <w:pStyle w:val="4"/>
        <w:ind w:firstLine="643"/>
      </w:pPr>
      <w:r>
        <w:rPr>
          <w:rFonts w:hint="eastAsia"/>
        </w:rPr>
        <w:t>聚焦数字优政</w:t>
      </w:r>
    </w:p>
    <w:p w14:paraId="63AEE4AC">
      <w:pPr>
        <w:ind w:firstLine="643"/>
        <w:rPr>
          <w:b/>
          <w:bCs/>
        </w:rPr>
      </w:pPr>
      <w:r>
        <w:rPr>
          <w:rFonts w:hint="eastAsia"/>
          <w:b/>
          <w:bCs/>
        </w:rPr>
        <w:t>行政协同。</w:t>
      </w:r>
      <w:r>
        <w:rPr>
          <w:rFonts w:hint="eastAsia"/>
        </w:rPr>
        <w:t>依托全县统一协同办公平台，</w:t>
      </w:r>
      <w:r>
        <w:t>开展</w:t>
      </w:r>
      <w:r>
        <w:rPr>
          <w:rFonts w:hint="eastAsia"/>
        </w:rPr>
        <w:t>政府内部</w:t>
      </w:r>
      <w:r>
        <w:t>行政业务流程再造</w:t>
      </w:r>
      <w:r>
        <w:rPr>
          <w:rFonts w:hint="eastAsia"/>
        </w:rPr>
        <w:t>、事项梳理和事项标准化，促成“高效流转一件事”服务模式，</w:t>
      </w:r>
      <w:r>
        <w:t>提高</w:t>
      </w:r>
      <w:r>
        <w:rPr>
          <w:rFonts w:hint="eastAsia"/>
        </w:rPr>
        <w:t>协同</w:t>
      </w:r>
      <w:r>
        <w:t>办公能力，减少部门间办事的跑动次数，为基层公务人员减负增效。</w:t>
      </w:r>
    </w:p>
    <w:p w14:paraId="60139236">
      <w:pPr>
        <w:ind w:firstLine="643"/>
      </w:pPr>
      <w:r>
        <w:rPr>
          <w:rFonts w:hint="eastAsia"/>
          <w:b/>
          <w:bCs/>
        </w:rPr>
        <w:t>民主法治。</w:t>
      </w:r>
      <w:r>
        <w:rPr>
          <w:rFonts w:hint="eastAsia"/>
        </w:rPr>
        <w:t>赋能党委、人大、政协、民主党派及群团等机关的信息化建设，提升参政议政、民主监督、政治协商、社会服务、自身建设等工作执行效能，提高党政机关协同联动水平和数字化履职能力。</w:t>
      </w:r>
    </w:p>
    <w:p w14:paraId="352B4C92">
      <w:pPr>
        <w:pStyle w:val="3"/>
        <w:ind w:left="0" w:firstLine="720" w:firstLineChars="200"/>
      </w:pPr>
      <w:bookmarkStart w:id="64" w:name="_Toc93501137"/>
      <w:bookmarkStart w:id="65" w:name="_Toc69306063"/>
      <w:bookmarkStart w:id="66" w:name="_Toc70495369"/>
      <w:r>
        <w:rPr>
          <w:rFonts w:hint="eastAsia"/>
        </w:rPr>
        <w:t>技术架构</w:t>
      </w:r>
      <w:bookmarkEnd w:id="64"/>
      <w:bookmarkEnd w:id="65"/>
      <w:bookmarkEnd w:id="66"/>
    </w:p>
    <w:p w14:paraId="2112318C">
      <w:pPr>
        <w:ind w:firstLine="640"/>
      </w:pPr>
      <w:r>
        <w:t>基</w:t>
      </w:r>
      <w:r>
        <w:rPr>
          <w:rFonts w:hint="eastAsia"/>
        </w:rPr>
        <w:t>于“四横三纵”的设计思路，按照省、市数字政府改革建设总体要求，结合海丰实际，充分利</w:t>
      </w:r>
      <w:r>
        <w:t>用新技术，构建</w:t>
      </w:r>
      <w:r>
        <w:rPr>
          <w:rFonts w:hint="eastAsia"/>
        </w:rPr>
        <w:t>“协同共享、高效服务”</w:t>
      </w:r>
      <w:r>
        <w:t>的一体化技术架构。</w:t>
      </w:r>
    </w:p>
    <w:p w14:paraId="05CBC2E2">
      <w:pPr>
        <w:pStyle w:val="25"/>
        <w:keepNext/>
        <w:spacing w:before="156" w:after="156" w:line="240" w:lineRule="auto"/>
        <w:ind w:firstLine="0" w:firstLineChars="0"/>
        <w:jc w:val="center"/>
      </w:pPr>
      <w:r>
        <w:drawing>
          <wp:inline distT="0" distB="0" distL="0" distR="0">
            <wp:extent cx="5274310" cy="3076575"/>
            <wp:effectExtent l="0" t="0" r="2540" b="9525"/>
            <wp:docPr id="70" name="图片 7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图形用户界面, 应用程序&#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3076575"/>
                    </a:xfrm>
                    <a:prstGeom prst="rect">
                      <a:avLst/>
                    </a:prstGeom>
                    <a:noFill/>
                    <a:ln>
                      <a:noFill/>
                    </a:ln>
                  </pic:spPr>
                </pic:pic>
              </a:graphicData>
            </a:graphic>
          </wp:inline>
        </w:drawing>
      </w:r>
    </w:p>
    <w:p w14:paraId="14E4592F">
      <w:pPr>
        <w:pStyle w:val="13"/>
        <w:spacing w:before="156" w:after="156"/>
        <w:ind w:firstLine="420"/>
        <w:rPr>
          <w:rFonts w:ascii="Times New Roman" w:hAnsi="Times New Roman"/>
        </w:rPr>
      </w:pPr>
      <w:r>
        <w:t>图 3</w:t>
      </w:r>
      <w:r>
        <w:rPr>
          <w:rFonts w:hint="eastAsia"/>
        </w:rPr>
        <w:t xml:space="preserve"> 海丰县数字政府技术架构图</w:t>
      </w:r>
    </w:p>
    <w:p w14:paraId="6A742756">
      <w:pPr>
        <w:pStyle w:val="4"/>
        <w:ind w:firstLine="643"/>
      </w:pPr>
      <w:r>
        <w:rPr>
          <w:rFonts w:hint="eastAsia"/>
        </w:rPr>
        <w:t>业务应用</w:t>
      </w:r>
      <w:r>
        <w:t>层</w:t>
      </w:r>
    </w:p>
    <w:p w14:paraId="5B664BBA">
      <w:pPr>
        <w:ind w:firstLine="640"/>
      </w:pPr>
      <w:r>
        <w:rPr>
          <w:rFonts w:hint="eastAsia"/>
        </w:rPr>
        <w:t>遵循汕尾市数字政府应用服务体系，其中统一交互应用面向群众、企业及政府工作人员，提供的统一、便捷、高效的各类服务应用，包括政务服务网、“粤省事”、“粤商通”、“善美 店小二”、“善美村居”、“粤政易”及终端应</w:t>
      </w:r>
      <w:r>
        <w:t>用等，提升用户交互能力，增强用户获得感</w:t>
      </w:r>
      <w:r>
        <w:rPr>
          <w:rFonts w:hint="eastAsia"/>
        </w:rPr>
        <w:t>；部门专业及其他应用面向</w:t>
      </w:r>
      <w:r>
        <w:t>政府部</w:t>
      </w:r>
      <w:r>
        <w:rPr>
          <w:rFonts w:hint="eastAsia" w:ascii="仿宋_GB2312"/>
        </w:rPr>
        <w:t>门，提供的高效、协同、整体的管理应用，包括营商环境应用、公共服务应用、县域治理应用、政府运行应用等专业应用，提升政府治理能力和行政效能</w:t>
      </w:r>
      <w:r>
        <w:t>水平。</w:t>
      </w:r>
    </w:p>
    <w:p w14:paraId="5EAB083A">
      <w:pPr>
        <w:pStyle w:val="4"/>
        <w:ind w:firstLine="643"/>
      </w:pPr>
      <w:bookmarkStart w:id="67" w:name="_Toc4132"/>
      <w:r>
        <w:t>应用支撑层</w:t>
      </w:r>
      <w:bookmarkEnd w:id="67"/>
    </w:p>
    <w:p w14:paraId="5FFB02FC">
      <w:pPr>
        <w:ind w:firstLine="640"/>
      </w:pPr>
      <w:r>
        <w:rPr>
          <w:rFonts w:hint="eastAsia"/>
        </w:rPr>
        <w:t>遵循汕尾市数字政府应用支撑服务体系，依托省、市</w:t>
      </w:r>
      <w:r>
        <w:t>数字政府公共支撑平台，为</w:t>
      </w:r>
      <w:r>
        <w:rPr>
          <w:rFonts w:hint="eastAsia"/>
        </w:rPr>
        <w:t>县级</w:t>
      </w:r>
      <w:r>
        <w:t>部门政务应用提供</w:t>
      </w:r>
      <w:r>
        <w:rPr>
          <w:rFonts w:hint="eastAsia"/>
        </w:rPr>
        <w:t>一体化</w:t>
      </w:r>
      <w:r>
        <w:t>共性技术能力支撑，</w:t>
      </w:r>
      <w:r>
        <w:rPr>
          <w:rFonts w:hint="eastAsia"/>
        </w:rPr>
        <w:t>包括统一身份认证、电子证照、电子印章、非税支付、社会信用、地理信息、智能客服、物联网管理、视频联网管理、A</w:t>
      </w:r>
      <w:r>
        <w:t>I</w:t>
      </w:r>
      <w:r>
        <w:rPr>
          <w:rFonts w:hint="eastAsia"/>
        </w:rPr>
        <w:t>服务、区块链服务等通用组件。</w:t>
      </w:r>
    </w:p>
    <w:p w14:paraId="24929960">
      <w:pPr>
        <w:pStyle w:val="4"/>
        <w:ind w:firstLine="643"/>
      </w:pPr>
      <w:bookmarkStart w:id="68" w:name="_Toc17675"/>
      <w:r>
        <w:t>数据资源层</w:t>
      </w:r>
      <w:bookmarkEnd w:id="68"/>
    </w:p>
    <w:p w14:paraId="7A67CA7F">
      <w:pPr>
        <w:ind w:firstLine="640"/>
      </w:pPr>
      <w:r>
        <w:rPr>
          <w:rFonts w:hint="eastAsia"/>
        </w:rPr>
        <w:t>遵循汕尾市数字政府数据资源服务体系，</w:t>
      </w:r>
      <w:r>
        <w:t>基于政务大数据中心</w:t>
      </w:r>
      <w:r>
        <w:rPr>
          <w:rFonts w:hint="eastAsia"/>
        </w:rPr>
        <w:t>汕尾节点</w:t>
      </w:r>
      <w:r>
        <w:rPr>
          <w:rFonts w:hint="eastAsia" w:ascii="仿宋_GB2312"/>
        </w:rPr>
        <w:t>，加强县级基础库、专题库建设，构建全县共建共享的大数据资源体系，逐步消灭各类“信息孤岛”，</w:t>
      </w:r>
      <w:r>
        <w:t>为各部门政务应用提供数据服务支撑。</w:t>
      </w:r>
    </w:p>
    <w:p w14:paraId="173C4756">
      <w:pPr>
        <w:pStyle w:val="4"/>
        <w:ind w:firstLine="643"/>
      </w:pPr>
      <w:bookmarkStart w:id="69" w:name="_Toc11537"/>
      <w:r>
        <w:t>基础设施层</w:t>
      </w:r>
      <w:bookmarkEnd w:id="69"/>
    </w:p>
    <w:p w14:paraId="3C7A4675">
      <w:pPr>
        <w:ind w:firstLine="640"/>
      </w:pPr>
      <w:r>
        <w:rPr>
          <w:rFonts w:hint="eastAsia"/>
        </w:rPr>
        <w:t>遵循汕尾市数字政府基础能力服务体系，</w:t>
      </w:r>
      <w:r>
        <w:t>在充分利用</w:t>
      </w:r>
      <w:r>
        <w:rPr>
          <w:rFonts w:hint="eastAsia"/>
        </w:rPr>
        <w:t>我县</w:t>
      </w:r>
      <w:r>
        <w:t>现有资</w:t>
      </w:r>
      <w:r>
        <w:rPr>
          <w:rFonts w:hint="eastAsia" w:ascii="仿宋_GB2312"/>
        </w:rPr>
        <w:t>源的基础上，扩容升级政务外网，加强安全体系建设，为全县政务信息化建设提供一个弹性、</w:t>
      </w:r>
      <w:r>
        <w:t>稳定、集约、可靠的底层环境。</w:t>
      </w:r>
    </w:p>
    <w:p w14:paraId="141B2D13">
      <w:pPr>
        <w:pStyle w:val="4"/>
        <w:ind w:firstLine="643"/>
      </w:pPr>
      <w:bookmarkStart w:id="70" w:name="_Toc5308"/>
      <w:r>
        <w:t>安全保障体系</w:t>
      </w:r>
      <w:bookmarkEnd w:id="70"/>
    </w:p>
    <w:p w14:paraId="48C7DA77">
      <w:pPr>
        <w:ind w:firstLine="640"/>
      </w:pPr>
      <w:r>
        <w:rPr>
          <w:rFonts w:hint="eastAsia"/>
        </w:rPr>
        <w:t>遵循汕尾市数字政府安全保障体系，</w:t>
      </w:r>
      <w:r>
        <w:t>构建</w:t>
      </w:r>
      <w:r>
        <w:rPr>
          <w:rFonts w:hint="eastAsia"/>
        </w:rPr>
        <w:t>涵盖安全监管、安全技术、安全运营和安全管理内容的网络安全保障体系，贯穿政务应用、公共支撑平台、政务大数据中心和基础设施规划、建设、运营、管理全过程，为我县数字政府平稳高效安全运行保驾护航</w:t>
      </w:r>
      <w:r>
        <w:t>。</w:t>
      </w:r>
    </w:p>
    <w:p w14:paraId="45D4CBA4">
      <w:pPr>
        <w:pStyle w:val="4"/>
        <w:ind w:firstLine="643"/>
      </w:pPr>
      <w:bookmarkStart w:id="71" w:name="_Toc32059"/>
      <w:r>
        <w:rPr>
          <w:rFonts w:hint="eastAsia"/>
        </w:rPr>
        <w:t>标准规范体系</w:t>
      </w:r>
    </w:p>
    <w:p w14:paraId="6F09515B">
      <w:pPr>
        <w:ind w:firstLine="640"/>
      </w:pPr>
      <w:r>
        <w:rPr>
          <w:rFonts w:hint="eastAsia"/>
        </w:rPr>
        <w:t>遵循汕尾市数字政府改革建设标准规范体系，加强我县数字政府建设过程中的标准规范宣贯、推广、实施和监督管理。</w:t>
      </w:r>
    </w:p>
    <w:p w14:paraId="55C4D7D6">
      <w:pPr>
        <w:pStyle w:val="4"/>
        <w:ind w:firstLine="643"/>
      </w:pPr>
      <w:r>
        <w:t>运行管理体系</w:t>
      </w:r>
      <w:bookmarkEnd w:id="71"/>
    </w:p>
    <w:p w14:paraId="52EBA7DB">
      <w:pPr>
        <w:ind w:firstLine="640"/>
      </w:pPr>
      <w:r>
        <w:rPr>
          <w:rFonts w:hint="eastAsia"/>
        </w:rPr>
        <w:t>对</w:t>
      </w:r>
      <w:r>
        <w:t>应用系统、基础设施、数据资源等方面的运营、运维和管理，包括对技术架构各个层次系统的运行维护，业务运营、质量管理等工作。</w:t>
      </w:r>
    </w:p>
    <w:p w14:paraId="4CAC9EDF">
      <w:pPr>
        <w:pStyle w:val="3"/>
        <w:ind w:left="0" w:firstLine="720" w:firstLineChars="200"/>
      </w:pPr>
      <w:bookmarkStart w:id="72" w:name="_Toc70495370"/>
      <w:bookmarkStart w:id="73" w:name="_Toc69306064"/>
      <w:bookmarkStart w:id="74" w:name="_Toc93501138"/>
      <w:r>
        <w:rPr>
          <w:rFonts w:hint="eastAsia"/>
        </w:rPr>
        <w:t>数据架构</w:t>
      </w:r>
      <w:bookmarkEnd w:id="72"/>
      <w:bookmarkEnd w:id="73"/>
      <w:bookmarkEnd w:id="74"/>
    </w:p>
    <w:p w14:paraId="7CBF3AFA">
      <w:pPr>
        <w:ind w:firstLine="640"/>
      </w:pPr>
      <w:r>
        <w:rPr>
          <w:rFonts w:hint="eastAsia"/>
        </w:rPr>
        <w:t>参照市数字政府一体化数据架构，依托省政务大数据中心汕尾节点，构建上连市级、下通镇级的全县一体化、服务化数据架构，实现跨层级、跨业务、跨系统的</w:t>
      </w:r>
      <w:r>
        <w:t>数据互联互通和共享</w:t>
      </w:r>
      <w:r>
        <w:rPr>
          <w:rFonts w:hint="eastAsia"/>
        </w:rPr>
        <w:t>融合。</w:t>
      </w:r>
      <w:r>
        <w:t>提供标准化基础数据</w:t>
      </w:r>
      <w:r>
        <w:rPr>
          <w:rFonts w:hint="eastAsia"/>
        </w:rPr>
        <w:t>，建立海丰县级主题库和专题库，支撑全县各类业务开展，</w:t>
      </w:r>
      <w:r>
        <w:t>挖掘</w:t>
      </w:r>
      <w:r>
        <w:rPr>
          <w:rFonts w:hint="eastAsia"/>
        </w:rPr>
        <w:t>政务</w:t>
      </w:r>
      <w:r>
        <w:t>数据价值，</w:t>
      </w:r>
      <w:r>
        <w:rPr>
          <w:rFonts w:hint="eastAsia"/>
        </w:rPr>
        <w:t>为政府领导提供</w:t>
      </w:r>
      <w:r>
        <w:t>可靠的决策支持依据。</w:t>
      </w:r>
    </w:p>
    <w:p w14:paraId="382FB1D5">
      <w:pPr>
        <w:pStyle w:val="64"/>
        <w:keepNext/>
        <w:spacing w:before="156" w:after="156" w:line="240" w:lineRule="auto"/>
        <w:ind w:firstLine="0" w:firstLineChars="0"/>
        <w:jc w:val="center"/>
      </w:pPr>
      <w:r>
        <w:drawing>
          <wp:inline distT="0" distB="0" distL="0" distR="0">
            <wp:extent cx="5274310" cy="3312795"/>
            <wp:effectExtent l="0" t="0" r="0" b="0"/>
            <wp:docPr id="72" name="图片 7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图形用户界面, 应用程序&#10;&#10;描述已自动生成"/>
                    <pic:cNvPicPr>
                      <a:picLocks noChangeAspect="1"/>
                    </pic:cNvPicPr>
                  </pic:nvPicPr>
                  <pic:blipFill>
                    <a:blip r:embed="rId17"/>
                    <a:stretch>
                      <a:fillRect/>
                    </a:stretch>
                  </pic:blipFill>
                  <pic:spPr>
                    <a:xfrm>
                      <a:off x="0" y="0"/>
                      <a:ext cx="5274310" cy="3312795"/>
                    </a:xfrm>
                    <a:prstGeom prst="rect">
                      <a:avLst/>
                    </a:prstGeom>
                  </pic:spPr>
                </pic:pic>
              </a:graphicData>
            </a:graphic>
          </wp:inline>
        </w:drawing>
      </w:r>
    </w:p>
    <w:p w14:paraId="32D8DF6C">
      <w:pPr>
        <w:pStyle w:val="13"/>
        <w:spacing w:before="156" w:after="156"/>
        <w:ind w:firstLine="420"/>
      </w:pPr>
      <w:r>
        <w:t>图4</w:t>
      </w:r>
      <w:r>
        <w:rPr>
          <w:rFonts w:hint="eastAsia"/>
        </w:rPr>
        <w:t>海丰县数字政府数据架构图</w:t>
      </w:r>
    </w:p>
    <w:p w14:paraId="256C4150">
      <w:pPr>
        <w:pStyle w:val="4"/>
        <w:ind w:firstLine="643"/>
      </w:pPr>
      <w:bookmarkStart w:id="75" w:name="_Toc12221"/>
      <w:r>
        <w:rPr>
          <w:rFonts w:hint="eastAsia"/>
        </w:rPr>
        <w:t>数据源</w:t>
      </w:r>
    </w:p>
    <w:p w14:paraId="303594C3">
      <w:pPr>
        <w:ind w:firstLine="640"/>
      </w:pPr>
      <w:r>
        <w:rPr>
          <w:rFonts w:hint="eastAsia"/>
        </w:rPr>
        <w:t>数据源包括全县行政区域内行政机关以及具有公共事务管理和公共服务职能的组织，在依法履行职责过程中产生的业务数据、视频图像数据、物联感知数据、公共数据资源以及社会数据资源等。依托市政务大数据中心节点，各业务行局按规范做好汇聚政务数据资源，进一步加强全县政务数据资源交换共享。</w:t>
      </w:r>
    </w:p>
    <w:p w14:paraId="0FB46C04">
      <w:pPr>
        <w:pStyle w:val="4"/>
        <w:ind w:firstLine="643"/>
      </w:pPr>
      <w:r>
        <w:rPr>
          <w:rFonts w:hint="eastAsia"/>
        </w:rPr>
        <w:t>资源中心</w:t>
      </w:r>
    </w:p>
    <w:p w14:paraId="43306A94">
      <w:pPr>
        <w:ind w:firstLine="640"/>
      </w:pPr>
      <w:r>
        <w:rPr>
          <w:rFonts w:hint="eastAsia"/>
        </w:rPr>
        <w:t>资源中心包含基础库、共享库、主题库、专题库和模型库。基础库指围绕某一公共主题领域，汇聚相关实体的基础信息，形成的基础数据集合。共享库是由行业主体部门牵头建设，建立可共享交换的政务数据资源集合，推进跨部门的业务协同。主题库由行业主体部门牵头建设，围绕某一主题对象，汇聚逻辑相关的数据资源，包括车辆、房屋、地址等系列主题库。专题库指基于基础库、主题库和共享库，围绕特定业务需求和专项工作要求，形成的以公共业务为主线、满足专项工作要求且逻辑相关的数据资源集合。</w:t>
      </w:r>
    </w:p>
    <w:p w14:paraId="4B66CDE3">
      <w:pPr>
        <w:pStyle w:val="4"/>
        <w:ind w:firstLine="643"/>
      </w:pPr>
      <w:r>
        <w:rPr>
          <w:rFonts w:hint="eastAsia"/>
        </w:rPr>
        <w:t>市政务大数据中心</w:t>
      </w:r>
    </w:p>
    <w:p w14:paraId="74AFE1F1">
      <w:pPr>
        <w:ind w:firstLine="640"/>
      </w:pPr>
      <w:r>
        <w:rPr>
          <w:rFonts w:hint="eastAsia"/>
        </w:rPr>
        <w:t>依托市政务大数据中心，为全县各单位提供包括数据共享、数据治理、数据管理、数据分析、数据开放等支撑能力，全面支撑全县各部门的业务开展和应用创新。</w:t>
      </w:r>
    </w:p>
    <w:p w14:paraId="5F78866B">
      <w:pPr>
        <w:pStyle w:val="4"/>
        <w:ind w:firstLine="643"/>
      </w:pPr>
      <w:r>
        <w:rPr>
          <w:rFonts w:hint="eastAsia"/>
        </w:rPr>
        <w:t>数据服务</w:t>
      </w:r>
    </w:p>
    <w:p w14:paraId="27DB8EBB">
      <w:pPr>
        <w:ind w:firstLine="640"/>
      </w:pPr>
      <w:r>
        <w:rPr>
          <w:rFonts w:hint="eastAsia"/>
        </w:rPr>
        <w:t>基于市政务大数据中心，提供基础信息资源、主题信息资源和专题信息资源，实现共享、核验、分析、开放授权等服务，全面支撑县部门的业务开展和应用创新。</w:t>
      </w:r>
    </w:p>
    <w:bookmarkEnd w:id="75"/>
    <w:p w14:paraId="1F0C0141">
      <w:pPr>
        <w:spacing w:before="156" w:after="156"/>
        <w:ind w:firstLine="640"/>
      </w:pPr>
      <w:r>
        <w:br w:type="page"/>
      </w:r>
    </w:p>
    <w:p w14:paraId="2B10B59F">
      <w:pPr>
        <w:pStyle w:val="2"/>
        <w:ind w:left="0" w:firstLine="640"/>
      </w:pPr>
      <w:bookmarkStart w:id="76" w:name="_Toc93501139"/>
      <w:r>
        <w:rPr>
          <w:rFonts w:hint="eastAsia"/>
        </w:rPr>
        <w:t>主要任务</w:t>
      </w:r>
      <w:bookmarkEnd w:id="76"/>
    </w:p>
    <w:p w14:paraId="3F45BAFE">
      <w:pPr>
        <w:pStyle w:val="3"/>
        <w:ind w:left="0" w:firstLine="720" w:firstLineChars="200"/>
      </w:pPr>
      <w:bookmarkStart w:id="77" w:name="_Toc93501140"/>
      <w:r>
        <w:rPr>
          <w:rFonts w:hint="eastAsia"/>
        </w:rPr>
        <w:t>聚焦数字惠民，推进高质量政务服务走在全市前列</w:t>
      </w:r>
      <w:bookmarkEnd w:id="77"/>
    </w:p>
    <w:p w14:paraId="2E59CFAB">
      <w:pPr>
        <w:ind w:firstLine="640"/>
        <w:rPr>
          <w:rFonts w:ascii="仿宋_GB2312"/>
          <w:szCs w:val="32"/>
        </w:rPr>
      </w:pPr>
      <w:r>
        <w:rPr>
          <w:rFonts w:hint="eastAsia" w:ascii="仿宋_GB2312"/>
          <w:szCs w:val="32"/>
        </w:rPr>
        <w:t>通过深化事项标准化、拓宽服务渠道、优化服务模式、推进“六个通办”、“八个便利化”、“一件事”主题服务、“无证明城市”等建设，促进政务服务、惠企服务、民生服务流程重塑，实现“高效办成一件事”，打造一流政务</w:t>
      </w:r>
      <w:r>
        <w:rPr>
          <w:rFonts w:ascii="仿宋_GB2312"/>
          <w:szCs w:val="32"/>
        </w:rPr>
        <w:t>服务</w:t>
      </w:r>
      <w:r>
        <w:rPr>
          <w:rFonts w:hint="eastAsia" w:ascii="仿宋_GB2312"/>
          <w:szCs w:val="32"/>
        </w:rPr>
        <w:t xml:space="preserve">环境，推进政务服务质量走在全市前列。 </w:t>
      </w:r>
    </w:p>
    <w:p w14:paraId="5A51D7E5">
      <w:pPr>
        <w:pStyle w:val="4"/>
        <w:ind w:firstLine="643"/>
      </w:pPr>
      <w:r>
        <w:rPr>
          <w:rFonts w:hint="eastAsia"/>
        </w:rPr>
        <w:t>打造高效便捷的政务服务</w:t>
      </w:r>
    </w:p>
    <w:p w14:paraId="5409C12C">
      <w:pPr>
        <w:ind w:firstLine="643"/>
        <w:rPr>
          <w:rFonts w:ascii="仿宋_GB2312"/>
          <w:szCs w:val="32"/>
        </w:rPr>
      </w:pPr>
      <w:r>
        <w:rPr>
          <w:rFonts w:hint="eastAsia" w:ascii="仿宋_GB2312"/>
          <w:b/>
          <w:bCs/>
          <w:szCs w:val="32"/>
        </w:rPr>
        <w:t>（1）深化政务服务事项标准化工作。</w:t>
      </w:r>
      <w:r>
        <w:rPr>
          <w:rFonts w:hint="eastAsia" w:ascii="仿宋_GB2312"/>
          <w:szCs w:val="32"/>
        </w:rPr>
        <w:t>根据省市统一部署，</w:t>
      </w:r>
      <w:r>
        <w:t>各</w:t>
      </w:r>
      <w:r>
        <w:rPr>
          <w:rFonts w:hint="eastAsia"/>
        </w:rPr>
        <w:t>级各</w:t>
      </w:r>
      <w:r>
        <w:t>部门</w:t>
      </w:r>
      <w:r>
        <w:rPr>
          <w:rFonts w:hint="eastAsia"/>
        </w:rPr>
        <w:t>根据</w:t>
      </w:r>
      <w:r>
        <w:t>政务服务实施目录清单，完善政务服务目录体系。</w:t>
      </w:r>
      <w:r>
        <w:rPr>
          <w:rFonts w:hint="eastAsia"/>
        </w:rPr>
        <w:t>以高频民生事项和涉企事项为重点，聚焦简流程、减材料，加快对政务事项进行流程优化和办事指南动态更新，确保与市保持同流程、同材料、同指南，实现“一套材料、一张表单、一次申请、一窗受理、一网通办、一次办结”的目标。</w:t>
      </w:r>
    </w:p>
    <w:p w14:paraId="56E317C0">
      <w:pPr>
        <w:ind w:firstLine="643"/>
        <w:rPr>
          <w:b/>
          <w:bCs/>
        </w:rPr>
      </w:pPr>
      <w:r>
        <w:rPr>
          <w:rFonts w:hint="eastAsia"/>
          <w:b/>
          <w:bCs/>
        </w:rPr>
        <w:t>（2）打造泛在化服务渠道。</w:t>
      </w:r>
      <w:r>
        <w:rPr>
          <w:rFonts w:hint="eastAsia"/>
        </w:rPr>
        <w:t>大力推广“粤省事</w:t>
      </w:r>
      <w:r>
        <w:rPr>
          <w:rFonts w:hint="eastAsia" w:ascii="仿宋_GB2312"/>
          <w:szCs w:val="28"/>
        </w:rPr>
        <w:t>·</w:t>
      </w:r>
      <w:r>
        <w:rPr>
          <w:rFonts w:hint="eastAsia"/>
        </w:rPr>
        <w:t>汕尾版”、“粤商通</w:t>
      </w:r>
      <w:r>
        <w:rPr>
          <w:rFonts w:hint="eastAsia" w:ascii="仿宋_GB2312"/>
          <w:szCs w:val="28"/>
        </w:rPr>
        <w:t>·</w:t>
      </w:r>
      <w:r>
        <w:rPr>
          <w:rFonts w:hint="eastAsia"/>
        </w:rPr>
        <w:t>汕尾版”、 “善美村居”、“善美店小二”等掌上便民应用。推进镇政务服务中心综合窗口设立，形成以综合窗口为主、部门专业窗口为辅的综合服务模式。</w:t>
      </w:r>
      <w:r>
        <w:rPr>
          <w:rFonts w:hint="eastAsia" w:ascii="仿宋_GB2312"/>
          <w:szCs w:val="28"/>
        </w:rPr>
        <w:t>推进政务服务一体机、商业银行机构智能服务终端部署并向镇村级延伸，</w:t>
      </w:r>
      <w:r>
        <w:rPr>
          <w:rFonts w:hint="eastAsia"/>
        </w:rPr>
        <w:t>打通政务服务最后一百米，</w:t>
      </w:r>
      <w:r>
        <w:rPr>
          <w:rFonts w:hint="eastAsia" w:ascii="仿宋_GB2312"/>
          <w:szCs w:val="28"/>
        </w:rPr>
        <w:t>提升政务服务自助能力，打造</w:t>
      </w:r>
      <w:r>
        <w:rPr>
          <w:rFonts w:ascii="仿宋_GB2312"/>
          <w:szCs w:val="28"/>
        </w:rPr>
        <w:t>24</w:t>
      </w:r>
      <w:r>
        <w:rPr>
          <w:rFonts w:hint="eastAsia" w:ascii="仿宋_GB2312"/>
          <w:szCs w:val="28"/>
        </w:rPr>
        <w:t>小时政务服务自助区。</w:t>
      </w:r>
    </w:p>
    <w:p w14:paraId="23CCBA6C">
      <w:pPr>
        <w:ind w:firstLine="643"/>
      </w:pPr>
      <w:r>
        <w:rPr>
          <w:rFonts w:hint="eastAsia"/>
          <w:b/>
          <w:bCs/>
          <w:color w:val="000000"/>
        </w:rPr>
        <w:t>（3）打造</w:t>
      </w:r>
      <w:r>
        <w:rPr>
          <w:b/>
          <w:bCs/>
          <w:color w:val="000000"/>
        </w:rPr>
        <w:t>政务服务</w:t>
      </w:r>
      <w:r>
        <w:rPr>
          <w:rFonts w:hint="eastAsia"/>
          <w:b/>
          <w:bCs/>
          <w:color w:val="000000"/>
        </w:rPr>
        <w:t>标杆</w:t>
      </w:r>
      <w:r>
        <w:rPr>
          <w:b/>
          <w:bCs/>
          <w:color w:val="000000"/>
        </w:rPr>
        <w:t>大厅</w:t>
      </w:r>
      <w:r>
        <w:rPr>
          <w:rFonts w:hint="eastAsia"/>
          <w:b/>
          <w:bCs/>
          <w:color w:val="000000"/>
        </w:rPr>
        <w:t>。</w:t>
      </w:r>
      <w:r>
        <w:rPr>
          <w:rFonts w:hint="eastAsia"/>
          <w:color w:val="000000"/>
        </w:rPr>
        <w:t>对标市级市民服务广场，</w:t>
      </w:r>
      <w:r>
        <w:rPr>
          <w:rFonts w:hint="eastAsia"/>
        </w:rPr>
        <w:t>建设面积满足日常业务运营及办公需求的智慧服务大厅，推动线下与线上政务服务融合，助力实现“六个通办”。探索区块链、大数据、A</w:t>
      </w:r>
      <w:r>
        <w:t>I</w:t>
      </w:r>
      <w:r>
        <w:rPr>
          <w:rFonts w:hint="eastAsia"/>
        </w:rPr>
        <w:t>、云计算、物联网等新型技术在政务服务场景应用，提升政务服务办事效率，进一步优化企业群众办事体验</w:t>
      </w:r>
      <w:r>
        <w:rPr>
          <w:rFonts w:hint="eastAsia" w:cs="仿宋_GB2312"/>
          <w:szCs w:val="32"/>
        </w:rPr>
        <w:t>。</w:t>
      </w:r>
      <w:r>
        <w:rPr>
          <w:rFonts w:ascii="仿宋_GB2312"/>
          <w:szCs w:val="28"/>
        </w:rPr>
        <w:t>梳理群众全生命周期</w:t>
      </w:r>
      <w:r>
        <w:rPr>
          <w:rFonts w:hint="eastAsia" w:ascii="仿宋_GB2312"/>
          <w:szCs w:val="28"/>
        </w:rPr>
        <w:t>服务</w:t>
      </w:r>
      <w:r>
        <w:rPr>
          <w:rFonts w:ascii="仿宋_GB2312"/>
          <w:szCs w:val="28"/>
        </w:rPr>
        <w:t>事项，为群众提供全流程办理事项的信息服务，通过政务服务业务融合和系统对接，实现政务服务统一预约、统一叫号、统一受理、统一评价</w:t>
      </w:r>
      <w:r>
        <w:rPr>
          <w:rFonts w:hint="eastAsia" w:ascii="仿宋_GB2312"/>
          <w:szCs w:val="28"/>
        </w:rPr>
        <w:t>。</w:t>
      </w:r>
    </w:p>
    <w:p w14:paraId="655556EF">
      <w:pPr>
        <w:ind w:firstLine="643"/>
        <w:rPr>
          <w:rFonts w:ascii="仿宋_GB2312"/>
          <w:szCs w:val="28"/>
        </w:rPr>
      </w:pPr>
      <w:r>
        <w:rPr>
          <w:rFonts w:hint="eastAsia"/>
          <w:b/>
          <w:bCs/>
        </w:rPr>
        <w:t>（4）优化政务服务“六个通办”。</w:t>
      </w:r>
      <w:r>
        <w:rPr>
          <w:rFonts w:hint="eastAsia"/>
        </w:rPr>
        <w:t>按照“应进尽进”原则，推动政务服务事项100%进驻政务服务大厅，深化“前台综合受理、后台分类办理、统一窗口出件”服务模式，推动“全科无差别受理”一站式办结，实现“一窗通办”。</w:t>
      </w:r>
      <w:r>
        <w:rPr>
          <w:rFonts w:hint="eastAsia" w:ascii="仿宋_GB2312"/>
          <w:szCs w:val="28"/>
        </w:rPr>
        <w:t>按照“</w:t>
      </w:r>
      <w:r>
        <w:rPr>
          <w:rFonts w:ascii="仿宋_GB2312"/>
          <w:szCs w:val="28"/>
        </w:rPr>
        <w:t>应上尽上、全程在线</w:t>
      </w:r>
      <w:r>
        <w:rPr>
          <w:rFonts w:hint="eastAsia" w:ascii="仿宋_GB2312"/>
          <w:szCs w:val="28"/>
        </w:rPr>
        <w:t>”</w:t>
      </w:r>
      <w:r>
        <w:rPr>
          <w:rFonts w:ascii="仿宋_GB2312"/>
          <w:szCs w:val="28"/>
        </w:rPr>
        <w:t>的原则，推动政务服务事项纳入网上政务服务平台办理</w:t>
      </w:r>
      <w:r>
        <w:rPr>
          <w:rFonts w:hint="eastAsia" w:ascii="仿宋_GB2312"/>
          <w:szCs w:val="28"/>
        </w:rPr>
        <w:t>，</w:t>
      </w:r>
      <w:r>
        <w:rPr>
          <w:rFonts w:ascii="仿宋_GB2312"/>
          <w:szCs w:val="28"/>
        </w:rPr>
        <w:t>实现</w:t>
      </w:r>
      <w:r>
        <w:rPr>
          <w:rFonts w:hint="eastAsia" w:ascii="仿宋_GB2312"/>
          <w:szCs w:val="28"/>
        </w:rPr>
        <w:t>“</w:t>
      </w:r>
      <w:r>
        <w:rPr>
          <w:rFonts w:ascii="仿宋_GB2312"/>
          <w:szCs w:val="28"/>
        </w:rPr>
        <w:t>一网通办</w:t>
      </w:r>
      <w:r>
        <w:rPr>
          <w:rFonts w:hint="eastAsia" w:ascii="仿宋_GB2312"/>
          <w:szCs w:val="28"/>
        </w:rPr>
        <w:t>”。</w:t>
      </w:r>
      <w:r>
        <w:rPr>
          <w:rFonts w:ascii="仿宋_GB2312"/>
          <w:szCs w:val="28"/>
        </w:rPr>
        <w:t>推行群众办事出示身份证</w:t>
      </w:r>
      <w:r>
        <w:rPr>
          <w:rFonts w:hint="eastAsia" w:ascii="仿宋_GB2312"/>
          <w:szCs w:val="28"/>
        </w:rPr>
        <w:t>和电子证照二维码等，</w:t>
      </w:r>
      <w:r>
        <w:rPr>
          <w:rFonts w:ascii="仿宋_GB2312"/>
          <w:szCs w:val="28"/>
        </w:rPr>
        <w:t>办理个人入学、就业、婚姻、生育、退休等生命周期</w:t>
      </w:r>
      <w:r>
        <w:rPr>
          <w:rFonts w:hint="eastAsia" w:ascii="仿宋_GB2312"/>
          <w:szCs w:val="28"/>
        </w:rPr>
        <w:t>服务事项，实现群众“一证通办”。推进企业法人凭借“社会信用机构代码证”</w:t>
      </w:r>
      <w:r>
        <w:rPr>
          <w:rFonts w:ascii="仿宋_GB2312"/>
          <w:szCs w:val="28"/>
        </w:rPr>
        <w:t>即可办理企业注册、变更、注销等全生命周期所涉及</w:t>
      </w:r>
      <w:r>
        <w:rPr>
          <w:rFonts w:hint="eastAsia" w:ascii="仿宋_GB2312"/>
          <w:szCs w:val="28"/>
        </w:rPr>
        <w:t>事项，实现企业办事“一码通办”。大力推行马上办理、</w:t>
      </w:r>
      <w:r>
        <w:rPr>
          <w:rFonts w:ascii="仿宋_GB2312"/>
          <w:szCs w:val="28"/>
        </w:rPr>
        <w:t>当场办结</w:t>
      </w:r>
      <w:r>
        <w:rPr>
          <w:rFonts w:hint="eastAsia" w:ascii="仿宋_GB2312"/>
          <w:szCs w:val="28"/>
        </w:rPr>
        <w:t>、</w:t>
      </w:r>
      <w:r>
        <w:rPr>
          <w:rFonts w:ascii="仿宋_GB2312"/>
          <w:szCs w:val="28"/>
        </w:rPr>
        <w:t>立等</w:t>
      </w:r>
      <w:r>
        <w:rPr>
          <w:rFonts w:hint="eastAsia" w:ascii="仿宋_GB2312"/>
          <w:szCs w:val="28"/>
        </w:rPr>
        <w:t>可取，推进</w:t>
      </w:r>
      <w:r>
        <w:rPr>
          <w:rFonts w:ascii="仿宋_GB2312"/>
          <w:szCs w:val="28"/>
        </w:rPr>
        <w:t>凡符合法定受理条件、申报材料齐全的政务服务事项</w:t>
      </w:r>
      <w:r>
        <w:rPr>
          <w:rFonts w:hint="eastAsia" w:ascii="仿宋_GB2312"/>
          <w:szCs w:val="28"/>
        </w:rPr>
        <w:t>“一次通办”。梳理各层级通办事项清单和相关需求，统一事项名称、办理材料和业务流程，推进政务服务“一地通办”。</w:t>
      </w:r>
    </w:p>
    <w:p w14:paraId="6856803A">
      <w:pPr>
        <w:ind w:firstLine="643"/>
        <w:rPr>
          <w:rFonts w:ascii="仿宋_GB2312"/>
          <w:szCs w:val="28"/>
        </w:rPr>
      </w:pPr>
      <w:r>
        <w:rPr>
          <w:rFonts w:hint="eastAsia" w:ascii="仿宋_GB2312"/>
          <w:b/>
          <w:bCs/>
          <w:szCs w:val="28"/>
        </w:rPr>
        <w:t>（</w:t>
      </w:r>
      <w:r>
        <w:rPr>
          <w:rFonts w:ascii="仿宋_GB2312"/>
          <w:b/>
          <w:bCs/>
          <w:szCs w:val="28"/>
        </w:rPr>
        <w:t>5</w:t>
      </w:r>
      <w:r>
        <w:rPr>
          <w:rFonts w:hint="eastAsia" w:ascii="仿宋_GB2312"/>
          <w:b/>
          <w:bCs/>
          <w:szCs w:val="28"/>
        </w:rPr>
        <w:t>）大力发展“一件事”主题服务。</w:t>
      </w:r>
      <w:r>
        <w:rPr>
          <w:rFonts w:hint="eastAsia" w:ascii="仿宋_GB2312"/>
          <w:szCs w:val="28"/>
        </w:rPr>
        <w:t>以高频民生事项和涉企事项为重点，结合省市统一要求，梳理“一件事”事项清单，</w:t>
      </w:r>
      <w:r>
        <w:rPr>
          <w:rFonts w:ascii="仿宋_GB2312"/>
          <w:szCs w:val="28"/>
        </w:rPr>
        <w:t>通过协同审批、容缺办理、告知承诺等方式，实现主题内事项一张表单填报、一套材料提交、一个流程办理、一口同步出证，做到</w:t>
      </w:r>
      <w:r>
        <w:rPr>
          <w:rFonts w:hint="eastAsia" w:ascii="仿宋_GB2312"/>
          <w:szCs w:val="28"/>
        </w:rPr>
        <w:t>“一次办结一件事</w:t>
      </w:r>
      <w:r>
        <w:rPr>
          <w:rFonts w:ascii="仿宋_GB2312"/>
          <w:szCs w:val="28"/>
        </w:rPr>
        <w:t>”，减少企业群众办事跑动次数</w:t>
      </w:r>
      <w:r>
        <w:rPr>
          <w:rFonts w:hint="eastAsia" w:ascii="仿宋_GB2312"/>
          <w:szCs w:val="28"/>
        </w:rPr>
        <w:t>。</w:t>
      </w:r>
    </w:p>
    <w:p w14:paraId="60529C52">
      <w:pPr>
        <w:ind w:firstLine="643"/>
        <w:rPr>
          <w:rFonts w:ascii="仿宋_GB2312"/>
          <w:szCs w:val="28"/>
        </w:rPr>
      </w:pPr>
      <w:r>
        <w:rPr>
          <w:rFonts w:hint="eastAsia" w:ascii="仿宋_GB2312"/>
          <w:b/>
          <w:bCs/>
          <w:szCs w:val="28"/>
        </w:rPr>
        <w:t>（6）持续深化“无证明城市”建设。</w:t>
      </w:r>
      <w:r>
        <w:rPr>
          <w:rFonts w:hint="eastAsia" w:ascii="仿宋_GB2312"/>
          <w:szCs w:val="28"/>
        </w:rPr>
        <w:t>以“法无规定一律取消”和“法有规定无需提交”两项基本原则，继续深化梳理群众和企业办事的证明事项，清理以“无证明城市”相关事项证明材料，加快推进“无证明”事项上线实施、电子证照目录开通和发用证实施工作。积极探索解决银行、保险等社会领域证明需求问题，最大限度精简各种证明材料，做到没有法律法规规定的证明事项一律取消，实现清单之外无证明。全面提升海丰县政务服务能力，进一步拓展政务服务应用的广度和深度。</w:t>
      </w:r>
    </w:p>
    <w:p w14:paraId="6BBD0BFB">
      <w:pPr>
        <w:ind w:firstLine="643"/>
        <w:rPr>
          <w:rFonts w:ascii="仿宋_GB2312"/>
          <w:szCs w:val="28"/>
        </w:rPr>
      </w:pPr>
      <w:r>
        <w:rPr>
          <w:rFonts w:hint="eastAsia" w:ascii="仿宋_GB2312"/>
          <w:b/>
          <w:bCs/>
          <w:szCs w:val="28"/>
        </w:rPr>
        <w:t>（</w:t>
      </w:r>
      <w:r>
        <w:rPr>
          <w:rFonts w:ascii="仿宋_GB2312"/>
          <w:b/>
          <w:bCs/>
          <w:szCs w:val="28"/>
        </w:rPr>
        <w:t>7</w:t>
      </w:r>
      <w:r>
        <w:rPr>
          <w:rFonts w:hint="eastAsia" w:ascii="仿宋_GB2312"/>
          <w:b/>
          <w:bCs/>
          <w:szCs w:val="28"/>
        </w:rPr>
        <w:t>）探索推动“跨城通办”服务。</w:t>
      </w:r>
      <w:r>
        <w:rPr>
          <w:rFonts w:hint="eastAsia"/>
        </w:rPr>
        <w:t>为</w:t>
      </w:r>
      <w:r>
        <w:t>进一步深化</w:t>
      </w:r>
      <w:r>
        <w:rPr>
          <w:rFonts w:hint="eastAsia"/>
        </w:rPr>
        <w:t>“</w:t>
      </w:r>
      <w:r>
        <w:t>放管服</w:t>
      </w:r>
      <w:r>
        <w:rPr>
          <w:rFonts w:hint="eastAsia"/>
        </w:rPr>
        <w:t>”</w:t>
      </w:r>
      <w:r>
        <w:t>改革，</w:t>
      </w:r>
      <w:r>
        <w:rPr>
          <w:rFonts w:hint="eastAsia"/>
        </w:rPr>
        <w:t>积极</w:t>
      </w:r>
      <w:r>
        <w:t>探索创新政务服务</w:t>
      </w:r>
      <w:r>
        <w:rPr>
          <w:rFonts w:hint="eastAsia"/>
        </w:rPr>
        <w:t>，</w:t>
      </w:r>
      <w:r>
        <w:rPr>
          <w:rFonts w:hint="eastAsia" w:ascii="仿宋_GB2312"/>
          <w:szCs w:val="28"/>
        </w:rPr>
        <w:t>以深汕特别合作区、海丰两地居民及企业的高频事项为切入点，参考深圳与东莞跨城通办互设专窗新型模式，在深汕合作区行政服务大厅与县政务服务中心互设“跨区通办</w:t>
      </w:r>
      <w:r>
        <w:rPr>
          <w:rFonts w:hint="eastAsia"/>
        </w:rPr>
        <w:t>·</w:t>
      </w:r>
      <w:r>
        <w:rPr>
          <w:rFonts w:hint="eastAsia" w:ascii="仿宋_GB2312"/>
          <w:szCs w:val="28"/>
        </w:rPr>
        <w:t>海丰”专窗和“跨区通办</w:t>
      </w:r>
      <w:r>
        <w:rPr>
          <w:rFonts w:hint="eastAsia"/>
        </w:rPr>
        <w:t>·</w:t>
      </w:r>
      <w:r>
        <w:rPr>
          <w:rFonts w:hint="eastAsia" w:ascii="仿宋_GB2312"/>
          <w:szCs w:val="28"/>
        </w:rPr>
        <w:t>合作区”专窗，促进两地公共服务高频事项深度协同，实现“跨城通办、一次办成”。</w:t>
      </w:r>
    </w:p>
    <w:p w14:paraId="1BB60EAA">
      <w:pPr>
        <w:pStyle w:val="4"/>
        <w:ind w:firstLine="643"/>
      </w:pPr>
      <w:r>
        <w:rPr>
          <w:rFonts w:hint="eastAsia"/>
        </w:rPr>
        <w:t>提供优质高效的惠企服务</w:t>
      </w:r>
    </w:p>
    <w:p w14:paraId="13AE17E7">
      <w:pPr>
        <w:ind w:firstLine="643"/>
      </w:pPr>
      <w:r>
        <w:rPr>
          <w:rFonts w:hint="eastAsia"/>
          <w:b/>
          <w:bCs/>
        </w:rPr>
        <w:t>（1）持续推广“善美店小二”应用。</w:t>
      </w:r>
      <w:r>
        <w:rPr>
          <w:rFonts w:hint="eastAsia"/>
        </w:rPr>
        <w:t>结合我县本地化特色，搭建海丰特色营商领域服务。依托市人才服务专区，提高对先进人才引进、政策配套、政策兑现、资格互认等“全方位、全业务、全流程”一体化服务能力。依托企业服务“帮办”“代办”模块，推动“帮代办”服务模式，实现惠企服务从“一网通办”向“一网好办”升级。</w:t>
      </w:r>
    </w:p>
    <w:p w14:paraId="63D5F63B">
      <w:pPr>
        <w:ind w:firstLine="643"/>
      </w:pPr>
      <w:r>
        <w:rPr>
          <w:rFonts w:hint="eastAsia"/>
          <w:b/>
          <w:bCs/>
        </w:rPr>
        <w:t>（2）大力推进商事登记改革。</w:t>
      </w:r>
      <w:r>
        <w:rPr>
          <w:rFonts w:hint="eastAsia"/>
        </w:rPr>
        <w:t>推进商事登记“证照联办”，推进企业证照办理流程再造，持续梳理“证照联办”服务主题，用好市统一“证照通”审批平台，推进服务由“一窗办理”向“一次办好”升级。推行“信用承诺，容缺办理”服务模式，进一步梳理市级“信用承诺，容缺办理”行政审批事项清单，强化公共信用信息在市场准入、生产许可、投资建设、中介服务、办事办证等审批服务中的应用。依托广东政务服务网汕尾专区、“粤商通汕尾版”、“善美店小二”等平台，实现企业开办“全程网办、指尖办、免证办、零见面”。推动深汕特别合作区商事登记业务协同，探索公证文书电子查询应用，减少商事登记书面提交材料。借鉴深圳、上海等城市先进做法，大力推进企业开办智能审批、秒批服务。</w:t>
      </w:r>
    </w:p>
    <w:p w14:paraId="3B164A7D">
      <w:pPr>
        <w:ind w:firstLine="643"/>
      </w:pPr>
      <w:r>
        <w:rPr>
          <w:rFonts w:hint="eastAsia"/>
          <w:b/>
          <w:bCs/>
        </w:rPr>
        <w:t>（3）提高工建审批效能。</w:t>
      </w:r>
      <w:r>
        <w:rPr>
          <w:rFonts w:hint="eastAsia"/>
        </w:rPr>
        <w:t>开展工程建设项目审批专项的政务服务事项梳理优化、</w:t>
      </w:r>
      <w:r>
        <w:t>业务流程优化和</w:t>
      </w:r>
      <w:r>
        <w:rPr>
          <w:rFonts w:hint="eastAsia"/>
        </w:rPr>
        <w:t>“</w:t>
      </w:r>
      <w:r>
        <w:t>一</w:t>
      </w:r>
      <w:r>
        <w:rPr>
          <w:rFonts w:hint="eastAsia"/>
        </w:rPr>
        <w:t>张表单、</w:t>
      </w:r>
      <w:r>
        <w:t>一套材料</w:t>
      </w:r>
      <w:r>
        <w:rPr>
          <w:rFonts w:hint="eastAsia"/>
        </w:rPr>
        <w:t>”</w:t>
      </w:r>
      <w:r>
        <w:t>梳理，</w:t>
      </w:r>
      <w:r>
        <w:rPr>
          <w:rFonts w:hint="eastAsia"/>
        </w:rPr>
        <w:t>全面</w:t>
      </w:r>
      <w:r>
        <w:t>支撑</w:t>
      </w:r>
      <w:r>
        <w:rPr>
          <w:rFonts w:hint="eastAsia"/>
        </w:rPr>
        <w:t>“</w:t>
      </w:r>
      <w:r>
        <w:t>四少一快</w:t>
      </w:r>
      <w:r>
        <w:rPr>
          <w:rFonts w:hint="eastAsia"/>
        </w:rPr>
        <w:t>”</w:t>
      </w:r>
      <w:r>
        <w:t>。</w:t>
      </w:r>
      <w:r>
        <w:rPr>
          <w:rFonts w:hint="eastAsia"/>
        </w:rPr>
        <w:t>推行设计方案线上联审，全力破解</w:t>
      </w:r>
      <w:r>
        <w:t>建设单位</w:t>
      </w:r>
      <w:r>
        <w:rPr>
          <w:rFonts w:hint="eastAsia"/>
        </w:rPr>
        <w:t>“</w:t>
      </w:r>
      <w:r>
        <w:t>到处跑、到处找</w:t>
      </w:r>
      <w:r>
        <w:rPr>
          <w:rFonts w:hint="eastAsia"/>
        </w:rPr>
        <w:t>”服务痛点</w:t>
      </w:r>
      <w:r>
        <w:t>，</w:t>
      </w:r>
      <w:r>
        <w:rPr>
          <w:rFonts w:hint="eastAsia"/>
        </w:rPr>
        <w:t>进一步</w:t>
      </w:r>
      <w:r>
        <w:t>减轻企业负担</w:t>
      </w:r>
      <w:r>
        <w:rPr>
          <w:rFonts w:hint="eastAsia"/>
        </w:rPr>
        <w:t>，提升办事效率。</w:t>
      </w:r>
      <w:r>
        <w:t>推行</w:t>
      </w:r>
      <w:r>
        <w:rPr>
          <w:rFonts w:hint="eastAsia"/>
        </w:rPr>
        <w:t>“清单制+</w:t>
      </w:r>
      <w:r>
        <w:t>告知承诺制</w:t>
      </w:r>
      <w:r>
        <w:rPr>
          <w:rFonts w:hint="eastAsia"/>
        </w:rPr>
        <w:t>”审批，</w:t>
      </w:r>
      <w:r>
        <w:t>加强对告知承诺事项审的事中</w:t>
      </w:r>
      <w:r>
        <w:rPr>
          <w:rFonts w:hint="eastAsia"/>
        </w:rPr>
        <w:t>、</w:t>
      </w:r>
      <w:r>
        <w:t>事后监管</w:t>
      </w:r>
      <w:r>
        <w:rPr>
          <w:rFonts w:hint="eastAsia"/>
        </w:rPr>
        <w:t>，强化失信管理，提升工程项目审批质量。</w:t>
      </w:r>
      <w:r>
        <w:t>梳理工程建设专</w:t>
      </w:r>
      <w:r>
        <w:rPr>
          <w:rFonts w:hint="eastAsia"/>
        </w:rPr>
        <w:t>题政务服务事项办事结果、</w:t>
      </w:r>
      <w:r>
        <w:t>申办材料共享应用，推动电子证</w:t>
      </w:r>
      <w:r>
        <w:rPr>
          <w:rFonts w:hint="eastAsia"/>
        </w:rPr>
        <w:t>照制证、</w:t>
      </w:r>
      <w:r>
        <w:t>用证。全面梳理工程建设专题中介服务事项，推动</w:t>
      </w:r>
      <w:r>
        <w:rPr>
          <w:rFonts w:hint="eastAsia"/>
        </w:rPr>
        <w:t>中介服务事项全面进驻中介服务超市，</w:t>
      </w:r>
      <w:r>
        <w:t>实现中介服务成果与</w:t>
      </w:r>
      <w:r>
        <w:rPr>
          <w:rFonts w:hint="eastAsia"/>
        </w:rPr>
        <w:t>工程建设项目审批系统共享。</w:t>
      </w:r>
    </w:p>
    <w:p w14:paraId="53F155D2">
      <w:pPr>
        <w:ind w:firstLine="643"/>
      </w:pPr>
      <w:r>
        <w:rPr>
          <w:rFonts w:hint="eastAsia"/>
          <w:b/>
          <w:bCs/>
        </w:rPr>
        <w:t>（4）推进水电气报装便利化。</w:t>
      </w:r>
      <w:r>
        <w:rPr>
          <w:rFonts w:hint="eastAsia"/>
        </w:rPr>
        <w:t>大力</w:t>
      </w:r>
      <w:r>
        <w:t>推动水电气事项全流程再造，进一步压减申报材料、简化流程，实现水电气报装时间大幅缩减。推进</w:t>
      </w:r>
      <w:r>
        <w:rPr>
          <w:rFonts w:hint="eastAsia"/>
        </w:rPr>
        <w:t>水电气业务的全面进驻政务服务实体大厅，为群众企业提供了水电气“一站式”服务，实现了群众企业办事“只进一扇门”“最多跑一次”。依托广东政务服务网、“粤商通·汕尾版”等网上服务平台，推行网上办理和预约上门服务，实现企业用水、用电、用气报装实现“一网通办”。进一步梳理水电气联动报装“一件事”主题，实现一口登记早服务、一表申请减材料、一窗受理减次数、一次踏勘减环节、一并接入减成本。</w:t>
      </w:r>
    </w:p>
    <w:p w14:paraId="340520EE">
      <w:pPr>
        <w:ind w:firstLine="643"/>
      </w:pPr>
      <w:r>
        <w:rPr>
          <w:rFonts w:hint="eastAsia"/>
          <w:b/>
          <w:bCs/>
        </w:rPr>
        <w:t>（</w:t>
      </w:r>
      <w:r>
        <w:rPr>
          <w:b/>
          <w:bCs/>
        </w:rPr>
        <w:t>5</w:t>
      </w:r>
      <w:r>
        <w:rPr>
          <w:rFonts w:hint="eastAsia"/>
          <w:b/>
          <w:bCs/>
        </w:rPr>
        <w:t>）推进“互联网+不动产登记”应用。</w:t>
      </w:r>
      <w:r>
        <w:rPr>
          <w:rFonts w:hint="eastAsia"/>
        </w:rPr>
        <w:t>全面推进“互联网+不动产登记”，推动网上服务平台与实体大厅融合发展，构建不动产登记“网上办”服务体系。健全不动产登记相关信息协同共享机制，强化不动产登记与纳税、金融等领域的衔接协同，优化不动产交易、纳税、登记统一受理、统一办结。探索不动产登记“秒批”，实现商品房预告买卖登记和抵押权注销登记业务“秒批”。</w:t>
      </w:r>
    </w:p>
    <w:p w14:paraId="0FA9EB05">
      <w:pPr>
        <w:ind w:firstLine="643"/>
        <w:rPr>
          <w:rFonts w:ascii="仿宋_GB2312"/>
        </w:rPr>
      </w:pPr>
      <w:r>
        <w:rPr>
          <w:rFonts w:hint="eastAsia" w:ascii="仿宋_GB2312"/>
          <w:b/>
          <w:bCs/>
        </w:rPr>
        <w:t>（</w:t>
      </w:r>
      <w:r>
        <w:rPr>
          <w:rFonts w:ascii="仿宋_GB2312"/>
          <w:b/>
          <w:bCs/>
        </w:rPr>
        <w:t>6</w:t>
      </w:r>
      <w:r>
        <w:rPr>
          <w:rFonts w:hint="eastAsia" w:ascii="仿宋_GB2312"/>
          <w:b/>
          <w:bCs/>
        </w:rPr>
        <w:t>）推进公共资源交易电子化建设。</w:t>
      </w:r>
      <w:r>
        <w:rPr>
          <w:rFonts w:hint="eastAsia" w:ascii="仿宋_GB2312"/>
        </w:rPr>
        <w:t>建设规则统一</w:t>
      </w:r>
      <w:r>
        <w:rPr>
          <w:rFonts w:ascii="仿宋_GB2312"/>
        </w:rPr>
        <w:t>、公开透明</w:t>
      </w:r>
      <w:r>
        <w:rPr>
          <w:rFonts w:hint="eastAsia" w:ascii="仿宋_GB2312"/>
        </w:rPr>
        <w:t>、</w:t>
      </w:r>
      <w:r>
        <w:rPr>
          <w:rFonts w:ascii="仿宋_GB2312"/>
        </w:rPr>
        <w:t>服务高效</w:t>
      </w:r>
      <w:r>
        <w:rPr>
          <w:rFonts w:hint="eastAsia" w:ascii="仿宋_GB2312"/>
        </w:rPr>
        <w:t>、</w:t>
      </w:r>
      <w:r>
        <w:rPr>
          <w:rFonts w:ascii="仿宋_GB2312"/>
        </w:rPr>
        <w:t>监督规范的公共资源交易平台，全面实施电子化交易，强化交易节点监控，确保交易活动公开、公平、公正</w:t>
      </w:r>
      <w:r>
        <w:rPr>
          <w:rFonts w:hint="eastAsia" w:ascii="仿宋_GB2312"/>
        </w:rPr>
        <w:t>。积极推进网上交易、网上服务，大力推进电子化、数字化，充分利用大数据助力公共资源交易发展，实现公共资源交易领域全流程电子化。完善网上中介服务超市建设，全面推广网上中介服务超市应用，梳理全市中介服务超市事项，推进各类中介服务机构进驻。大力推行电子保函，积极探索异地远程评标，实现全流程网办。加强公共资源线上交易监管，畅通投诉渠道，创新工作方法，实现公平、公正、公开。</w:t>
      </w:r>
    </w:p>
    <w:p w14:paraId="1FCB4EB7">
      <w:pPr>
        <w:ind w:firstLine="643"/>
      </w:pPr>
      <w:r>
        <w:rPr>
          <w:rFonts w:hint="eastAsia"/>
          <w:b/>
          <w:bCs/>
        </w:rPr>
        <w:t>（</w:t>
      </w:r>
      <w:r>
        <w:rPr>
          <w:b/>
          <w:bCs/>
        </w:rPr>
        <w:t>7</w:t>
      </w:r>
      <w:r>
        <w:rPr>
          <w:rFonts w:hint="eastAsia"/>
          <w:b/>
          <w:bCs/>
        </w:rPr>
        <w:t>）提升投资便利化服务能力。</w:t>
      </w:r>
      <w:r>
        <w:rPr>
          <w:rFonts w:hint="eastAsia"/>
        </w:rPr>
        <w:t>推进并联审批，实现企业投资项目审批协同高效。统一审批标准，实现同一审批事项无差异办理。推行技术审查市场化，运用行政审批和技术审查相分离的审批方式。规范投资中介服务，建立开放竞争、健康有序的投资中介服务体系。实行审批告知承诺制，逐步完善基于企业信用的审办机制。搭建市场化招商平台，支撑与粤港澳大湾区联合推介与招商。实行外商投资重点项目代办服务制度，重点项目列入团队服务全流程服务。</w:t>
      </w:r>
    </w:p>
    <w:p w14:paraId="6138AD2C">
      <w:pPr>
        <w:pStyle w:val="4"/>
        <w:ind w:firstLine="643"/>
      </w:pPr>
      <w:r>
        <w:rPr>
          <w:rFonts w:hint="eastAsia"/>
        </w:rPr>
        <w:t>优化均等普惠的公共服务</w:t>
      </w:r>
    </w:p>
    <w:p w14:paraId="5076068B">
      <w:pPr>
        <w:ind w:firstLine="643"/>
        <w:rPr>
          <w:rFonts w:ascii="仿宋_GB2312"/>
        </w:rPr>
      </w:pPr>
      <w:r>
        <w:rPr>
          <w:rFonts w:hint="eastAsia"/>
          <w:b/>
          <w:bCs/>
        </w:rPr>
        <w:t>（</w:t>
      </w:r>
      <w:r>
        <w:rPr>
          <w:b/>
          <w:bCs/>
        </w:rPr>
        <w:t>1</w:t>
      </w:r>
      <w:r>
        <w:rPr>
          <w:rFonts w:hint="eastAsia"/>
          <w:b/>
          <w:bCs/>
        </w:rPr>
        <w:t>）推广“数字乡村”服务模式。</w:t>
      </w:r>
      <w:r>
        <w:rPr>
          <w:rFonts w:hint="eastAsia"/>
        </w:rPr>
        <w:t>依托市“善美村居”平台，加强扶贫项目资金资产管理和监管，推动农村集体资产管理规范化、村情民情公开化、乡村服务便捷化，营造“公开透明、高效监管、人人参与”的乡村治理新局面。建立村级党组织与村（居）民委员会、村（居）民小组、集体经济组织、村（居）务监督委员会的“小微权力”清单。大力推进机关干部“返乡走亲”、乡镇干部“驻村连心”、村社干部“入网知心”、基层党员“联户交心”。</w:t>
      </w:r>
      <w:r>
        <w:rPr>
          <w:rFonts w:hint="eastAsia" w:ascii="仿宋_GB2312" w:cs="Times New Roman"/>
        </w:rPr>
        <w:t>推动网格信息化管理建设向农村延伸，提高村级综合服务信息化水平，大力推动乡村建设和规划管理信息化。</w:t>
      </w:r>
    </w:p>
    <w:p w14:paraId="3492CE02">
      <w:pPr>
        <w:ind w:firstLine="643"/>
        <w:rPr>
          <w:rFonts w:ascii="仿宋_GB2312"/>
          <w:szCs w:val="28"/>
        </w:rPr>
      </w:pPr>
      <w:r>
        <w:rPr>
          <w:rFonts w:hint="eastAsia" w:ascii="仿宋_GB2312"/>
          <w:b/>
          <w:bCs/>
          <w:szCs w:val="32"/>
        </w:rPr>
        <w:t>（2）构建“智慧教育”服务体系。</w:t>
      </w:r>
      <w:r>
        <w:rPr>
          <w:rFonts w:hint="eastAsia" w:ascii="仿宋_GB2312"/>
          <w:szCs w:val="32"/>
        </w:rPr>
        <w:t>充分依托市“智慧教育”体系及平台，</w:t>
      </w:r>
      <w:r>
        <w:rPr>
          <w:rFonts w:hint="eastAsia" w:ascii="仿宋_GB2312"/>
          <w:szCs w:val="28"/>
        </w:rPr>
        <w:t>构建我县智慧教育公共服务体系。推进智慧校园建设工程，提升校园网络带宽，带动全县中小学校专递课堂、名师课堂、名校网络课堂建设，充分发挥“互联网+教育”优势，促进教育优质均衡发展。探索全县中小学校多媒体教学平台、教学质量监测平台、教师研训平台建设，</w:t>
      </w:r>
      <w:r>
        <w:rPr>
          <w:rFonts w:hint="eastAsia"/>
        </w:rPr>
        <w:t>实现教育资源共建共享，助推优质教育资源全县均等、全县教育均衡发展。</w:t>
      </w:r>
    </w:p>
    <w:p w14:paraId="79E8ABA9">
      <w:pPr>
        <w:ind w:firstLine="643"/>
        <w:rPr>
          <w:rFonts w:ascii="仿宋_GB2312"/>
          <w:szCs w:val="28"/>
        </w:rPr>
      </w:pPr>
      <w:r>
        <w:rPr>
          <w:rFonts w:hint="eastAsia" w:ascii="仿宋_GB2312"/>
          <w:b/>
          <w:bCs/>
          <w:szCs w:val="28"/>
        </w:rPr>
        <w:t>（3）开展“智慧医疗”体系建设。</w:t>
      </w:r>
      <w:r>
        <w:rPr>
          <w:rFonts w:hint="eastAsia" w:ascii="仿宋_GB2312"/>
          <w:szCs w:val="28"/>
        </w:rPr>
        <w:t>深入实施健康中国战略，推进我县紧密型县域医疗卫生共同体建设，增强基层医疗卫生服务能力，提高基本医疗卫生服务均等化、同质化、一体化水平。按医共体“六统一”原则，推进县域医疗信息系统统一规划建设，促进医疗、医保和医药信息等数据资源的有效整合，实现各类卫生健康数据互联共享。推进</w:t>
      </w:r>
      <w:r>
        <w:rPr>
          <w:rFonts w:ascii="仿宋_GB2312"/>
          <w:szCs w:val="28"/>
        </w:rPr>
        <w:t>5G智慧医院</w:t>
      </w:r>
      <w:r>
        <w:rPr>
          <w:rFonts w:hint="eastAsia" w:ascii="仿宋_GB2312"/>
          <w:szCs w:val="28"/>
        </w:rPr>
        <w:t>建设</w:t>
      </w:r>
      <w:r>
        <w:rPr>
          <w:rFonts w:ascii="仿宋_GB2312"/>
          <w:szCs w:val="28"/>
        </w:rPr>
        <w:t>，</w:t>
      </w:r>
      <w:r>
        <w:rPr>
          <w:rFonts w:hint="eastAsia" w:ascii="仿宋_GB2312"/>
          <w:szCs w:val="28"/>
        </w:rPr>
        <w:t>搭建智慧医院</w:t>
      </w:r>
      <w:r>
        <w:rPr>
          <w:rFonts w:ascii="仿宋_GB2312"/>
          <w:szCs w:val="28"/>
        </w:rPr>
        <w:t>智能化管理系统，为群众</w:t>
      </w:r>
      <w:r>
        <w:rPr>
          <w:rFonts w:hint="eastAsia" w:ascii="仿宋_GB2312"/>
          <w:szCs w:val="28"/>
        </w:rPr>
        <w:t>提供</w:t>
      </w:r>
      <w:r>
        <w:rPr>
          <w:rFonts w:ascii="仿宋_GB2312"/>
          <w:szCs w:val="28"/>
        </w:rPr>
        <w:t>5G云护理、远程医疗、医院全流程</w:t>
      </w:r>
      <w:r>
        <w:rPr>
          <w:rFonts w:hint="eastAsia" w:ascii="仿宋_GB2312"/>
          <w:szCs w:val="28"/>
        </w:rPr>
        <w:t>急救等</w:t>
      </w:r>
      <w:r>
        <w:rPr>
          <w:rFonts w:ascii="仿宋_GB2312"/>
          <w:szCs w:val="28"/>
        </w:rPr>
        <w:t>应用场景</w:t>
      </w:r>
      <w:r>
        <w:rPr>
          <w:rFonts w:hint="eastAsia" w:ascii="仿宋_GB2312"/>
          <w:szCs w:val="28"/>
        </w:rPr>
        <w:t>。借助“健康汕尾”</w:t>
      </w:r>
      <w:r>
        <w:rPr>
          <w:rFonts w:ascii="仿宋_GB2312"/>
          <w:szCs w:val="28"/>
        </w:rPr>
        <w:t>12320智慧服务</w:t>
      </w:r>
      <w:r>
        <w:rPr>
          <w:rFonts w:hint="eastAsia" w:ascii="仿宋_GB2312"/>
          <w:szCs w:val="28"/>
        </w:rPr>
        <w:t>、基卫公卫一体化等平台，以信息化手段助推实现医防融合。建立上下联动、高效顺畅的医疗机构哨点监测网络体系，提高疫情防控预警监测能力，支撑疫情防控常态化。</w:t>
      </w:r>
    </w:p>
    <w:p w14:paraId="573EBE70">
      <w:pPr>
        <w:ind w:firstLine="643"/>
      </w:pPr>
      <w:r>
        <w:rPr>
          <w:rFonts w:hint="eastAsia"/>
          <w:b/>
          <w:bCs/>
        </w:rPr>
        <w:t>（4）推进“智慧人社”应用。</w:t>
      </w:r>
      <w:r>
        <w:rPr>
          <w:rFonts w:hint="eastAsia"/>
        </w:rPr>
        <w:t>加快推广第三代社保卡服务向镇、村延伸，推动社会保障卡服务线上线下融合</w:t>
      </w:r>
      <w:r>
        <w:t>。</w:t>
      </w:r>
      <w:r>
        <w:rPr>
          <w:rFonts w:hint="eastAsia"/>
        </w:rPr>
        <w:t>依托乡镇（街道）人社业务综合服务平台，推进异地受理人社业务申请。依托市“</w:t>
      </w:r>
      <w:r>
        <w:rPr>
          <w:rFonts w:hint="eastAsia" w:ascii="仿宋_GB2312"/>
          <w:szCs w:val="28"/>
        </w:rPr>
        <w:t>职业技能人才综合服务平台</w:t>
      </w:r>
      <w:r>
        <w:rPr>
          <w:rFonts w:hint="eastAsia"/>
        </w:rPr>
        <w:t>”，加强人才在线培养，运用大数据科技手段，建立完整的企业用工需求信息数据库，促进企业和求职者供需对接，提高“粤菜师傅”“广东技工”“南粤家政”等重点工程信息化支撑能力。</w:t>
      </w:r>
    </w:p>
    <w:p w14:paraId="785783C2">
      <w:pPr>
        <w:ind w:firstLine="643"/>
        <w:rPr>
          <w:rFonts w:ascii="仿宋_GB2312"/>
          <w:szCs w:val="28"/>
        </w:rPr>
      </w:pPr>
      <w:r>
        <w:rPr>
          <w:rFonts w:hint="eastAsia" w:ascii="仿宋_GB2312"/>
          <w:b/>
          <w:bCs/>
          <w:szCs w:val="28"/>
        </w:rPr>
        <w:t>（5）探索“智慧民政”应用。</w:t>
      </w:r>
      <w:r>
        <w:rPr>
          <w:rFonts w:hint="eastAsia" w:ascii="仿宋_GB2312"/>
          <w:szCs w:val="28"/>
        </w:rPr>
        <w:t>依托市智慧养老信息平台，推进县域社区互联网与养老服务的深度融合，汇聚线上线下资源，精准对接需求与供给，为老年人提供“点菜式”智慧化养老服务。</w:t>
      </w:r>
    </w:p>
    <w:p w14:paraId="66015C7B">
      <w:pPr>
        <w:ind w:firstLine="643"/>
        <w:rPr>
          <w:rFonts w:ascii="仿宋_GB2312"/>
          <w:szCs w:val="28"/>
        </w:rPr>
      </w:pPr>
      <w:r>
        <w:rPr>
          <w:rFonts w:hint="eastAsia" w:hAnsiTheme="minorHAnsi"/>
          <w:b/>
          <w:bCs/>
          <w:szCs w:val="28"/>
        </w:rPr>
        <w:t>（6）探索“互联网+体育”建设。</w:t>
      </w:r>
      <w:r>
        <w:rPr>
          <w:rFonts w:hint="eastAsia" w:ascii="仿宋_GB2312"/>
          <w:szCs w:val="28"/>
        </w:rPr>
        <w:t>整合全县各类体育资源，探索建设体育场馆综合服务平台，打通平台与“善美村居”对接，充分发挥“善美村居”渠道效应，推动全县体育产业与用户连接，实现对体育设施资源的“一张图”管理，促进体育文化传播与交流。加强体育大数据分析服务，为体育主管部门、服务场馆经营决策者等提供精准的运营管理数据分析。</w:t>
      </w:r>
    </w:p>
    <w:p w14:paraId="2217D4D1">
      <w:pPr>
        <w:ind w:firstLine="643"/>
        <w:rPr>
          <w:rFonts w:hAnsiTheme="minorHAnsi"/>
          <w:szCs w:val="28"/>
        </w:rPr>
      </w:pPr>
      <w:r>
        <w:rPr>
          <w:rFonts w:hint="eastAsia" w:hAnsiTheme="minorHAnsi"/>
          <w:b/>
          <w:bCs/>
          <w:szCs w:val="28"/>
        </w:rPr>
        <w:t>（</w:t>
      </w:r>
      <w:r>
        <w:rPr>
          <w:rFonts w:hAnsiTheme="minorHAnsi"/>
          <w:b/>
          <w:bCs/>
          <w:szCs w:val="28"/>
        </w:rPr>
        <w:t>7</w:t>
      </w:r>
      <w:r>
        <w:rPr>
          <w:rFonts w:hint="eastAsia" w:hAnsiTheme="minorHAnsi"/>
          <w:b/>
          <w:bCs/>
          <w:szCs w:val="28"/>
        </w:rPr>
        <w:t>）推进数字农业基础建设。</w:t>
      </w:r>
      <w:r>
        <w:rPr>
          <w:rFonts w:hint="eastAsia" w:hAnsiTheme="minorHAnsi"/>
          <w:szCs w:val="28"/>
        </w:rPr>
        <w:t>加强涉农信息资源整合，建设“三农”发展数据库，逐步推动精准作业、智能控制、远程诊断、遥感监测、灾害预警、地理信息服务及物联网等现代信息技术在农业现代化建设中的应用。推动电子商务进农村、电子政务连农民、信息技术兴农业。建设完善网上农资农产品交易平台，发展农产品定制开发和直销运营的新模式。推进“互联网+”农产品出村进城工程，加快推进信息技术在农业产业链全过程的广泛应用，畅通农产品营销渠道。推进信息进村入户工程，全面完成信息进村入户工程县级运营中心和益农信息社建设工作。到2025年，海丰数字农业发展基础基本建立，有力支撑数字乡村战略实施。</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72D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85E8EC4">
            <w:pPr>
              <w:ind w:firstLine="560"/>
              <w:jc w:val="center"/>
              <w:rPr>
                <w:rFonts w:eastAsia="黑体" w:cs="Times New Roman"/>
                <w:sz w:val="28"/>
                <w:szCs w:val="28"/>
              </w:rPr>
            </w:pPr>
            <w:r>
              <w:rPr>
                <w:rFonts w:eastAsia="黑体" w:cs="Times New Roman"/>
                <w:sz w:val="28"/>
                <w:szCs w:val="28"/>
              </w:rPr>
              <w:t xml:space="preserve">专栏 </w:t>
            </w:r>
            <w:r>
              <w:rPr>
                <w:rFonts w:hint="eastAsia" w:eastAsia="黑体" w:cs="Times New Roman"/>
                <w:sz w:val="28"/>
                <w:szCs w:val="28"/>
              </w:rPr>
              <w:t>1</w:t>
            </w:r>
            <w:r>
              <w:rPr>
                <w:rFonts w:eastAsia="黑体" w:cs="Times New Roman"/>
                <w:sz w:val="28"/>
                <w:szCs w:val="28"/>
              </w:rPr>
              <w:t xml:space="preserve"> </w:t>
            </w:r>
            <w:r>
              <w:rPr>
                <w:rFonts w:hint="eastAsia" w:eastAsia="黑体" w:cs="Times New Roman"/>
                <w:sz w:val="28"/>
                <w:szCs w:val="28"/>
              </w:rPr>
              <w:t>“数字惠民”</w:t>
            </w:r>
            <w:r>
              <w:rPr>
                <w:rFonts w:eastAsia="黑体" w:cs="Times New Roman"/>
                <w:sz w:val="28"/>
                <w:szCs w:val="28"/>
              </w:rPr>
              <w:t>重点</w:t>
            </w:r>
            <w:r>
              <w:rPr>
                <w:rFonts w:hint="eastAsia" w:eastAsia="黑体" w:cs="Times New Roman"/>
                <w:sz w:val="28"/>
                <w:szCs w:val="28"/>
              </w:rPr>
              <w:t>项目</w:t>
            </w:r>
          </w:p>
        </w:tc>
      </w:tr>
      <w:tr w14:paraId="54A1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5CF3855">
            <w:pPr>
              <w:snapToGrid w:val="0"/>
              <w:ind w:firstLine="560"/>
              <w:rPr>
                <w:color w:val="0D0D0D"/>
                <w:sz w:val="28"/>
              </w:rPr>
            </w:pPr>
            <w:r>
              <w:rPr>
                <w:rFonts w:hint="eastAsia" w:eastAsia="楷体_GB2312"/>
                <w:color w:val="0D0D0D"/>
                <w:sz w:val="28"/>
              </w:rPr>
              <w:t>海丰县政务服务大厅建设项目</w:t>
            </w:r>
            <w:r>
              <w:rPr>
                <w:rFonts w:eastAsia="楷体_GB2312"/>
                <w:color w:val="0D0D0D"/>
                <w:sz w:val="28"/>
              </w:rPr>
              <w:t>。</w:t>
            </w:r>
            <w:r>
              <w:rPr>
                <w:rFonts w:hint="eastAsia"/>
                <w:color w:val="0D0D0D"/>
                <w:sz w:val="28"/>
              </w:rPr>
              <w:t>对标市市民服务广场，推进建设实用面积约</w:t>
            </w:r>
            <w:r>
              <w:rPr>
                <w:color w:val="0D0D0D"/>
                <w:sz w:val="28"/>
              </w:rPr>
              <w:t>2</w:t>
            </w:r>
            <w:r>
              <w:rPr>
                <w:rFonts w:hint="eastAsia"/>
                <w:color w:val="0D0D0D"/>
                <w:sz w:val="28"/>
              </w:rPr>
              <w:t>万平方米，兼顾政务服务中心、信息中心、公共资源交易中心、中介超市、实体大厅与网厅融合的智慧型标杆政务服务大厅。</w:t>
            </w:r>
          </w:p>
          <w:p w14:paraId="6869305D">
            <w:pPr>
              <w:snapToGrid w:val="0"/>
              <w:ind w:firstLine="560"/>
              <w:rPr>
                <w:color w:val="0D0D0D"/>
                <w:sz w:val="28"/>
              </w:rPr>
            </w:pPr>
            <w:r>
              <w:rPr>
                <w:rFonts w:hint="eastAsia" w:eastAsia="楷体_GB2312"/>
                <w:color w:val="0D0D0D"/>
                <w:sz w:val="28"/>
              </w:rPr>
              <w:t>海丰县政务服务优化提升项目。</w:t>
            </w:r>
            <w:r>
              <w:rPr>
                <w:rFonts w:hint="eastAsia"/>
                <w:color w:val="0D0D0D"/>
                <w:sz w:val="28"/>
              </w:rPr>
              <w:t>一是推进“一站式”便民服务，完成海丰县12个乡镇政务服务事项延伸支撑服务，实现就近能办、多点可办、少跑快办，推动网上政务服务向乡镇延伸。二是推动“无证明城市”相关事项证明材料清理、“无证明”事项上线实施、电子证照目录开通和发用证实施工作，全面提升海丰县政务服务能力，进一步拓展政务服务应用的广度和深度。</w:t>
            </w:r>
          </w:p>
          <w:p w14:paraId="4F4955DE">
            <w:pPr>
              <w:snapToGrid w:val="0"/>
              <w:ind w:firstLine="560"/>
              <w:rPr>
                <w:color w:val="0D0D0D"/>
                <w:sz w:val="28"/>
              </w:rPr>
            </w:pPr>
            <w:r>
              <w:rPr>
                <w:rFonts w:hint="eastAsia" w:eastAsia="楷体_GB2312"/>
                <w:color w:val="0D0D0D"/>
                <w:sz w:val="28"/>
              </w:rPr>
              <w:t>“政银合作”应用工程。</w:t>
            </w:r>
            <w:r>
              <w:rPr>
                <w:rFonts w:hint="eastAsia"/>
                <w:color w:val="0D0D0D"/>
                <w:sz w:val="28"/>
              </w:rPr>
              <w:t>加快完善银行网点微型政务服务平台，推进在基层政务服务站和市内欠发达地区投放智慧柜员机，提升各级政务服务中心的自助服务能力，延伸政务服务至镇、村、社区，打通政务服务最后一百米。</w:t>
            </w:r>
          </w:p>
          <w:p w14:paraId="3A16A46A">
            <w:pPr>
              <w:snapToGrid w:val="0"/>
              <w:ind w:firstLine="560"/>
              <w:rPr>
                <w:color w:val="0D0D0D"/>
                <w:sz w:val="28"/>
              </w:rPr>
            </w:pPr>
            <w:r>
              <w:rPr>
                <w:rFonts w:hint="eastAsia" w:eastAsia="楷体_GB2312"/>
                <w:color w:val="0D0D0D"/>
                <w:sz w:val="28"/>
              </w:rPr>
              <w:t>土地与矿业权网上挂牌交易系统升级改造。</w:t>
            </w:r>
            <w:r>
              <w:rPr>
                <w:rFonts w:hint="eastAsia"/>
                <w:color w:val="0D0D0D"/>
                <w:sz w:val="28"/>
              </w:rPr>
              <w:t>提升土地与矿业网上挂牌交易系统业务覆盖面，完善交易系统功能和流程，强化监督和监管。建立以应用性能为中心的管理机制，实现网络性能、应用性能分析预警、保障该核心系统的稳定、高效运转。</w:t>
            </w:r>
          </w:p>
          <w:p w14:paraId="1125B15E">
            <w:pPr>
              <w:snapToGrid w:val="0"/>
              <w:ind w:firstLine="560"/>
              <w:rPr>
                <w:rFonts w:eastAsia="楷体_GB2312"/>
                <w:color w:val="0D0D0D"/>
                <w:sz w:val="28"/>
              </w:rPr>
            </w:pPr>
            <w:r>
              <w:rPr>
                <w:rFonts w:hint="eastAsia" w:eastAsia="楷体_GB2312"/>
                <w:color w:val="0D0D0D"/>
                <w:sz w:val="28"/>
              </w:rPr>
              <w:t>“智慧医疗”建设项目。</w:t>
            </w:r>
            <w:r>
              <w:rPr>
                <w:rFonts w:hint="eastAsia"/>
                <w:color w:val="0D0D0D"/>
                <w:sz w:val="28"/>
              </w:rPr>
              <w:t>推进《三级综合医院等级评审标准》、《电子病历系统功能应用水平分级评价方法及标准（试行）》四级水平和《国家医疗健康信息医院信息互联互通标准化成熟度测评方案（2020年版）》考核工作，完成电子病历系统及相关系统改造，实现医院的统一数据管理，实现全院业务系统互联互通，为医疗决策提供支持。推进“互联网+医疗健康”建设，构建“线上+线下”一体化模式，实现诊前、诊中、诊后全流程“互联网+”医疗服务。依托云计算、大数据、物联网等相关新兴技术，推进医疗数据标准化、规范化治理工作，推广健康医疗临床和科研大数据应用，创新医疗大数据与人工智能融合，促进智慧医院建设向标准化、数字化、智能化方向融合发展。</w:t>
            </w:r>
          </w:p>
        </w:tc>
      </w:tr>
    </w:tbl>
    <w:p w14:paraId="07EEB135">
      <w:pPr>
        <w:pStyle w:val="3"/>
        <w:ind w:left="0" w:firstLine="720" w:firstLineChars="200"/>
      </w:pPr>
      <w:bookmarkStart w:id="78" w:name="_Toc93501141"/>
      <w:r>
        <w:rPr>
          <w:rFonts w:hint="eastAsia"/>
        </w:rPr>
        <w:t>聚焦数字慧治，推进高效能社会治理走在全市前列</w:t>
      </w:r>
      <w:bookmarkEnd w:id="78"/>
    </w:p>
    <w:p w14:paraId="3A90D0B3">
      <w:pPr>
        <w:ind w:firstLine="640"/>
        <w:rPr>
          <w:rFonts w:ascii="仿宋_GB2312"/>
        </w:rPr>
      </w:pPr>
      <w:r>
        <w:rPr>
          <w:rFonts w:hint="eastAsia" w:ascii="仿宋_GB2312"/>
        </w:rPr>
        <w:t>以创新“高效处置一件事”治理机制为基础，市“民情地图”为依托，加快构建县域治理“一网统管”体系，通过建设或应用“智慧警务”、“智能交通”、“智慧消防”、“智慧水利”、“智慧环保”等智能化工具，全方位赋能社会管理、基层治理、生态治理等领域，打造县域治理新格局，推进高效能社会治理走在全市前列。</w:t>
      </w:r>
    </w:p>
    <w:p w14:paraId="2E41FBB3">
      <w:pPr>
        <w:pStyle w:val="4"/>
        <w:ind w:firstLine="643"/>
      </w:pPr>
      <w:r>
        <w:rPr>
          <w:rFonts w:hint="eastAsia"/>
        </w:rPr>
        <w:t>提升社会治理精细智能</w:t>
      </w:r>
    </w:p>
    <w:p w14:paraId="7C3E3AC3">
      <w:pPr>
        <w:ind w:firstLine="643"/>
      </w:pPr>
      <w:bookmarkStart w:id="79" w:name="_Toc70495379"/>
      <w:r>
        <w:rPr>
          <w:rFonts w:hint="eastAsia"/>
          <w:b/>
          <w:bCs/>
        </w:rPr>
        <w:t>（1）构建“一网统管”治理机制。</w:t>
      </w:r>
      <w:r>
        <w:rPr>
          <w:rFonts w:hint="eastAsia"/>
        </w:rPr>
        <w:t>依据民情地图“大数据+网格化+群众路线”工作机制，健全“民情地图”联勤指挥体系。通过专班协调、机制保障等方式，确保民情地图联勤指挥体系常态化稳定运行，助力“一网统管”落实到县、镇、村，实现数据高效共享、社会治理事件及时处置，社会治理迈向共建共享共治新局面。</w:t>
      </w:r>
    </w:p>
    <w:p w14:paraId="4FBF8362">
      <w:pPr>
        <w:ind w:firstLine="643"/>
      </w:pPr>
      <w:r>
        <w:rPr>
          <w:rFonts w:hint="eastAsia"/>
          <w:b/>
          <w:bCs/>
        </w:rPr>
        <w:t>（2）完善三级网格化服务管理体系</w:t>
      </w:r>
      <w:r>
        <w:rPr>
          <w:rFonts w:hint="eastAsia"/>
        </w:rPr>
        <w:t>。以党建为统领，以“民情地图”为载体，进一步完善镇村组三级基层治理网格化、智慧化管理架构，进一步优化网格人员管理水平，优化人员薪资配比，促进网格员从兼职到专职转化，提升网格人员专业化水平，打造共治、自治、法治、德治、善治“五治一体”的基层治理新模式，形成横向到边、纵向到底的“田”字型基层社会治理新格局，全面提升基层社会治理效能。</w:t>
      </w:r>
    </w:p>
    <w:p w14:paraId="2B553033">
      <w:pPr>
        <w:ind w:firstLine="643"/>
        <w:rPr>
          <w:rFonts w:ascii="仿宋_GB2312"/>
        </w:rPr>
      </w:pPr>
      <w:r>
        <w:rPr>
          <w:rFonts w:hint="eastAsia"/>
          <w:b/>
          <w:bCs/>
        </w:rPr>
        <w:t>（3）大力推广“民情地图”应用</w:t>
      </w:r>
      <w:r>
        <w:rPr>
          <w:rFonts w:hint="eastAsia"/>
        </w:rPr>
        <w:t>。</w:t>
      </w:r>
      <w:r>
        <w:rPr>
          <w:rFonts w:hint="eastAsia" w:ascii="仿宋_GB2312"/>
          <w:szCs w:val="28"/>
        </w:rPr>
        <w:t>全面推广“民情地图”</w:t>
      </w:r>
      <w:r>
        <w:rPr>
          <w:rFonts w:hint="eastAsia" w:ascii="仿宋_GB2312" w:cs="Times New Roman"/>
          <w:lang w:eastAsia="zh-Hans"/>
        </w:rPr>
        <w:t>一体化</w:t>
      </w:r>
      <w:r>
        <w:rPr>
          <w:rFonts w:hint="eastAsia" w:ascii="仿宋_GB2312"/>
          <w:szCs w:val="28"/>
        </w:rPr>
        <w:t>平台，依托“民情地图”业务场景和专题，</w:t>
      </w:r>
      <w:r>
        <w:rPr>
          <w:rFonts w:hint="eastAsia" w:ascii="仿宋_GB2312" w:cs="Times New Roman"/>
          <w:szCs w:val="32"/>
        </w:rPr>
        <w:t>提升县域治理的态势感知、分析研判及指挥联动能力</w:t>
      </w:r>
      <w:r>
        <w:rPr>
          <w:rFonts w:hint="eastAsia" w:ascii="仿宋_GB2312"/>
        </w:rPr>
        <w:t>。同时围绕政府五大职能和九个重点领域，以需求为导向，探索建设符合海丰特色的专属应用场景，推进“民情地图”与我县社会治理工作深度融合，推动县域治理数字化转型。</w:t>
      </w:r>
    </w:p>
    <w:bookmarkEnd w:id="79"/>
    <w:p w14:paraId="3C118C82">
      <w:pPr>
        <w:ind w:firstLine="643"/>
        <w:rPr>
          <w:rFonts w:hAnsiTheme="minorHAnsi"/>
          <w:szCs w:val="28"/>
        </w:rPr>
      </w:pPr>
      <w:r>
        <w:rPr>
          <w:rFonts w:hint="eastAsia" w:hAnsiTheme="minorHAnsi"/>
          <w:b/>
          <w:bCs/>
          <w:szCs w:val="28"/>
        </w:rPr>
        <w:t>（</w:t>
      </w:r>
      <w:r>
        <w:rPr>
          <w:rFonts w:hAnsiTheme="minorHAnsi"/>
          <w:b/>
          <w:bCs/>
          <w:szCs w:val="28"/>
        </w:rPr>
        <w:t>4</w:t>
      </w:r>
      <w:r>
        <w:rPr>
          <w:rFonts w:hint="eastAsia" w:hAnsiTheme="minorHAnsi"/>
          <w:b/>
          <w:bCs/>
          <w:szCs w:val="28"/>
        </w:rPr>
        <w:t>）推进“智慧警务”建设。</w:t>
      </w:r>
      <w:r>
        <w:rPr>
          <w:rFonts w:hint="eastAsia"/>
          <w:szCs w:val="36"/>
        </w:rPr>
        <w:t>依托省市公安大数据平台能力，积极推进大数据技术与安保、涉稳、刑事警情、涉警舆情、毒品犯罪、走私偷渡等业务场景应用融合，推进新一代智慧警务体系建设，推动“警</w:t>
      </w:r>
      <w:r>
        <w:rPr>
          <w:rFonts w:hint="eastAsia"/>
        </w:rPr>
        <w:t>务数字化”向“数字化警务”转变</w:t>
      </w:r>
      <w:r>
        <w:rPr>
          <w:rFonts w:hint="eastAsia"/>
          <w:szCs w:val="36"/>
        </w:rPr>
        <w:t>。落实一体化合成作战工作部署，提升同层级情报、指挥、勤务、舆情等多部门的合成作战能力，打造横向到边、纵向到底、全闭环的数字化警务管理体系。加快推</w:t>
      </w:r>
      <w:r>
        <w:rPr>
          <w:rFonts w:hint="eastAsia" w:hAnsiTheme="minorHAnsi"/>
          <w:szCs w:val="28"/>
        </w:rPr>
        <w:t>进物联感知、基础设施、支撑平台等三大基础设施能力升级建设，实现对“人、地、事、物、组织、警力”等各类要素进行全链条、立体化治理。加快推广国家反诈中心APP，通过规模化、多维度、系统性的宣传体系，全力提高人民群众防骗识骗能力。</w:t>
      </w:r>
    </w:p>
    <w:p w14:paraId="181E1DEA">
      <w:pPr>
        <w:ind w:firstLine="643"/>
        <w:rPr>
          <w:rFonts w:hAnsiTheme="minorHAnsi"/>
          <w:szCs w:val="28"/>
        </w:rPr>
      </w:pPr>
      <w:r>
        <w:rPr>
          <w:rFonts w:hint="eastAsia"/>
          <w:b/>
          <w:bCs/>
        </w:rPr>
        <w:t>（</w:t>
      </w:r>
      <w:r>
        <w:rPr>
          <w:b/>
          <w:bCs/>
        </w:rPr>
        <w:t>5</w:t>
      </w:r>
      <w:r>
        <w:rPr>
          <w:rFonts w:hint="eastAsia"/>
          <w:b/>
          <w:bCs/>
        </w:rPr>
        <w:t>）推进“智慧交通”建设。</w:t>
      </w:r>
      <w:r>
        <w:rPr>
          <w:rFonts w:hint="eastAsia"/>
        </w:rPr>
        <w:t>依托</w:t>
      </w:r>
      <w:r>
        <w:t>汕尾市智慧交通管理系统</w:t>
      </w:r>
      <w:r>
        <w:rPr>
          <w:rFonts w:hint="eastAsia"/>
        </w:rPr>
        <w:t>，</w:t>
      </w:r>
      <w:r>
        <w:rPr>
          <w:rFonts w:hint="eastAsia" w:hAnsiTheme="minorHAnsi"/>
          <w:szCs w:val="28"/>
        </w:rPr>
        <w:t>建立“互联网+智慧交通”服务体系，为群众提供路况感知、出行路线定制等服务，切实满足群众多样化出行需求。整合多层次交通信息数据，对交通数据和运行态势进行深度分析，加强智能视频巡查道路交通事件应用，融合交通状况信息数据，实现城市综合交通运行融合指挥。利用高清电子警察、“违停球”等</w:t>
      </w:r>
      <w:r>
        <w:t>前端感知设备</w:t>
      </w:r>
      <w:r>
        <w:rPr>
          <w:rFonts w:hint="eastAsia" w:hAnsiTheme="minorHAnsi"/>
          <w:szCs w:val="28"/>
        </w:rPr>
        <w:t>，在县内重点节点、重点路段进行智能监测、查处，实现停车秩序整顿智能化。</w:t>
      </w:r>
    </w:p>
    <w:p w14:paraId="45672007">
      <w:pPr>
        <w:ind w:firstLine="643"/>
        <w:rPr>
          <w:rFonts w:hAnsiTheme="minorHAnsi"/>
          <w:szCs w:val="28"/>
        </w:rPr>
      </w:pPr>
      <w:r>
        <w:rPr>
          <w:rFonts w:hint="eastAsia"/>
          <w:b/>
          <w:bCs/>
        </w:rPr>
        <w:t>（</w:t>
      </w:r>
      <w:r>
        <w:rPr>
          <w:b/>
          <w:bCs/>
        </w:rPr>
        <w:t>6</w:t>
      </w:r>
      <w:r>
        <w:rPr>
          <w:rFonts w:hint="eastAsia"/>
          <w:b/>
          <w:bCs/>
        </w:rPr>
        <w:t>）推进“智慧住建”建设。</w:t>
      </w:r>
      <w:r>
        <w:rPr>
          <w:rFonts w:hint="eastAsia"/>
        </w:rPr>
        <w:t>充分依托市“智慧住建”体系及平台，探索建设我县可视化“智慧工地”监管系统，实时记录施工过程中现场各类监测数据，提供数据追溯服务，为事故处理提供有效证据，有效提升监管水平。积极推进“智慧停车”建设，</w:t>
      </w:r>
      <w:r>
        <w:rPr>
          <w:rFonts w:hint="eastAsia" w:hAnsiTheme="minorHAnsi"/>
          <w:szCs w:val="28"/>
        </w:rPr>
        <w:t>通过投入物联感知设备、基础设施遥感改造、建设智慧支撑平台，搭建我县“智慧停车”管理体系，实现</w:t>
      </w:r>
      <w:r>
        <w:rPr>
          <w:rFonts w:hint="eastAsia"/>
        </w:rPr>
        <w:t>智能停车引导、停车位推荐、查找等服务，解决群众停车难问题。积极</w:t>
      </w:r>
      <w:r>
        <w:rPr>
          <w:rFonts w:hint="eastAsia" w:hAnsiTheme="minorHAnsi"/>
          <w:szCs w:val="28"/>
        </w:rPr>
        <w:t>探索搭建、供水、排水、燃气管网等设施感知网络，提升城市地下市政基础设施管理数字化水平。</w:t>
      </w:r>
    </w:p>
    <w:p w14:paraId="33147EDE">
      <w:pPr>
        <w:ind w:firstLine="643"/>
      </w:pPr>
      <w:r>
        <w:rPr>
          <w:rFonts w:hint="eastAsia"/>
          <w:b/>
          <w:bCs/>
        </w:rPr>
        <w:t>（</w:t>
      </w:r>
      <w:r>
        <w:rPr>
          <w:b/>
          <w:bCs/>
        </w:rPr>
        <w:t>7</w:t>
      </w:r>
      <w:r>
        <w:rPr>
          <w:rFonts w:hint="eastAsia"/>
          <w:b/>
          <w:bCs/>
        </w:rPr>
        <w:t>）推进“智慧消防”建设。</w:t>
      </w:r>
      <w:r>
        <w:rPr>
          <w:rFonts w:hint="eastAsia"/>
        </w:rPr>
        <w:t>依托省市消防信息化新型架构，构建我县智慧化消防创新性作战体系，升级改造海丰县消防救援大队指挥中心，连接城市道路交通、气象、地震等工作平台，加快推进物联网及5G通信技术应用，通过“三步走”实现全县所有重点单位、歌舞娱乐场所、物业小区的城市远程监控安装全覆盖，实现信息实时汇聚，动态分析、自动预警。依托市“民情地图”消防主题，充分汇聚整合各类关键要素数据，实现消防救援人员、消防车辆、消防装备、消防水源等各类资源的实时智能化调度，及时发现灾情风险，尽早消除灾情隐患。</w:t>
      </w:r>
    </w:p>
    <w:p w14:paraId="2EDD16EE">
      <w:pPr>
        <w:ind w:firstLine="643"/>
        <w:rPr>
          <w:color w:val="0D0D0D"/>
        </w:rPr>
      </w:pPr>
      <w:r>
        <w:rPr>
          <w:rFonts w:hint="eastAsia" w:ascii="仿宋_GB2312"/>
          <w:b/>
          <w:bCs/>
          <w:szCs w:val="32"/>
        </w:rPr>
        <w:t>（</w:t>
      </w:r>
      <w:r>
        <w:rPr>
          <w:rFonts w:ascii="仿宋_GB2312"/>
          <w:b/>
          <w:bCs/>
          <w:szCs w:val="32"/>
        </w:rPr>
        <w:t>8</w:t>
      </w:r>
      <w:r>
        <w:rPr>
          <w:rFonts w:hint="eastAsia" w:ascii="仿宋_GB2312"/>
          <w:b/>
          <w:bCs/>
          <w:szCs w:val="32"/>
        </w:rPr>
        <w:t>）推进“智慧应急”建设。</w:t>
      </w:r>
      <w:r>
        <w:rPr>
          <w:rFonts w:hint="eastAsia" w:ascii="仿宋_GB2312"/>
          <w:szCs w:val="32"/>
        </w:rPr>
        <w:t>依托省市</w:t>
      </w:r>
      <w:r>
        <w:rPr>
          <w:rFonts w:hint="eastAsia"/>
        </w:rPr>
        <w:t>“智慧应急”管理体系，加快部署</w:t>
      </w:r>
      <w:r>
        <w:rPr>
          <w:rFonts w:hint="eastAsia"/>
          <w:color w:val="0D0D0D"/>
        </w:rPr>
        <w:t>前端感知检测设备、夯实应急指挥网络建设，实现突发事件统一接报、指令下达、作战指挥、应急物资调配，全面提升城市应急快速响应、动态管控、联动处置水平。依托市应急管理“一张图”工程，实现应急预测、预警预报的“一图掌控”。推进乡镇应急管理机构标准化建设、社村应急综合服务站点标准化建设，推进基层应急管理能力示范建设。</w:t>
      </w:r>
    </w:p>
    <w:p w14:paraId="351109F8">
      <w:pPr>
        <w:pStyle w:val="4"/>
        <w:ind w:firstLine="643"/>
      </w:pPr>
      <w:r>
        <w:rPr>
          <w:rFonts w:hint="eastAsia"/>
        </w:rPr>
        <w:t>促进市场治理多元高效</w:t>
      </w:r>
    </w:p>
    <w:p w14:paraId="39A99786">
      <w:pPr>
        <w:ind w:firstLine="643"/>
        <w:rPr>
          <w:rFonts w:ascii="仿宋_GB2312"/>
          <w:szCs w:val="32"/>
        </w:rPr>
      </w:pPr>
      <w:r>
        <w:rPr>
          <w:rFonts w:hint="eastAsia"/>
          <w:b/>
          <w:bCs/>
        </w:rPr>
        <w:t>（1）完善多元化监管方式。</w:t>
      </w:r>
      <w:r>
        <w:rPr>
          <w:rFonts w:hint="eastAsia"/>
        </w:rPr>
        <w:t>围绕“测、报、防、查”市场监管全链条，深入推进“互联网+监管”应用，推进“双随机、一公开”监管，全面保障人民食品、药品、特种设备和产品质量安全。大力推广使用“信用汕尾”平台，推进信用分级分类监管，健全以信用为基础的新型监管模式。</w:t>
      </w:r>
    </w:p>
    <w:p w14:paraId="3820064F">
      <w:pPr>
        <w:ind w:firstLine="643"/>
      </w:pPr>
      <w:r>
        <w:rPr>
          <w:rFonts w:hint="eastAsia"/>
          <w:b/>
          <w:bCs/>
        </w:rPr>
        <w:t>（2）完善知识产权保护能力。</w:t>
      </w:r>
      <w:r>
        <w:rPr>
          <w:rFonts w:hint="eastAsia"/>
        </w:rPr>
        <w:t>依托省市统一部署计划，以数据为核心，扩展知识产权数据资源规模和渠道，完善知识产权“保护-运营-服务”全链条数字化建设，强化数据资源管理和应用创新。充分利用信息技术手段，进一步深化知识产权维权援助工作。</w:t>
      </w:r>
    </w:p>
    <w:p w14:paraId="43B0E36F">
      <w:pPr>
        <w:ind w:firstLine="643"/>
      </w:pPr>
      <w:r>
        <w:rPr>
          <w:rFonts w:hint="eastAsia"/>
          <w:b/>
          <w:bCs/>
        </w:rPr>
        <w:t>（3）完善食品药品监管能力。</w:t>
      </w:r>
      <w:r>
        <w:rPr>
          <w:rFonts w:hint="eastAsia"/>
        </w:rPr>
        <w:t>推进“互联网+食品安全”监管，建设生产可监控、来源可追溯、去向可查证、责任可追究的农产品食品安全追溯平台，提高生产者、经营者的责任意识和食品安全保障能力。持续推进“明厨亮灶”工程建设，实现对后厨加工、烹饪、仓储、清洗消毒等重点领域监管“透明化”、“可视化”，提升餐饮食品安全监管便捷性和保障水平，确保餐饮食品安全。</w:t>
      </w:r>
    </w:p>
    <w:p w14:paraId="4D1F8F86">
      <w:pPr>
        <w:ind w:firstLine="643"/>
        <w:rPr>
          <w:rFonts w:ascii="仿宋_GB2312"/>
          <w:szCs w:val="32"/>
        </w:rPr>
      </w:pPr>
      <w:r>
        <w:rPr>
          <w:rFonts w:hint="eastAsia"/>
          <w:b/>
          <w:bCs/>
        </w:rPr>
        <w:t>（4）完善安全生产监管能力。</w:t>
      </w:r>
      <w:r>
        <w:rPr>
          <w:rFonts w:hint="eastAsia"/>
        </w:rPr>
        <w:t xml:space="preserve"> 依托</w:t>
      </w:r>
      <w:r>
        <w:rPr>
          <w:rFonts w:hint="eastAsia" w:ascii="仿宋_GB2312"/>
          <w:szCs w:val="32"/>
        </w:rPr>
        <w:t>市智慧市场监管运行中心建设，打通各部门间监管信息壁垒，全量归集市场监管信息，实现预防为主、风险管理、全程共治的全域、全量、全程、全态、全景的监管目标。</w:t>
      </w:r>
      <w:r>
        <w:rPr>
          <w:rFonts w:hint="eastAsia" w:ascii="仿宋_GB2312" w:hAnsi="仿宋" w:cs="仿宋"/>
          <w:szCs w:val="32"/>
        </w:rPr>
        <w:t>深入推进“互联网+监管”应用，推行“双随机、一公开”监管机制，利用“粤监管”移动执法系统，加强食品药品、安全生产等重点领域监管，实现行业监管事项清单梳理完成率、监管信息归集率、投诉举报处理率、协同监管响应率四个</w:t>
      </w:r>
      <w:r>
        <w:rPr>
          <w:rFonts w:hint="eastAsia" w:ascii="仿宋_GB2312" w:cs="Times New Roman"/>
          <w:szCs w:val="32"/>
        </w:rPr>
        <w:t>100%</w:t>
      </w:r>
      <w:r>
        <w:rPr>
          <w:rFonts w:hint="eastAsia" w:ascii="仿宋_GB2312" w:hAnsi="仿宋" w:cs="仿宋"/>
          <w:szCs w:val="32"/>
        </w:rPr>
        <w:t>。</w:t>
      </w:r>
      <w:r>
        <w:rPr>
          <w:rFonts w:hint="eastAsia" w:ascii="仿宋_GB2312"/>
          <w:szCs w:val="32"/>
        </w:rPr>
        <w:t>加快推进行政执法“两平台”应用，推进与省级平台衔接工作。对新产业、新业态实行包容审慎监管，在部分领域实行柔性监管、智慧监管等，积极探索“沙盒监管”、触发式监管等包容审慎监管试点。</w:t>
      </w:r>
    </w:p>
    <w:p w14:paraId="1B259503">
      <w:pPr>
        <w:pStyle w:val="4"/>
        <w:ind w:firstLine="643"/>
      </w:pPr>
      <w:r>
        <w:rPr>
          <w:rFonts w:hint="eastAsia"/>
        </w:rPr>
        <w:t>实现生态治理精准科学</w:t>
      </w:r>
    </w:p>
    <w:p w14:paraId="2519670B">
      <w:pPr>
        <w:ind w:firstLine="643"/>
      </w:pPr>
      <w:r>
        <w:rPr>
          <w:rFonts w:hint="eastAsia"/>
          <w:b/>
          <w:bCs/>
        </w:rPr>
        <w:t>（1）推进“智慧环保”应用。</w:t>
      </w:r>
      <w:r>
        <w:rPr>
          <w:rFonts w:hint="eastAsia"/>
        </w:rPr>
        <w:t>依托市生态环境监测系统，加快部署前端感知设备，实现对重点区域大气、水、土壤、固废、噪声、尾气等实时监测与预警。以污染源全生命周期监管为主线，依托市环保大数据综合监管平台及市政务大数据中心能力，融合环境监测数据资源，开展环境大数据分析应用，实现环境监管、环境预测和生态科学决策智能化。</w:t>
      </w:r>
    </w:p>
    <w:p w14:paraId="71DBDE22">
      <w:pPr>
        <w:ind w:firstLine="643"/>
      </w:pPr>
      <w:r>
        <w:rPr>
          <w:rFonts w:hint="eastAsia"/>
          <w:b/>
          <w:bCs/>
        </w:rPr>
        <w:t>（2）推进“智慧水利”应用。</w:t>
      </w:r>
      <w:r>
        <w:rPr>
          <w:rFonts w:hint="eastAsia"/>
        </w:rPr>
        <w:t>依托市水利大数据平台，结合省市工作部署，与有关单位共同推进5G网络，水质监测仪、雷达、水位计等智能设备应用，全面开展水情、雨情、安全监测、天气状况、出入库流量等多角度数据采集汇聚，建立数据分析模型，为水务管理调度运行和管理</w:t>
      </w:r>
      <w:r>
        <w:t>提供数据化、智能化决策支撑</w:t>
      </w:r>
      <w:r>
        <w:rPr>
          <w:rFonts w:hint="eastAsia"/>
        </w:rPr>
        <w:t>。依托省市</w:t>
      </w:r>
      <w:r>
        <w:t>“互联网+河（库）长制”</w:t>
      </w:r>
      <w:r>
        <w:rPr>
          <w:rFonts w:hint="eastAsia"/>
        </w:rPr>
        <w:t>信息化系统，健全河湖长制工作机制，建立跨行政区域、跨流域河道的治理和管护等“共治共防”联动机制。</w:t>
      </w:r>
    </w:p>
    <w:p w14:paraId="74F0B6F9">
      <w:pPr>
        <w:ind w:firstLine="643"/>
        <w:rPr>
          <w:rFonts w:ascii="仿宋_GB2312"/>
        </w:rPr>
      </w:pPr>
      <w:r>
        <w:rPr>
          <w:rFonts w:hint="eastAsia"/>
          <w:b/>
          <w:bCs/>
        </w:rPr>
        <w:t>（3）推进“智慧林业”应用。</w:t>
      </w:r>
      <w:r>
        <w:rPr>
          <w:rFonts w:hint="eastAsia"/>
        </w:rPr>
        <w:t>推广市“林业综合管理平台和林业监测数据管理平台”，</w:t>
      </w:r>
      <w:r>
        <w:rPr>
          <w:rFonts w:hint="eastAsia" w:ascii="仿宋_GB2312"/>
        </w:rPr>
        <w:t>助力我县林业资源管理数字化转型，推动林业信息资源和数据的共享，提高林业资源管理水平和决策能力，保障海丰县森林生态的健康稳定发展。</w:t>
      </w:r>
    </w:p>
    <w:p w14:paraId="0AB424AB">
      <w:pPr>
        <w:ind w:firstLine="643"/>
        <w:rPr>
          <w:lang w:eastAsia="zh-Hans"/>
        </w:rPr>
      </w:pPr>
      <w:r>
        <w:rPr>
          <w:rFonts w:hint="eastAsia"/>
          <w:b/>
          <w:bCs/>
          <w:lang w:eastAsia="zh-Hans"/>
        </w:rPr>
        <w:t>（</w:t>
      </w:r>
      <w:r>
        <w:rPr>
          <w:rFonts w:hint="eastAsia"/>
          <w:b/>
          <w:bCs/>
        </w:rPr>
        <w:t>4</w:t>
      </w:r>
      <w:r>
        <w:rPr>
          <w:rFonts w:hint="eastAsia"/>
          <w:b/>
          <w:bCs/>
          <w:lang w:eastAsia="zh-Hans"/>
        </w:rPr>
        <w:t>）推进“智慧气象”应用。</w:t>
      </w:r>
      <w:r>
        <w:rPr>
          <w:rFonts w:hint="eastAsia"/>
          <w:lang w:eastAsia="zh-Hans"/>
        </w:rPr>
        <w:t>依托市 “智慧气象”综合防灾减灾保障体系，充分利用5G、云技术、物联网等技术手段，推进气象雷达和气象自动站组网建设，提升气象监测预报预警服务能力。深化气象与交警、交通、环保、林业等部门协同发展，增强生态领域的数据交互和实时联动，形成气象影响预报、灾害风险预警、应急预案响应等灾害防御全链条闭环，防范化解因雨、雪、雾等恶劣天气带来的不利影响。</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68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A74F3A1">
            <w:pPr>
              <w:ind w:firstLine="560"/>
              <w:jc w:val="center"/>
              <w:rPr>
                <w:rFonts w:eastAsia="黑体" w:cs="Times New Roman"/>
                <w:sz w:val="28"/>
                <w:szCs w:val="28"/>
              </w:rPr>
            </w:pPr>
            <w:r>
              <w:rPr>
                <w:rFonts w:eastAsia="黑体" w:cs="Times New Roman"/>
                <w:sz w:val="28"/>
                <w:szCs w:val="28"/>
              </w:rPr>
              <w:t xml:space="preserve">专栏 2 </w:t>
            </w:r>
            <w:r>
              <w:rPr>
                <w:rFonts w:hint="eastAsia" w:eastAsia="黑体" w:cs="Times New Roman"/>
                <w:sz w:val="28"/>
                <w:szCs w:val="28"/>
              </w:rPr>
              <w:t>聚焦“数字慧治”</w:t>
            </w:r>
            <w:r>
              <w:rPr>
                <w:rFonts w:eastAsia="黑体" w:cs="Times New Roman"/>
                <w:sz w:val="28"/>
                <w:szCs w:val="28"/>
              </w:rPr>
              <w:t>重点</w:t>
            </w:r>
            <w:r>
              <w:rPr>
                <w:rFonts w:hint="eastAsia" w:eastAsia="黑体" w:cs="Times New Roman"/>
                <w:sz w:val="28"/>
                <w:szCs w:val="28"/>
              </w:rPr>
              <w:t>项目</w:t>
            </w:r>
          </w:p>
        </w:tc>
      </w:tr>
      <w:tr w14:paraId="4246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22B9C83">
            <w:pPr>
              <w:snapToGrid w:val="0"/>
              <w:ind w:firstLine="562"/>
              <w:rPr>
                <w:rFonts w:ascii="仿宋" w:hAnsi="仿宋" w:eastAsia="仿宋" w:cs="仿宋"/>
                <w:bCs/>
                <w:sz w:val="28"/>
                <w:szCs w:val="28"/>
              </w:rPr>
            </w:pPr>
            <w:r>
              <w:rPr>
                <w:rFonts w:hint="eastAsia" w:ascii="仿宋" w:hAnsi="仿宋" w:eastAsia="仿宋" w:cs="仿宋"/>
                <w:b/>
                <w:bCs/>
                <w:kern w:val="0"/>
                <w:sz w:val="28"/>
                <w:szCs w:val="28"/>
              </w:rPr>
              <w:t>“平安海丰”社会视频监控系统及卡口运维建设（一期）项目</w:t>
            </w:r>
            <w:r>
              <w:rPr>
                <w:rFonts w:hint="eastAsia" w:ascii="仿宋" w:hAnsi="仿宋" w:eastAsia="仿宋" w:cs="仿宋"/>
                <w:kern w:val="0"/>
                <w:sz w:val="28"/>
                <w:szCs w:val="28"/>
              </w:rPr>
              <w:t>。结合</w:t>
            </w:r>
            <w:r>
              <w:rPr>
                <w:rFonts w:hint="eastAsia" w:ascii="仿宋" w:hAnsi="仿宋" w:eastAsia="仿宋" w:cs="仿宋"/>
                <w:bCs/>
                <w:sz w:val="28"/>
                <w:szCs w:val="28"/>
              </w:rPr>
              <w:t>“平安海丰”社会视频监控系统及卡口运维建设（一期）项目服务到期情况，重新采购三年包括网络、取电、设备损坏更换及故障处理在内的运维服务项目。</w:t>
            </w:r>
          </w:p>
          <w:p w14:paraId="242740BD">
            <w:pPr>
              <w:snapToGrid w:val="0"/>
              <w:ind w:firstLine="560"/>
              <w:rPr>
                <w:rFonts w:eastAsia="楷体_GB2312"/>
                <w:color w:val="0D0D0D"/>
                <w:sz w:val="28"/>
              </w:rPr>
            </w:pPr>
            <w:r>
              <w:rPr>
                <w:rFonts w:hint="eastAsia" w:eastAsia="楷体_GB2312"/>
                <w:color w:val="0D0D0D"/>
                <w:sz w:val="28"/>
              </w:rPr>
              <w:t>海丰县中心城区综合交通整治提升及智能交通建设总体规划。</w:t>
            </w:r>
            <w:r>
              <w:rPr>
                <w:rFonts w:hint="eastAsia" w:ascii="仿宋" w:hAnsi="仿宋" w:eastAsia="仿宋" w:cs="仿宋"/>
                <w:bCs/>
                <w:sz w:val="28"/>
                <w:szCs w:val="28"/>
              </w:rPr>
              <w:t>根据海丰道路交通现状，聘请专业第三方团队针对如中心城区道路综合交通整治提升研究、智能交通管理系统规划以及重点区域交通改善方案三个方面提出我县智能交通建设总体规划。</w:t>
            </w:r>
          </w:p>
          <w:p w14:paraId="642B362B">
            <w:pPr>
              <w:snapToGrid w:val="0"/>
              <w:ind w:firstLine="560"/>
              <w:rPr>
                <w:color w:val="0D0D0D"/>
                <w:sz w:val="28"/>
              </w:rPr>
            </w:pPr>
            <w:r>
              <w:rPr>
                <w:rFonts w:hint="eastAsia" w:eastAsia="楷体_GB2312"/>
                <w:color w:val="0D0D0D"/>
                <w:sz w:val="28"/>
              </w:rPr>
              <w:t>重点交通气象站建设项目。</w:t>
            </w:r>
            <w:r>
              <w:rPr>
                <w:rFonts w:hint="eastAsia"/>
                <w:color w:val="0D0D0D"/>
                <w:sz w:val="28"/>
              </w:rPr>
              <w:t>在潮莞高速海丰服务区内建设重点交通气象站，通过</w:t>
            </w:r>
            <w:r>
              <w:rPr>
                <w:color w:val="0D0D0D"/>
                <w:sz w:val="28"/>
              </w:rPr>
              <w:t>气象监测预警与公安交管应急处置互通融合机制</w:t>
            </w:r>
            <w:r>
              <w:rPr>
                <w:rFonts w:hint="eastAsia"/>
                <w:color w:val="0D0D0D"/>
                <w:sz w:val="28"/>
              </w:rPr>
              <w:t>，针对浓雾、雨雪冰冻等恶劣天气高影响隐患路段，形成恶劣天气监测、预警、管控、发布、处置、反馈、评估等管理工作闭环，有效防范化解雨、雪、雾等恶劣天气对交通出行带来的不利影响，减少和避免因恶劣天气引发的道路交通事故。</w:t>
            </w:r>
          </w:p>
          <w:p w14:paraId="160AEC70">
            <w:pPr>
              <w:snapToGrid w:val="0"/>
              <w:ind w:firstLine="560"/>
              <w:rPr>
                <w:rFonts w:eastAsia="楷体_GB2312"/>
                <w:color w:val="0D0D0D"/>
                <w:sz w:val="28"/>
              </w:rPr>
            </w:pPr>
            <w:r>
              <w:rPr>
                <w:rFonts w:hint="eastAsia" w:eastAsia="楷体_GB2312"/>
                <w:color w:val="0D0D0D"/>
                <w:sz w:val="28"/>
              </w:rPr>
              <w:t>“智慧消防”项目。</w:t>
            </w:r>
            <w:r>
              <w:rPr>
                <w:rFonts w:hint="eastAsia"/>
                <w:color w:val="0D0D0D"/>
                <w:sz w:val="28"/>
              </w:rPr>
              <w:t>纵深推进“智慧消防”建设，依托省市消防信息化新型架构，构建我县智慧化消防创新性作战指挥体系。加快推进物联网及5G通信技术应用，建成及升级大队级指挥中心，在辖区内应用远程监控系统，接入城市道路交通、气象、地震等数据，实现信息实时汇聚、动态分析、自动预警。依托市“民情地图”，充分汇聚整合综治等各类数据，实现消防救援人员、车辆、装备、水源等各类资源的实时智能化调度，及时发现灾情风险和消防火灾隐患。</w:t>
            </w:r>
          </w:p>
          <w:p w14:paraId="02F8278F">
            <w:pPr>
              <w:pStyle w:val="15"/>
              <w:kinsoku w:val="0"/>
              <w:overflowPunct w:val="0"/>
              <w:spacing w:before="34" w:after="0" w:line="355" w:lineRule="auto"/>
              <w:ind w:right="32" w:firstLine="560"/>
              <w:rPr>
                <w:rFonts w:ascii="Times New Roman" w:hAnsi="Times New Roman" w:eastAsia="仿宋_GB2312" w:cstheme="minorBidi"/>
                <w:color w:val="0D0D0D"/>
                <w:sz w:val="28"/>
              </w:rPr>
            </w:pPr>
            <w:r>
              <w:rPr>
                <w:rFonts w:hint="eastAsia" w:ascii="Times New Roman" w:hAnsi="Times New Roman" w:eastAsia="楷体_GB2312" w:cstheme="minorBidi"/>
                <w:color w:val="0D0D0D"/>
                <w:sz w:val="28"/>
              </w:rPr>
              <w:t>“智慧工地”项目。</w:t>
            </w:r>
            <w:r>
              <w:rPr>
                <w:rFonts w:hint="eastAsia" w:ascii="Times New Roman" w:hAnsi="Times New Roman" w:eastAsia="仿宋_GB2312" w:cstheme="minorBidi"/>
                <w:color w:val="0D0D0D"/>
                <w:sz w:val="28"/>
              </w:rPr>
              <w:t>推进建设可视化“智慧工地”监管系统，实现快速与各类物联网监测设备对接，实时记录施工过程中现场各类监测数据，提供数据追溯服务，为事故处理提供有效证据，有效提升监管水平。</w:t>
            </w:r>
          </w:p>
          <w:p w14:paraId="1C1E8229">
            <w:pPr>
              <w:pStyle w:val="15"/>
              <w:kinsoku w:val="0"/>
              <w:overflowPunct w:val="0"/>
              <w:spacing w:before="34" w:after="0" w:line="355" w:lineRule="auto"/>
              <w:ind w:right="32" w:firstLine="560"/>
              <w:rPr>
                <w:color w:val="0D0D0D"/>
                <w:sz w:val="28"/>
              </w:rPr>
            </w:pPr>
            <w:r>
              <w:rPr>
                <w:rFonts w:hint="eastAsia" w:ascii="Times New Roman" w:hAnsi="Times New Roman" w:eastAsia="仿宋_GB2312" w:cstheme="minorBidi"/>
                <w:color w:val="0D0D0D"/>
                <w:sz w:val="28"/>
              </w:rPr>
              <w:t>“智慧停车”项目。积极推进“智慧停车”建设，通过投入物联感知设备、基础设施遥感改造、建设智慧支撑平台，搭建我县“智慧停车”管理体系，实现智能停车诱导、停车位推荐、查找等服务，解决群众停车难问题。</w:t>
            </w:r>
          </w:p>
        </w:tc>
      </w:tr>
    </w:tbl>
    <w:p w14:paraId="32CDDB77">
      <w:pPr>
        <w:pStyle w:val="3"/>
        <w:ind w:left="0" w:firstLine="720" w:firstLineChars="200"/>
      </w:pPr>
      <w:bookmarkStart w:id="80" w:name="_Toc93501142"/>
      <w:r>
        <w:rPr>
          <w:rFonts w:hint="eastAsia"/>
        </w:rPr>
        <w:t>聚焦数字优政，推进高质效政务运行走在全市前列</w:t>
      </w:r>
      <w:bookmarkEnd w:id="80"/>
    </w:p>
    <w:p w14:paraId="5BF60B20">
      <w:pPr>
        <w:pStyle w:val="51"/>
        <w:rPr>
          <w:color w:val="0D0D0D"/>
        </w:rPr>
      </w:pPr>
      <w:r>
        <w:rPr>
          <w:rFonts w:hint="eastAsia" w:ascii="仿宋_GB2312" w:hAnsi="Calibri"/>
          <w:szCs w:val="28"/>
        </w:rPr>
        <w:t>着力推进统一协同办公平台建设，梳理政府内部办事事项清单，推动政府内部办事流程再造，实现政务内部办事标准化、清单化，提高政府机关协同联动效能，实现政府内部办事“高效流转一件事”，打造政府运行新规划，推进我县高质效政务运行能力走在全市前列</w:t>
      </w:r>
      <w:r>
        <w:rPr>
          <w:color w:val="0D0D0D"/>
        </w:rPr>
        <w:t>。</w:t>
      </w:r>
    </w:p>
    <w:p w14:paraId="64995E2D">
      <w:pPr>
        <w:pStyle w:val="4"/>
        <w:ind w:firstLine="643"/>
      </w:pPr>
      <w:r>
        <w:rPr>
          <w:rFonts w:hint="eastAsia"/>
        </w:rPr>
        <w:t>提高协同办公智能化水平</w:t>
      </w:r>
    </w:p>
    <w:p w14:paraId="17EE7DB6">
      <w:pPr>
        <w:ind w:firstLine="643"/>
      </w:pPr>
      <w:r>
        <w:rPr>
          <w:rFonts w:hint="eastAsia"/>
          <w:b/>
          <w:bCs/>
        </w:rPr>
        <w:t>（1）建设统一协同办公平台。</w:t>
      </w:r>
      <w:r>
        <w:rPr>
          <w:rFonts w:hint="eastAsia"/>
        </w:rPr>
        <w:t>着力推进统一政务协同办公平台及电子公文交换系统建设，打破协同办公壁垒，集成各部门个性化需求，拓展协同办公平台系统能力，推动政务协同办公平台与市级系统互联互通，推动实现“掌上审批”多级协同联动。</w:t>
      </w:r>
    </w:p>
    <w:p w14:paraId="447B0140">
      <w:pPr>
        <w:ind w:firstLine="643"/>
      </w:pPr>
      <w:r>
        <w:rPr>
          <w:rFonts w:hint="eastAsia"/>
          <w:b/>
          <w:bCs/>
        </w:rPr>
        <w:t>（2）梳理内部办事事项清单。</w:t>
      </w:r>
      <w:r>
        <w:rPr>
          <w:rFonts w:hint="eastAsia"/>
        </w:rPr>
        <w:t>依托市内部办事“一件事”清单编制行动，结合各部门“三定”规定，全面梳理内部办事事项，形成海丰县政府内部办事事项清单，统一确定办事事项的事项名称、审批部门、适用依据、审批对象、审批权限、审批时限等要素内容。编制具有可操作性、可预期性的办事指南，全面构建统一规范、动态调整的内部办事事项和办事指南体系，推进机关内部办事标准化建设。</w:t>
      </w:r>
    </w:p>
    <w:p w14:paraId="209EEEBB">
      <w:pPr>
        <w:ind w:firstLine="643"/>
        <w:rPr>
          <w:rFonts w:ascii="仿宋_GB2312" w:hAnsiTheme="minorHAnsi"/>
          <w:szCs w:val="28"/>
        </w:rPr>
      </w:pPr>
      <w:r>
        <w:rPr>
          <w:rFonts w:hint="eastAsia" w:ascii="仿宋_GB2312" w:hAnsiTheme="minorHAnsi"/>
          <w:b/>
          <w:bCs/>
          <w:szCs w:val="28"/>
        </w:rPr>
        <w:t>（</w:t>
      </w:r>
      <w:r>
        <w:rPr>
          <w:rFonts w:ascii="仿宋_GB2312" w:hAnsiTheme="minorHAnsi"/>
          <w:b/>
          <w:bCs/>
          <w:szCs w:val="28"/>
        </w:rPr>
        <w:t>3）推动</w:t>
      </w:r>
      <w:r>
        <w:rPr>
          <w:rFonts w:hint="eastAsia" w:ascii="仿宋_GB2312" w:hAnsiTheme="minorHAnsi"/>
          <w:b/>
          <w:bCs/>
          <w:szCs w:val="28"/>
        </w:rPr>
        <w:t>“高效流转一件事”体系建设。</w:t>
      </w:r>
      <w:r>
        <w:rPr>
          <w:rFonts w:ascii="仿宋_GB2312" w:hAnsiTheme="minorHAnsi"/>
          <w:szCs w:val="28"/>
        </w:rPr>
        <w:t>推动</w:t>
      </w:r>
      <w:r>
        <w:rPr>
          <w:rFonts w:hint="eastAsia" w:ascii="仿宋_GB2312" w:hAnsiTheme="minorHAnsi"/>
          <w:szCs w:val="28"/>
        </w:rPr>
        <w:t>政府</w:t>
      </w:r>
      <w:r>
        <w:rPr>
          <w:rFonts w:ascii="仿宋_GB2312" w:hAnsiTheme="minorHAnsi"/>
          <w:szCs w:val="28"/>
        </w:rPr>
        <w:t>内部非涉密</w:t>
      </w:r>
      <w:r>
        <w:rPr>
          <w:rFonts w:hint="eastAsia" w:ascii="仿宋_GB2312" w:hAnsiTheme="minorHAnsi"/>
          <w:szCs w:val="28"/>
        </w:rPr>
        <w:t>“一件事”办事</w:t>
      </w:r>
      <w:r>
        <w:rPr>
          <w:rFonts w:ascii="仿宋_GB2312" w:hAnsiTheme="minorHAnsi"/>
          <w:szCs w:val="28"/>
        </w:rPr>
        <w:t>事项 通过协同办公平台全程网上办理，实现</w:t>
      </w:r>
      <w:r>
        <w:rPr>
          <w:rFonts w:hint="eastAsia" w:ascii="仿宋_GB2312" w:hAnsiTheme="minorHAnsi"/>
          <w:szCs w:val="28"/>
        </w:rPr>
        <w:t>政府</w:t>
      </w:r>
      <w:r>
        <w:rPr>
          <w:rFonts w:ascii="仿宋_GB2312" w:hAnsiTheme="minorHAnsi"/>
          <w:szCs w:val="28"/>
        </w:rPr>
        <w:t>内部</w:t>
      </w:r>
      <w:r>
        <w:rPr>
          <w:rFonts w:hint="eastAsia" w:ascii="仿宋_GB2312" w:hAnsiTheme="minorHAnsi"/>
          <w:szCs w:val="28"/>
        </w:rPr>
        <w:t>“一件事”</w:t>
      </w:r>
      <w:r>
        <w:rPr>
          <w:rFonts w:ascii="仿宋_GB2312" w:hAnsiTheme="minorHAnsi"/>
          <w:szCs w:val="28"/>
        </w:rPr>
        <w:t>事项全程电子化、指尖化，提高内部办事效率和满意度。</w:t>
      </w:r>
      <w:r>
        <w:rPr>
          <w:rFonts w:hint="eastAsia" w:ascii="仿宋_GB2312" w:hAnsiTheme="minorHAnsi"/>
          <w:szCs w:val="28"/>
        </w:rPr>
        <w:t>全面梳理内部办事“一件事”，构建上下联动、内外协同、运转高效的“一件事”运行体系，以流程的标准化、精细化推动政府内部运行的规范化、高效化。</w:t>
      </w:r>
    </w:p>
    <w:p w14:paraId="353077FC">
      <w:pPr>
        <w:ind w:firstLine="643"/>
        <w:rPr>
          <w:rFonts w:ascii="仿宋_GB2312" w:hAnsiTheme="minorHAnsi"/>
          <w:szCs w:val="28"/>
        </w:rPr>
      </w:pPr>
      <w:r>
        <w:rPr>
          <w:rFonts w:hint="eastAsia" w:ascii="仿宋_GB2312" w:hAnsiTheme="minorHAnsi"/>
          <w:b/>
          <w:bCs/>
          <w:szCs w:val="28"/>
        </w:rPr>
        <w:t>（4）推动基层减负提质增效。</w:t>
      </w:r>
      <w:r>
        <w:rPr>
          <w:rFonts w:ascii="仿宋_GB2312" w:hAnsiTheme="minorHAnsi"/>
          <w:szCs w:val="28"/>
        </w:rPr>
        <w:t>完善村自治事项清单、协助政府事项清单、负面事项清单等，以清单制切实减轻基层负担。强化公共数据资源共享，</w:t>
      </w:r>
      <w:r>
        <w:rPr>
          <w:rFonts w:hint="eastAsia" w:ascii="仿宋_GB2312" w:hAnsiTheme="minorHAnsi"/>
          <w:szCs w:val="28"/>
        </w:rPr>
        <w:t>全县实</w:t>
      </w:r>
      <w:r>
        <w:rPr>
          <w:rFonts w:ascii="仿宋_GB2312" w:hAnsiTheme="minorHAnsi"/>
          <w:szCs w:val="28"/>
        </w:rPr>
        <w:t>行在线报送数据</w:t>
      </w:r>
      <w:r>
        <w:rPr>
          <w:rFonts w:hint="eastAsia" w:ascii="仿宋_GB2312" w:hAnsiTheme="minorHAnsi"/>
          <w:szCs w:val="28"/>
        </w:rPr>
        <w:t>“</w:t>
      </w:r>
      <w:r>
        <w:rPr>
          <w:rFonts w:ascii="仿宋_GB2312" w:hAnsiTheme="minorHAnsi"/>
          <w:szCs w:val="28"/>
        </w:rPr>
        <w:t>一张表</w:t>
      </w:r>
      <w:r>
        <w:rPr>
          <w:rFonts w:hint="eastAsia" w:ascii="仿宋_GB2312" w:hAnsiTheme="minorHAnsi"/>
          <w:szCs w:val="28"/>
        </w:rPr>
        <w:t>”</w:t>
      </w:r>
      <w:r>
        <w:rPr>
          <w:rFonts w:ascii="仿宋_GB2312" w:hAnsiTheme="minorHAnsi"/>
          <w:szCs w:val="28"/>
        </w:rPr>
        <w:t>方式，减少基层重复填报的报表、台账，</w:t>
      </w:r>
      <w:r>
        <w:rPr>
          <w:rFonts w:hint="eastAsia" w:ascii="仿宋_GB2312" w:hAnsiTheme="minorHAnsi"/>
          <w:szCs w:val="28"/>
        </w:rPr>
        <w:t>切实</w:t>
      </w:r>
      <w:r>
        <w:rPr>
          <w:rFonts w:ascii="仿宋_GB2312" w:hAnsiTheme="minorHAnsi"/>
          <w:szCs w:val="28"/>
        </w:rPr>
        <w:t>为广大基层干部减负增效。</w:t>
      </w:r>
    </w:p>
    <w:p w14:paraId="22C537B2">
      <w:pPr>
        <w:pStyle w:val="4"/>
        <w:ind w:firstLine="643"/>
      </w:pPr>
      <w:r>
        <w:rPr>
          <w:rFonts w:hint="eastAsia"/>
        </w:rPr>
        <w:t>支撑党政机关数字化建设</w:t>
      </w:r>
    </w:p>
    <w:p w14:paraId="083E0EE8">
      <w:pPr>
        <w:ind w:firstLine="643"/>
        <w:rPr>
          <w:color w:val="0D0D0D"/>
          <w:shd w:val="clear" w:color="auto" w:fill="FFFFFF"/>
        </w:rPr>
      </w:pPr>
      <w:r>
        <w:rPr>
          <w:rFonts w:hint="eastAsia" w:hAnsiTheme="minorHAnsi"/>
          <w:b/>
          <w:bCs/>
        </w:rPr>
        <w:t>（1）推进“智慧党建”应用。</w:t>
      </w:r>
      <w:r>
        <w:rPr>
          <w:rFonts w:hint="eastAsia" w:hAnsiTheme="minorHAnsi"/>
        </w:rPr>
        <w:t>着力推进各领域“+党建”建设。</w:t>
      </w:r>
      <w:r>
        <w:rPr>
          <w:rFonts w:hint="eastAsia"/>
        </w:rPr>
        <w:t>深入推进“平安细胞工程”，坚持以党建为引领，健全共治、法治、德治、自治、善治“五治一体”的基层治理新格局，以“大数据+网格化+群众路线”机制为抓手，切实提升基层治理体系现代化水平。基于“民情地图”平台，对网格划分进行优化整合，</w:t>
      </w:r>
      <w:r>
        <w:rPr>
          <w:color w:val="0D0D0D"/>
          <w:shd w:val="clear" w:color="auto" w:fill="FFFFFF"/>
        </w:rPr>
        <w:t>变</w:t>
      </w:r>
      <w:r>
        <w:rPr>
          <w:rFonts w:hint="eastAsia"/>
          <w:color w:val="0D0D0D"/>
          <w:shd w:val="clear" w:color="auto" w:fill="FFFFFF"/>
        </w:rPr>
        <w:t>“</w:t>
      </w:r>
      <w:r>
        <w:rPr>
          <w:color w:val="0D0D0D"/>
          <w:shd w:val="clear" w:color="auto" w:fill="FFFFFF"/>
        </w:rPr>
        <w:t>全科网格</w:t>
      </w:r>
      <w:r>
        <w:rPr>
          <w:rFonts w:hint="eastAsia"/>
          <w:color w:val="0D0D0D"/>
          <w:shd w:val="clear" w:color="auto" w:fill="FFFFFF"/>
        </w:rPr>
        <w:t>”</w:t>
      </w:r>
      <w:r>
        <w:rPr>
          <w:color w:val="0D0D0D"/>
          <w:shd w:val="clear" w:color="auto" w:fill="FFFFFF"/>
        </w:rPr>
        <w:t>为</w:t>
      </w:r>
      <w:r>
        <w:rPr>
          <w:rFonts w:hint="eastAsia"/>
          <w:color w:val="0D0D0D"/>
          <w:shd w:val="clear" w:color="auto" w:fill="FFFFFF"/>
        </w:rPr>
        <w:t>“</w:t>
      </w:r>
      <w:r>
        <w:rPr>
          <w:color w:val="0D0D0D"/>
          <w:shd w:val="clear" w:color="auto" w:fill="FFFFFF"/>
        </w:rPr>
        <w:t>全民网格</w:t>
      </w:r>
      <w:r>
        <w:rPr>
          <w:rFonts w:hint="eastAsia"/>
          <w:color w:val="0D0D0D"/>
          <w:shd w:val="clear" w:color="auto" w:fill="FFFFFF"/>
        </w:rPr>
        <w:t>”</w:t>
      </w:r>
      <w:r>
        <w:rPr>
          <w:color w:val="0D0D0D"/>
          <w:shd w:val="clear" w:color="auto" w:fill="FFFFFF"/>
        </w:rPr>
        <w:t>，全面实现管理内容、管理区域、管理时段全覆盖</w:t>
      </w:r>
      <w:r>
        <w:rPr>
          <w:rFonts w:hint="eastAsia"/>
          <w:color w:val="0D0D0D"/>
          <w:shd w:val="clear" w:color="auto" w:fill="FFFFFF"/>
        </w:rPr>
        <w:t>。</w:t>
      </w:r>
    </w:p>
    <w:p w14:paraId="3559723D">
      <w:pPr>
        <w:ind w:firstLine="643"/>
      </w:pPr>
      <w:r>
        <w:rPr>
          <w:rFonts w:hint="eastAsia"/>
          <w:b/>
          <w:bCs/>
        </w:rPr>
        <w:t>（2）推进“数字政协”应用。</w:t>
      </w:r>
      <w:r>
        <w:rPr>
          <w:rFonts w:hint="eastAsia"/>
        </w:rPr>
        <w:t>依托“</w:t>
      </w:r>
      <w:r>
        <w:t>数字政协</w:t>
      </w:r>
      <w:r>
        <w:rPr>
          <w:rFonts w:hint="eastAsia"/>
        </w:rPr>
        <w:t>”应用</w:t>
      </w:r>
      <w:r>
        <w:t>增强网络议政、远程协商实效，拓展政协协商参与面，扩大界别群众工作覆盖面。加强政协数据汇聚和共享，提高数据质量，提升数据服务委员履职和辅助领导决策的能力。</w:t>
      </w:r>
      <w:r>
        <w:rPr>
          <w:rFonts w:hint="eastAsia"/>
        </w:rPr>
        <w:t>推进人大</w:t>
      </w:r>
      <w:r>
        <w:rPr>
          <w:rFonts w:hint="eastAsia" w:ascii="宋体" w:hAnsi="宋体"/>
        </w:rPr>
        <w:t>信息资源开发利用和共享，提高业务协同程度、无纸化办公水平，</w:t>
      </w:r>
      <w:r>
        <w:rPr>
          <w:color w:val="0D0D0D"/>
        </w:rPr>
        <w:t>优化人大互动渠道，</w:t>
      </w:r>
      <w:r>
        <w:rPr>
          <w:rFonts w:hint="eastAsia"/>
          <w:color w:val="0D0D0D"/>
        </w:rPr>
        <w:t>进一步提升</w:t>
      </w:r>
      <w:r>
        <w:rPr>
          <w:rFonts w:hint="eastAsia" w:ascii="宋体" w:hAnsi="宋体"/>
        </w:rPr>
        <w:t>依法履职能力</w:t>
      </w:r>
      <w:r>
        <w:rPr>
          <w:color w:val="0D0D0D"/>
        </w:rPr>
        <w:t>。</w:t>
      </w:r>
    </w:p>
    <w:p w14:paraId="531C87BC">
      <w:pPr>
        <w:pStyle w:val="4"/>
        <w:ind w:firstLine="643"/>
      </w:pPr>
      <w:bookmarkStart w:id="81" w:name="_Toc84980757"/>
      <w:bookmarkEnd w:id="81"/>
      <w:bookmarkStart w:id="82" w:name="_Toc84980758"/>
      <w:bookmarkEnd w:id="82"/>
      <w:bookmarkStart w:id="83" w:name="_Toc84980755"/>
      <w:bookmarkEnd w:id="83"/>
      <w:bookmarkStart w:id="84" w:name="_Toc84980756"/>
      <w:bookmarkEnd w:id="84"/>
      <w:bookmarkStart w:id="85" w:name="_Toc70495386"/>
      <w:r>
        <w:rPr>
          <w:rFonts w:hint="eastAsia"/>
        </w:rPr>
        <w:t>强化政务服务效能考核</w:t>
      </w:r>
    </w:p>
    <w:p w14:paraId="1C6AFEFD">
      <w:pPr>
        <w:ind w:firstLine="640"/>
      </w:pPr>
      <w:r>
        <w:rPr>
          <w:rFonts w:hint="eastAsia"/>
        </w:rPr>
        <w:t>按照市统一部署，推动各部门业务系统与“好差评”系统对接。加强评价数据的综合分析和应用，总结发现政务服务存在的问题，形成评价、反馈、整改、监督全流程闭环，推动政务服务质量持续提升。实施窗口人员服务评价，建立健全窗口人员考核机制和激励机制，提升窗口人员的服务态度，营造优质、贴心、高效的政务服务氛围。</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2E2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A66914E">
            <w:pPr>
              <w:ind w:firstLine="560"/>
              <w:jc w:val="center"/>
              <w:rPr>
                <w:rFonts w:eastAsia="黑体" w:cs="Times New Roman"/>
                <w:sz w:val="28"/>
                <w:szCs w:val="28"/>
              </w:rPr>
            </w:pPr>
            <w:r>
              <w:rPr>
                <w:rFonts w:eastAsia="黑体" w:cs="Times New Roman"/>
                <w:sz w:val="28"/>
                <w:szCs w:val="28"/>
              </w:rPr>
              <w:t>专栏 3</w:t>
            </w:r>
            <w:r>
              <w:rPr>
                <w:rFonts w:hint="eastAsia" w:eastAsia="黑体" w:cs="Times New Roman"/>
                <w:sz w:val="28"/>
                <w:szCs w:val="28"/>
              </w:rPr>
              <w:t xml:space="preserve"> “数字优政”</w:t>
            </w:r>
            <w:r>
              <w:rPr>
                <w:rFonts w:eastAsia="黑体" w:cs="Times New Roman"/>
                <w:sz w:val="28"/>
                <w:szCs w:val="28"/>
              </w:rPr>
              <w:t>重点</w:t>
            </w:r>
            <w:r>
              <w:rPr>
                <w:rFonts w:hint="eastAsia" w:eastAsia="黑体" w:cs="Times New Roman"/>
                <w:sz w:val="28"/>
                <w:szCs w:val="28"/>
              </w:rPr>
              <w:t>项目</w:t>
            </w:r>
          </w:p>
        </w:tc>
      </w:tr>
      <w:tr w14:paraId="5792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C690F0F">
            <w:pPr>
              <w:snapToGrid w:val="0"/>
              <w:ind w:firstLine="560"/>
              <w:rPr>
                <w:rFonts w:ascii="仿宋_GB2312" w:cs="Times New Roman"/>
                <w:sz w:val="28"/>
                <w:szCs w:val="24"/>
              </w:rPr>
            </w:pPr>
            <w:r>
              <w:rPr>
                <w:rFonts w:hint="eastAsia" w:eastAsia="楷体_GB2312"/>
                <w:color w:val="0D0D0D"/>
                <w:sz w:val="28"/>
              </w:rPr>
              <w:t>统一协同办公平台。</w:t>
            </w:r>
            <w:r>
              <w:rPr>
                <w:rFonts w:hint="eastAsia" w:cs="Times New Roman"/>
                <w:sz w:val="28"/>
                <w:szCs w:val="24"/>
              </w:rPr>
              <w:t>推进建设</w:t>
            </w:r>
            <w:r>
              <w:rPr>
                <w:rFonts w:cs="Times New Roman"/>
                <w:sz w:val="28"/>
                <w:szCs w:val="24"/>
              </w:rPr>
              <w:t>基于协同办公理念，</w:t>
            </w:r>
            <w:r>
              <w:rPr>
                <w:rFonts w:hint="eastAsia" w:cs="Times New Roman"/>
                <w:sz w:val="28"/>
                <w:szCs w:val="24"/>
              </w:rPr>
              <w:t>满足全县各单位</w:t>
            </w:r>
            <w:r>
              <w:rPr>
                <w:rFonts w:cs="Times New Roman"/>
                <w:sz w:val="28"/>
                <w:szCs w:val="24"/>
              </w:rPr>
              <w:t>日常办公电子化、网络化、规范化、统一化</w:t>
            </w:r>
            <w:r>
              <w:rPr>
                <w:rFonts w:hint="eastAsia" w:cs="Times New Roman"/>
                <w:sz w:val="28"/>
                <w:szCs w:val="24"/>
              </w:rPr>
              <w:t>需求，</w:t>
            </w:r>
            <w:r>
              <w:rPr>
                <w:rFonts w:cs="Times New Roman"/>
                <w:sz w:val="28"/>
                <w:szCs w:val="24"/>
              </w:rPr>
              <w:t>实现跨部门、跨地域协作办公，达到节省办公时间、节省办公成本、提高工作效率的</w:t>
            </w:r>
            <w:r>
              <w:rPr>
                <w:rFonts w:hint="eastAsia" w:cs="Times New Roman"/>
                <w:sz w:val="28"/>
                <w:szCs w:val="24"/>
              </w:rPr>
              <w:t>统一协同办公平台。</w:t>
            </w:r>
          </w:p>
          <w:p w14:paraId="195E0B33">
            <w:pPr>
              <w:snapToGrid w:val="0"/>
              <w:ind w:firstLine="560"/>
              <w:rPr>
                <w:rFonts w:ascii="仿宋_GB2312" w:cs="Times New Roman"/>
                <w:sz w:val="28"/>
                <w:szCs w:val="24"/>
              </w:rPr>
            </w:pPr>
            <w:r>
              <w:rPr>
                <w:rFonts w:hint="eastAsia" w:eastAsia="楷体_GB2312"/>
                <w:color w:val="0D0D0D"/>
                <w:sz w:val="28"/>
              </w:rPr>
              <w:t>机关内部事项梳理。</w:t>
            </w:r>
            <w:r>
              <w:rPr>
                <w:rFonts w:hint="eastAsia" w:cs="Times New Roman"/>
                <w:sz w:val="28"/>
                <w:szCs w:val="24"/>
              </w:rPr>
              <w:t>结合省市梳理内部事项统一部署。开展县级单位内部办事事项梳理，形成海丰县机关内部办事事项清单。推动政府内部办事“一件事”清单梳理工作，以流程的标准化、精细化推动机关内部运行的规范化、高效化。</w:t>
            </w:r>
          </w:p>
        </w:tc>
      </w:tr>
      <w:bookmarkEnd w:id="85"/>
    </w:tbl>
    <w:p w14:paraId="560EF0F8">
      <w:pPr>
        <w:pStyle w:val="3"/>
        <w:ind w:left="0" w:firstLine="720" w:firstLineChars="200"/>
      </w:pPr>
      <w:bookmarkStart w:id="86" w:name="_Toc93501143"/>
      <w:bookmarkStart w:id="87" w:name="_Toc70495374"/>
      <w:bookmarkStart w:id="88" w:name="_Hlk77335402"/>
      <w:r>
        <w:rPr>
          <w:rFonts w:hint="eastAsia"/>
        </w:rPr>
        <w:t>聚焦数字强基，推进高水平支撑能力走在全市前列</w:t>
      </w:r>
      <w:bookmarkEnd w:id="86"/>
    </w:p>
    <w:p w14:paraId="565EEA85">
      <w:pPr>
        <w:pStyle w:val="4"/>
        <w:ind w:firstLine="643"/>
      </w:pPr>
      <w:bookmarkStart w:id="89" w:name="_Toc70495387"/>
      <w:r>
        <w:rPr>
          <w:rFonts w:hint="eastAsia"/>
        </w:rPr>
        <w:t>强化集约安全基础</w:t>
      </w:r>
      <w:bookmarkEnd w:id="89"/>
      <w:r>
        <w:rPr>
          <w:rFonts w:hint="eastAsia"/>
        </w:rPr>
        <w:t>支撑</w:t>
      </w:r>
    </w:p>
    <w:p w14:paraId="64E9AB90">
      <w:pPr>
        <w:ind w:firstLine="643"/>
      </w:pPr>
      <w:r>
        <w:rPr>
          <w:rFonts w:hint="eastAsia"/>
          <w:b/>
          <w:bCs/>
        </w:rPr>
        <w:t>（1）加强政务云集约化应用。</w:t>
      </w:r>
      <w:r>
        <w:rPr>
          <w:rFonts w:hint="eastAsia"/>
        </w:rPr>
        <w:t>面向全县各级部门开展信息基础设施普查工作，摸清各部门机房、网络和数据资产情况，依托“全市一朵云”管理体系，统筹全县网络布局建设，加快推进我县政务应用系统、基础资源迁移上云工作，结合业务迁移难易程度，编制上云计划，以成熟一个迁移一个为原则，逐步撤销县级各部门自建服务器机房，最大程度实现与市政务云的资源、数据整合，大幅提升基础设施利用率及政务应用运行稳定。</w:t>
      </w:r>
    </w:p>
    <w:p w14:paraId="39F2C507">
      <w:pPr>
        <w:ind w:firstLine="643"/>
      </w:pPr>
      <w:r>
        <w:rPr>
          <w:rFonts w:hint="eastAsia"/>
          <w:b/>
          <w:bCs/>
        </w:rPr>
        <w:t>（2）提升政务网络支撑能力。</w:t>
      </w:r>
      <w:r>
        <w:rPr>
          <w:rFonts w:hint="eastAsia"/>
        </w:rPr>
        <w:t>全面优化网络基础设施，进一步提升电子政务外网覆盖范围和带宽，</w:t>
      </w:r>
      <w:r>
        <w:rPr>
          <w:rFonts w:hint="eastAsia" w:ascii="仿宋_GB2312" w:hAnsiTheme="minorHAnsi"/>
          <w:szCs w:val="28"/>
        </w:rPr>
        <w:t>实现县、镇级政府部门全部接入，同时借助无线政务外网、5</w:t>
      </w:r>
      <w:r>
        <w:rPr>
          <w:rFonts w:ascii="仿宋_GB2312" w:hAnsiTheme="minorHAnsi"/>
          <w:szCs w:val="28"/>
        </w:rPr>
        <w:t>G</w:t>
      </w:r>
      <w:r>
        <w:rPr>
          <w:rFonts w:hint="eastAsia" w:ascii="仿宋_GB2312" w:hAnsiTheme="minorHAnsi"/>
          <w:szCs w:val="28"/>
        </w:rPr>
        <w:t>政务外网等先进技术，向村社区延伸，打通最后一公里。加快电子政务外网升级改造，推进非涉密业务专网与政务外网网络末端融合，提升政务外网业务承载能力，实现“一网通达”。结合省市</w:t>
      </w:r>
      <w:r>
        <w:rPr>
          <w:rFonts w:ascii="仿宋_GB2312" w:hAnsiTheme="minorHAnsi"/>
          <w:szCs w:val="28"/>
        </w:rPr>
        <w:t>IPV6</w:t>
      </w:r>
      <w:r>
        <w:rPr>
          <w:rFonts w:hint="eastAsia" w:ascii="仿宋_GB2312" w:hAnsiTheme="minorHAnsi"/>
          <w:szCs w:val="28"/>
        </w:rPr>
        <w:t>改造部署技术，依托省市及第三方技术产商力量，推进县级政务外网IPv6改造，加大IPv6布局规划力度，完善IPv6骨干网互联互通，满足不同单位不同业务个性化的网络服务需求</w:t>
      </w:r>
      <w:r>
        <w:rPr>
          <w:rFonts w:hint="eastAsia"/>
        </w:rPr>
        <w:t>。</w:t>
      </w:r>
    </w:p>
    <w:p w14:paraId="10C4A9F5">
      <w:pPr>
        <w:pStyle w:val="4"/>
        <w:ind w:firstLine="643"/>
      </w:pPr>
      <w:bookmarkStart w:id="90" w:name="_Toc70495388"/>
      <w:bookmarkStart w:id="91" w:name="_Toc68618882"/>
      <w:bookmarkStart w:id="92" w:name="_Toc68618974"/>
      <w:r>
        <w:rPr>
          <w:rFonts w:hint="eastAsia"/>
        </w:rPr>
        <w:t>激发政务数据要素动能</w:t>
      </w:r>
    </w:p>
    <w:p w14:paraId="14DE769D">
      <w:pPr>
        <w:ind w:firstLine="643"/>
      </w:pPr>
      <w:r>
        <w:rPr>
          <w:rFonts w:hint="eastAsia"/>
          <w:b/>
          <w:bCs/>
        </w:rPr>
        <w:t>（1）推进县域数据治理。</w:t>
      </w:r>
      <w:r>
        <w:rPr>
          <w:rFonts w:hint="eastAsia"/>
        </w:rPr>
        <w:t>依托政务大数据中心汕尾节点数据治理分析能力，以政务业务需求为导向、以共治共享为原则，以数据安全为底线，统筹推进全县政务数据资源治理工作，依据各部门职能和数据确权制度，按照“一数一源”要求，加强数据采集、清洗、比对、纠错和修复，推动政务数据标准化建设，为建设海丰主题库、专题库提供标准统一、质量可靠的数据资源，为满足各单位业务数据共享需求提供高质量数据保障。</w:t>
      </w:r>
    </w:p>
    <w:p w14:paraId="0FD2D6FB">
      <w:pPr>
        <w:ind w:firstLine="643"/>
      </w:pPr>
      <w:r>
        <w:rPr>
          <w:rFonts w:hint="eastAsia"/>
          <w:b/>
          <w:bCs/>
        </w:rPr>
        <w:t>（2）探索海丰特色应用。</w:t>
      </w:r>
      <w:r>
        <w:rPr>
          <w:rFonts w:hint="eastAsia"/>
        </w:rPr>
        <w:t>依托政务大数据中心汕尾节点数据治理和分析能力，借助大数据中心已有标准化工具，探索建设红色文旅、深汕通办、生态治理等领域的创新应用，打造海丰特色大数据示范应用。</w:t>
      </w:r>
    </w:p>
    <w:p w14:paraId="7153D852">
      <w:pPr>
        <w:ind w:firstLine="643"/>
      </w:pPr>
      <w:r>
        <w:rPr>
          <w:rFonts w:hint="eastAsia"/>
          <w:b/>
          <w:bCs/>
        </w:rPr>
        <w:t>（</w:t>
      </w:r>
      <w:r>
        <w:rPr>
          <w:b/>
          <w:bCs/>
        </w:rPr>
        <w:t>3</w:t>
      </w:r>
      <w:r>
        <w:rPr>
          <w:rFonts w:hint="eastAsia"/>
          <w:b/>
          <w:bCs/>
        </w:rPr>
        <w:t>）探索数据开发融合。</w:t>
      </w:r>
      <w:r>
        <w:rPr>
          <w:rFonts w:hint="eastAsia"/>
        </w:rPr>
        <w:t>按照省市公共数据开放管理办法，建立海丰公共数据资源开放共享清单，以“开放为常态、不开放为例外”为原则，构建公共数据分级分类开放目录和动态更新机制，有序释放公共数据进入市场化流通。提高信用、交通、医疗卫生等重点领域的数据开放水平，鼓励政企数据融合，推动政府数据和社会数据的融合。探索基于区块链的数据开放平台建设，防止恶意篡改及保证数据可追溯，提升数据开放安全保障能力。</w:t>
      </w:r>
    </w:p>
    <w:bookmarkEnd w:id="90"/>
    <w:p w14:paraId="545E0392">
      <w:pPr>
        <w:pStyle w:val="4"/>
        <w:ind w:firstLine="643"/>
      </w:pPr>
      <w:bookmarkStart w:id="93" w:name="_Toc70495390"/>
      <w:r>
        <w:rPr>
          <w:rFonts w:hint="eastAsia"/>
        </w:rPr>
        <w:t>完善网络安全保障</w:t>
      </w:r>
      <w:bookmarkEnd w:id="91"/>
      <w:bookmarkEnd w:id="92"/>
      <w:bookmarkEnd w:id="93"/>
      <w:r>
        <w:rPr>
          <w:rFonts w:hint="eastAsia"/>
        </w:rPr>
        <w:t>措施</w:t>
      </w:r>
    </w:p>
    <w:p w14:paraId="60955668">
      <w:pPr>
        <w:ind w:firstLine="643"/>
      </w:pPr>
      <w:r>
        <w:rPr>
          <w:rFonts w:hint="eastAsia"/>
          <w:b/>
          <w:bCs/>
        </w:rPr>
        <w:t>（1）加强网络安全技术应用。</w:t>
      </w:r>
      <w:r>
        <w:rPr>
          <w:rFonts w:hint="eastAsia"/>
        </w:rPr>
        <w:t>聚焦身份鉴别、访问控制、安全审计、通信完整性、通信保密性、抗抵赖等方面，推动建设数字政府应用安全体系，保障应用全生命周期安全。根据省市统一部署，按照《中华人民共和国密码法》要求，采用国产密码支持技术，保障数据传输、存储的保密性。提高对敏感数据和个人隐私的保护能力，加强系统访问、数据流动、运维服务等方面的数据安全管理能力。</w:t>
      </w:r>
    </w:p>
    <w:p w14:paraId="338ED101">
      <w:pPr>
        <w:ind w:firstLine="643"/>
      </w:pPr>
      <w:r>
        <w:rPr>
          <w:rFonts w:hint="eastAsia"/>
          <w:b/>
          <w:bCs/>
        </w:rPr>
        <w:t>（2）强化网络安全保障能力。</w:t>
      </w:r>
      <w:r>
        <w:rPr>
          <w:rFonts w:hint="eastAsia"/>
        </w:rPr>
        <w:t>以网络安全风险评估制度为基础，加快完善县级自评估为主、第三方检查评估为辅的网络安全风险评估制度，及时开展、加强和规范网络安全风险识别评估。严格执行国家及行业的网络安全检测标准，强化网络安全认证、检测、风险评估等安全服务。建立县级网络安全应急预案机制，加强网络安全应急队伍、应急资源建设，提高整体网络安全运行监测预警、态势感知及应急处置能力。</w:t>
      </w:r>
    </w:p>
    <w:p w14:paraId="0AD29F9F">
      <w:pPr>
        <w:ind w:firstLine="643"/>
      </w:pPr>
      <w:bookmarkStart w:id="94" w:name="_Hlk77335371"/>
      <w:r>
        <w:rPr>
          <w:rFonts w:hint="eastAsia"/>
          <w:b/>
          <w:bCs/>
        </w:rPr>
        <w:t>（3）完善网络安全管理制度。</w:t>
      </w:r>
      <w:r>
        <w:rPr>
          <w:rFonts w:hint="eastAsia"/>
        </w:rPr>
        <w:t>根据国家、广东省有关网络安全政策文件规定，落实网络安全法、网络安全等级保护、关键信息基础设施网络安全保护等合规性要求。按照“谁主管谁负责，谁运营谁负责，谁使用谁负责”和“管业务必须管安全”的原则，完善数字政府网络安全责任机制，将网络安全工作考核纳入我市数字政府指标体系。加快完善自评估为主、第三方检查评估为辅的网络安全风险评估制度，定期开展网络安全风险识别评估。建立健全我市网络安全应急预案，加强网络安全应急队伍、应急资源建设，组织开展实战型网络安全应急演练。</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1D88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0632F56">
            <w:pPr>
              <w:ind w:firstLine="560"/>
              <w:jc w:val="center"/>
              <w:rPr>
                <w:rFonts w:eastAsia="黑体" w:cs="Times New Roman"/>
                <w:sz w:val="28"/>
                <w:szCs w:val="28"/>
              </w:rPr>
            </w:pPr>
            <w:r>
              <w:rPr>
                <w:rFonts w:eastAsia="黑体" w:cs="Times New Roman"/>
                <w:sz w:val="28"/>
                <w:szCs w:val="28"/>
              </w:rPr>
              <w:t>专栏 4</w:t>
            </w:r>
            <w:r>
              <w:rPr>
                <w:rFonts w:hint="eastAsia" w:eastAsia="黑体" w:cs="Times New Roman"/>
                <w:sz w:val="28"/>
                <w:szCs w:val="28"/>
              </w:rPr>
              <w:t xml:space="preserve"> “数字强基”</w:t>
            </w:r>
            <w:r>
              <w:rPr>
                <w:rFonts w:eastAsia="黑体" w:cs="Times New Roman"/>
                <w:sz w:val="28"/>
                <w:szCs w:val="28"/>
              </w:rPr>
              <w:t>重点</w:t>
            </w:r>
            <w:r>
              <w:rPr>
                <w:rFonts w:hint="eastAsia" w:eastAsia="黑体" w:cs="Times New Roman"/>
                <w:sz w:val="28"/>
                <w:szCs w:val="28"/>
              </w:rPr>
              <w:t>项目</w:t>
            </w:r>
          </w:p>
        </w:tc>
      </w:tr>
      <w:tr w14:paraId="6255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2E1EC6B">
            <w:pPr>
              <w:snapToGrid w:val="0"/>
              <w:ind w:firstLine="560"/>
              <w:rPr>
                <w:rFonts w:eastAsia="楷体_GB2312"/>
                <w:color w:val="0D0D0D"/>
                <w:sz w:val="28"/>
              </w:rPr>
            </w:pPr>
            <w:r>
              <w:rPr>
                <w:rFonts w:hint="eastAsia" w:eastAsia="楷体_GB2312"/>
                <w:color w:val="0D0D0D"/>
                <w:sz w:val="28"/>
              </w:rPr>
              <w:t>电子政务外网升级改造项目。</w:t>
            </w:r>
            <w:r>
              <w:rPr>
                <w:rFonts w:hint="eastAsia" w:ascii="仿宋_GB2312" w:cs="Times New Roman"/>
                <w:sz w:val="28"/>
                <w:szCs w:val="24"/>
              </w:rPr>
              <w:t>（1）升级电子政务外网核心网骨干网，加强核心区域网络安全防护以及政务外网出口安全服务，满足政务外网稳定、安全、高效访问需求。（2）促进非涉密业务专网与政务外网网络末端融合，实现统一政务外网出口，提升政务外网业务承载能力。</w:t>
            </w:r>
          </w:p>
          <w:p w14:paraId="1D025F99">
            <w:pPr>
              <w:snapToGrid w:val="0"/>
              <w:ind w:firstLine="560"/>
              <w:rPr>
                <w:rFonts w:ascii="仿宋_GB2312" w:cs="Times New Roman"/>
                <w:sz w:val="28"/>
                <w:szCs w:val="24"/>
              </w:rPr>
            </w:pPr>
            <w:r>
              <w:rPr>
                <w:rFonts w:hint="eastAsia" w:eastAsia="楷体_GB2312"/>
                <w:color w:val="0D0D0D"/>
                <w:sz w:val="28"/>
              </w:rPr>
              <w:t>政务系统迁移上云项目。</w:t>
            </w:r>
            <w:r>
              <w:rPr>
                <w:rFonts w:hint="eastAsia" w:ascii="仿宋_GB2312" w:cs="Times New Roman"/>
                <w:sz w:val="28"/>
                <w:szCs w:val="24"/>
              </w:rPr>
              <w:t>整合县直各部门信息化基础设施资源，结合各业务系统迁移难易度，推动系统上云计划，逐步撤销各部门服务器机房。</w:t>
            </w:r>
          </w:p>
        </w:tc>
      </w:tr>
      <w:bookmarkEnd w:id="94"/>
    </w:tbl>
    <w:p w14:paraId="7721B95A">
      <w:pPr>
        <w:pStyle w:val="3"/>
        <w:ind w:left="0" w:firstLine="720" w:firstLineChars="200"/>
      </w:pPr>
      <w:bookmarkStart w:id="95" w:name="_Toc93501144"/>
      <w:r>
        <w:rPr>
          <w:rFonts w:hint="eastAsia"/>
        </w:rPr>
        <w:t>聚焦数字赋能，推进红色文化建设走在全市前列</w:t>
      </w:r>
      <w:bookmarkEnd w:id="95"/>
    </w:p>
    <w:p w14:paraId="3D37415D">
      <w:pPr>
        <w:pStyle w:val="4"/>
        <w:ind w:firstLine="643"/>
      </w:pPr>
      <w:bookmarkStart w:id="96" w:name="_Toc70495384"/>
      <w:r>
        <w:rPr>
          <w:rFonts w:hint="eastAsia"/>
        </w:rPr>
        <w:t>加强</w:t>
      </w:r>
      <w:bookmarkStart w:id="97" w:name="_Hlk90643332"/>
      <w:r>
        <w:rPr>
          <w:rFonts w:hint="eastAsia"/>
        </w:rPr>
        <w:t>红色资源</w:t>
      </w:r>
      <w:bookmarkEnd w:id="97"/>
      <w:r>
        <w:rPr>
          <w:rFonts w:hint="eastAsia"/>
        </w:rPr>
        <w:t>供给配置</w:t>
      </w:r>
    </w:p>
    <w:p w14:paraId="7D96D76C">
      <w:pPr>
        <w:ind w:firstLine="640"/>
      </w:pPr>
      <w:bookmarkStart w:id="98" w:name="_Hlk90643419"/>
      <w:r>
        <w:rPr>
          <w:rFonts w:hint="eastAsia"/>
        </w:rPr>
        <w:t>优化文化资源配置，</w:t>
      </w:r>
      <w:bookmarkStart w:id="99" w:name="_Hlk90643408"/>
      <w:r>
        <w:rPr>
          <w:rFonts w:hint="eastAsia"/>
        </w:rPr>
        <w:t>充分利用5</w:t>
      </w:r>
      <w:r>
        <w:t>G</w:t>
      </w:r>
      <w:r>
        <w:rPr>
          <w:rFonts w:hint="eastAsia"/>
        </w:rPr>
        <w:t>、物联网、虚拟现实（V</w:t>
      </w:r>
      <w:r>
        <w:t>R</w:t>
      </w:r>
      <w:r>
        <w:rPr>
          <w:rFonts w:hint="eastAsia"/>
        </w:rPr>
        <w:t>）、增强现实（A</w:t>
      </w:r>
      <w:r>
        <w:t>R</w:t>
      </w:r>
      <w:r>
        <w:rPr>
          <w:rFonts w:hint="eastAsia"/>
        </w:rPr>
        <w:t>）、人工智能（A</w:t>
      </w:r>
      <w:r>
        <w:t>I</w:t>
      </w:r>
      <w:r>
        <w:rPr>
          <w:rFonts w:hint="eastAsia"/>
        </w:rPr>
        <w:t>）等技术</w:t>
      </w:r>
      <w:bookmarkEnd w:id="98"/>
      <w:r>
        <w:rPr>
          <w:rFonts w:hint="eastAsia"/>
        </w:rPr>
        <w:t>推进</w:t>
      </w:r>
      <w:bookmarkEnd w:id="99"/>
      <w:r>
        <w:rPr>
          <w:rFonts w:hint="eastAsia"/>
        </w:rPr>
        <w:t>智慧博物馆、智慧文化场馆、智慧图书馆、智慧演艺场馆建设。整合博物馆、文化馆、图书馆、非物质文化遗产等各类文化资源，构建文化服务公共平台，丰富市民公共文化供给方式，讲好彭湃故事，逐步形成红色文化展示与传播窗口，打造面向全国的红色文化教育基地。</w:t>
      </w:r>
    </w:p>
    <w:p w14:paraId="1719EF06">
      <w:pPr>
        <w:pStyle w:val="4"/>
        <w:ind w:firstLine="643"/>
      </w:pPr>
      <w:r>
        <w:rPr>
          <w:rFonts w:hint="eastAsia"/>
        </w:rPr>
        <w:t>推进数字赋能红色文旅</w:t>
      </w:r>
    </w:p>
    <w:p w14:paraId="34408550">
      <w:pPr>
        <w:ind w:firstLine="640"/>
      </w:pPr>
      <w:bookmarkStart w:id="100" w:name="_Hlk90643372"/>
      <w:r>
        <w:rPr>
          <w:rFonts w:hint="eastAsia"/>
        </w:rPr>
        <w:t>推动海丰红色文旅与社会数字文化优势产业联动</w:t>
      </w:r>
      <w:bookmarkEnd w:id="100"/>
      <w:r>
        <w:rPr>
          <w:rFonts w:hint="eastAsia"/>
        </w:rPr>
        <w:t>，传承红色基因，创新红色产品，增强海丰红色文旅体验，不断提振红色经济生命力。依托</w:t>
      </w:r>
      <w:r>
        <w:rPr>
          <w:rFonts w:hint="eastAsia"/>
          <w:szCs w:val="28"/>
        </w:rPr>
        <w:t>汕尾市红色资源数据库平台</w:t>
      </w:r>
      <w:r>
        <w:rPr>
          <w:rFonts w:hint="eastAsia"/>
        </w:rPr>
        <w:t>，传承红色基因，对海丰红色历史档案、史籍、文献、文物等进行数据收集、梳理、挖掘与整合，构建海丰红色文旅资源主题库、专题库。融合科技手段，增强红色文化体验感，一方面，通过5G、VR、</w:t>
      </w:r>
      <w:r>
        <w:t>AI</w:t>
      </w:r>
      <w:r>
        <w:rPr>
          <w:rFonts w:hint="eastAsia"/>
        </w:rPr>
        <w:t>等技术实现数字化再现，打造沉浸式、个性化的文旅体验。另一方面，基于海丰红色文旅资源主题库、专题库，建设内容更加丰富、详实、准确而不失生动的解说系统，提升红色文旅的参与度。</w:t>
      </w:r>
    </w:p>
    <w:p w14:paraId="2F4EE405">
      <w:pPr>
        <w:pStyle w:val="4"/>
        <w:ind w:firstLine="643"/>
      </w:pPr>
      <w:r>
        <w:rPr>
          <w:rFonts w:hint="eastAsia"/>
        </w:rPr>
        <w:t>建设智慧旅游服务平台</w:t>
      </w:r>
    </w:p>
    <w:p w14:paraId="53909876">
      <w:pPr>
        <w:ind w:firstLine="640"/>
      </w:pPr>
      <w:bookmarkStart w:id="101" w:name="_Hlk90643436"/>
      <w:r>
        <w:rPr>
          <w:rFonts w:hint="eastAsia"/>
        </w:rPr>
        <w:t>深化文化旅游公共资源、商业资源整合，完善智慧旅游游客服务平台，实现“一部手机游海丰”</w:t>
      </w:r>
      <w:bookmarkEnd w:id="101"/>
      <w:r>
        <w:rPr>
          <w:rFonts w:hint="eastAsia"/>
        </w:rPr>
        <w:t>。持续提升旅游基础设施智能化水平，优化城市旅游体验。充分利用信息化技术，支撑古城保育与非物质文化遗产活化，推进文化传承与文化弘扬，推动文旅融合。整合文旅相关数据信息，不断深化旅游大数据建设，推进文旅智慧管理、智慧营销体系建设，构建智慧文化旅游生态体系。</w:t>
      </w:r>
    </w:p>
    <w:p w14:paraId="6969F764">
      <w:pPr>
        <w:pStyle w:val="4"/>
        <w:ind w:firstLine="643"/>
      </w:pPr>
      <w:r>
        <w:rPr>
          <w:rFonts w:hint="eastAsia"/>
        </w:rPr>
        <w:t>推动数据赋能产业经济</w:t>
      </w:r>
      <w:bookmarkEnd w:id="96"/>
    </w:p>
    <w:p w14:paraId="04550B24">
      <w:pPr>
        <w:ind w:firstLine="640"/>
      </w:pPr>
      <w:r>
        <w:rPr>
          <w:rFonts w:hint="eastAsia"/>
        </w:rPr>
        <w:t>根据市政府关于“明珠数谷”产业部署计划，以海丰生态科技城为核心区和起步区，推进建设高水平大数据产业集聚基地。助力</w:t>
      </w:r>
      <w:r>
        <w:t>培育</w:t>
      </w:r>
      <w:r>
        <w:rPr>
          <w:rFonts w:hint="eastAsia"/>
        </w:rPr>
        <w:t>数据清洗与标注、动漫视频渲染、人工智能计算等数据服务</w:t>
      </w:r>
      <w:r>
        <w:t>产业，支持优秀数据服务企业做大做强，在提高</w:t>
      </w:r>
      <w:r>
        <w:rPr>
          <w:rFonts w:hint="eastAsia"/>
        </w:rPr>
        <w:t>我县数字政府改革</w:t>
      </w:r>
      <w:r>
        <w:t>建设能力的同时，带动数据产业发展聚集</w:t>
      </w:r>
      <w:r>
        <w:rPr>
          <w:rFonts w:hint="eastAsia"/>
        </w:rPr>
        <w:t>。</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0F9C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C391581">
            <w:pPr>
              <w:ind w:firstLine="560"/>
              <w:jc w:val="center"/>
              <w:rPr>
                <w:rFonts w:eastAsia="黑体" w:cs="Times New Roman"/>
                <w:sz w:val="28"/>
                <w:szCs w:val="28"/>
              </w:rPr>
            </w:pPr>
            <w:r>
              <w:rPr>
                <w:rFonts w:eastAsia="黑体" w:cs="Times New Roman"/>
                <w:sz w:val="28"/>
                <w:szCs w:val="28"/>
              </w:rPr>
              <w:t>专栏 5</w:t>
            </w:r>
            <w:r>
              <w:rPr>
                <w:rFonts w:hint="eastAsia" w:eastAsia="黑体" w:cs="Times New Roman"/>
                <w:sz w:val="28"/>
                <w:szCs w:val="28"/>
              </w:rPr>
              <w:t xml:space="preserve"> </w:t>
            </w:r>
            <w:r>
              <w:rPr>
                <w:rFonts w:eastAsia="黑体" w:cs="Times New Roman"/>
                <w:sz w:val="28"/>
                <w:szCs w:val="28"/>
              </w:rPr>
              <w:t xml:space="preserve"> </w:t>
            </w:r>
            <w:r>
              <w:rPr>
                <w:rFonts w:hint="eastAsia" w:eastAsia="黑体" w:cs="Times New Roman"/>
                <w:sz w:val="28"/>
                <w:szCs w:val="28"/>
              </w:rPr>
              <w:t>数字赋能海丰特色</w:t>
            </w:r>
            <w:r>
              <w:rPr>
                <w:rFonts w:eastAsia="黑体" w:cs="Times New Roman"/>
                <w:sz w:val="28"/>
                <w:szCs w:val="28"/>
              </w:rPr>
              <w:t>重点</w:t>
            </w:r>
            <w:r>
              <w:rPr>
                <w:rFonts w:hint="eastAsia" w:eastAsia="黑体" w:cs="Times New Roman"/>
                <w:sz w:val="28"/>
                <w:szCs w:val="28"/>
              </w:rPr>
              <w:t>项目</w:t>
            </w:r>
          </w:p>
        </w:tc>
      </w:tr>
      <w:tr w14:paraId="369C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4EDD98B">
            <w:pPr>
              <w:snapToGrid w:val="0"/>
              <w:ind w:firstLine="560"/>
              <w:rPr>
                <w:rFonts w:ascii="仿宋_GB2312" w:cs="Times New Roman"/>
                <w:sz w:val="28"/>
                <w:szCs w:val="24"/>
              </w:rPr>
            </w:pPr>
            <w:r>
              <w:rPr>
                <w:rFonts w:hint="eastAsia" w:eastAsia="楷体_GB2312"/>
                <w:color w:val="0D0D0D"/>
                <w:sz w:val="28"/>
              </w:rPr>
              <w:t>“智慧文旅”项目。</w:t>
            </w:r>
            <w:r>
              <w:rPr>
                <w:rFonts w:hint="eastAsia" w:ascii="仿宋_GB2312" w:cs="Times New Roman"/>
                <w:sz w:val="28"/>
                <w:szCs w:val="24"/>
              </w:rPr>
              <w:t>依托市“智慧文旅”平台，整合全县文旅资源，探索建设旅游电子商务平台和旅游目的营销平台，以系统化推送海丰红色景点、特色农家乐、民宿等权威资讯，便捷展示通景公路通达度、目的地天气情况、目的地人流情况等，为游客出行的出行目的、出行方式等决策提供有效信息。同时在彭湃故居、红宫红场等主要红色文化场馆引入5G、物联网、虚拟现实（VR）、增强现实（AR）、人工智能（AI）等技术，丰富数字化互动体验项目，打造沉浸式、个性化的文旅体验。</w:t>
            </w:r>
          </w:p>
        </w:tc>
      </w:tr>
    </w:tbl>
    <w:p w14:paraId="78AF2571">
      <w:pPr>
        <w:spacing w:before="156" w:after="156"/>
        <w:ind w:firstLine="640"/>
        <w:rPr>
          <w:rFonts w:ascii="仿宋_GB2312"/>
          <w:szCs w:val="32"/>
        </w:rPr>
      </w:pPr>
    </w:p>
    <w:p w14:paraId="37FC2C03">
      <w:pPr>
        <w:pStyle w:val="2"/>
        <w:ind w:left="0" w:firstLine="640"/>
      </w:pPr>
      <w:bookmarkStart w:id="102" w:name="_Toc93003555"/>
      <w:bookmarkEnd w:id="102"/>
      <w:bookmarkStart w:id="103" w:name="_Toc93003161"/>
      <w:bookmarkEnd w:id="103"/>
      <w:bookmarkStart w:id="104" w:name="_Toc93003556"/>
      <w:bookmarkEnd w:id="104"/>
      <w:bookmarkStart w:id="105" w:name="_Toc93003160"/>
      <w:bookmarkEnd w:id="105"/>
      <w:bookmarkStart w:id="106" w:name="_Toc93003504"/>
      <w:bookmarkEnd w:id="106"/>
      <w:bookmarkStart w:id="107" w:name="_Toc93003503"/>
      <w:bookmarkEnd w:id="107"/>
      <w:bookmarkStart w:id="108" w:name="_Toc93501145"/>
      <w:r>
        <w:rPr>
          <w:rFonts w:hint="eastAsia"/>
        </w:rPr>
        <w:t>制度建设</w:t>
      </w:r>
      <w:bookmarkEnd w:id="108"/>
    </w:p>
    <w:p w14:paraId="04E83F27">
      <w:pPr>
        <w:pStyle w:val="3"/>
        <w:ind w:left="0" w:firstLine="720" w:firstLineChars="200"/>
      </w:pPr>
      <w:bookmarkStart w:id="109" w:name="_Toc68618898"/>
      <w:bookmarkStart w:id="110" w:name="_Toc68619031"/>
      <w:bookmarkStart w:id="111" w:name="_Hlk65748394"/>
      <w:bookmarkStart w:id="112" w:name="_Toc66450817"/>
      <w:bookmarkStart w:id="113" w:name="_Toc93501146"/>
      <w:bookmarkStart w:id="114" w:name="_Toc70495392"/>
      <w:r>
        <w:rPr>
          <w:rFonts w:hint="eastAsia"/>
        </w:rPr>
        <w:t>强化</w:t>
      </w:r>
      <w:bookmarkEnd w:id="109"/>
      <w:bookmarkEnd w:id="110"/>
      <w:bookmarkEnd w:id="111"/>
      <w:bookmarkEnd w:id="112"/>
      <w:r>
        <w:rPr>
          <w:rFonts w:hint="eastAsia"/>
        </w:rPr>
        <w:t>统筹管理机制</w:t>
      </w:r>
      <w:bookmarkEnd w:id="113"/>
      <w:bookmarkEnd w:id="114"/>
    </w:p>
    <w:p w14:paraId="71B7B91C">
      <w:pPr>
        <w:ind w:firstLine="643"/>
      </w:pPr>
      <w:r>
        <w:rPr>
          <w:rFonts w:hint="eastAsia"/>
          <w:b/>
          <w:bCs/>
        </w:rPr>
        <w:t>（1）建立熟悉数据官机制。</w:t>
      </w:r>
      <w:r>
        <w:rPr>
          <w:rFonts w:hint="eastAsia"/>
        </w:rPr>
        <w:t>在县数字政府改革建设工作领导小组的领导下，建立健全数字政府建设联席会议制度，制定县数字政府改革建设评价考核机制，设立政府及各部门首席数据官，强化责任意识和改革氛围。首席数据官负责本区域本部门的数据资源统筹和共享开放，负责信息化项目、数据治理及运营的统筹协调工作，强化部门间互联互通及信息协同。</w:t>
      </w:r>
    </w:p>
    <w:p w14:paraId="478E49AF">
      <w:pPr>
        <w:ind w:firstLine="643"/>
      </w:pPr>
      <w:bookmarkStart w:id="115" w:name="_Toc68619034"/>
      <w:r>
        <w:rPr>
          <w:rFonts w:hint="eastAsia"/>
          <w:b/>
          <w:bCs/>
        </w:rPr>
        <w:t>（2）完善项目管理机制。</w:t>
      </w:r>
      <w:r>
        <w:rPr>
          <w:rFonts w:hint="eastAsia" w:ascii="仿宋_GB2312"/>
          <w:szCs w:val="28"/>
        </w:rPr>
        <w:t>强化县政务服务数据管理局在全县政务信息化项目立项审核及项目建设实施集约化管理职责，</w:t>
      </w:r>
      <w:r>
        <w:rPr>
          <w:rFonts w:hint="eastAsia"/>
        </w:rPr>
        <w:t>在市政务信息化服务项目管理办法基础上，继续修订县级</w:t>
      </w:r>
      <w:r>
        <w:t>政务信息化服务项目管理办法，</w:t>
      </w:r>
      <w:r>
        <w:rPr>
          <w:rFonts w:hint="eastAsia"/>
        </w:rPr>
        <w:t>完善</w:t>
      </w:r>
      <w:r>
        <w:t>项目立项审批、采购、实施、验收、运维、</w:t>
      </w:r>
      <w:r>
        <w:rPr>
          <w:rFonts w:hint="eastAsia"/>
        </w:rPr>
        <w:t>评估、</w:t>
      </w:r>
      <w:r>
        <w:t>监督等管理要求和相关流程、规范</w:t>
      </w:r>
      <w:r>
        <w:rPr>
          <w:rFonts w:hint="eastAsia"/>
        </w:rPr>
        <w:t>。</w:t>
      </w:r>
      <w:r>
        <w:t>完善</w:t>
      </w:r>
      <w:r>
        <w:rPr>
          <w:rFonts w:hint="eastAsia"/>
        </w:rPr>
        <w:t>数字</w:t>
      </w:r>
      <w:r>
        <w:t>政府项目管理平台</w:t>
      </w:r>
      <w:r>
        <w:rPr>
          <w:rFonts w:hint="eastAsia"/>
        </w:rPr>
        <w:t>，</w:t>
      </w:r>
      <w:r>
        <w:t>保障</w:t>
      </w:r>
      <w:r>
        <w:rPr>
          <w:rFonts w:hint="eastAsia"/>
        </w:rPr>
        <w:t>政务</w:t>
      </w:r>
      <w:r>
        <w:t>信息化</w:t>
      </w:r>
      <w:r>
        <w:rPr>
          <w:rFonts w:hint="eastAsia"/>
        </w:rPr>
        <w:t>服务</w:t>
      </w:r>
      <w:r>
        <w:t>项目</w:t>
      </w:r>
      <w:r>
        <w:rPr>
          <w:rFonts w:hint="eastAsia"/>
        </w:rPr>
        <w:t>的统一性、整合性，</w:t>
      </w:r>
      <w:r>
        <w:t>提高</w:t>
      </w:r>
      <w:r>
        <w:rPr>
          <w:rFonts w:hint="eastAsia"/>
        </w:rPr>
        <w:t>项目</w:t>
      </w:r>
      <w:r>
        <w:t>建设</w:t>
      </w:r>
      <w:r>
        <w:rPr>
          <w:rFonts w:hint="eastAsia"/>
        </w:rPr>
        <w:t>质量和</w:t>
      </w:r>
      <w:r>
        <w:t>管理水平。</w:t>
      </w:r>
    </w:p>
    <w:p w14:paraId="61F0C417">
      <w:pPr>
        <w:ind w:firstLine="643"/>
        <w:rPr>
          <w:rFonts w:ascii="仿宋_GB2312"/>
          <w:szCs w:val="28"/>
        </w:rPr>
      </w:pPr>
      <w:r>
        <w:rPr>
          <w:rFonts w:hint="eastAsia"/>
          <w:b/>
          <w:bCs/>
        </w:rPr>
        <w:t>（3）推进智库支撑机制建设。</w:t>
      </w:r>
      <w:r>
        <w:t>按照“共同参与、统一标准”的原则，</w:t>
      </w:r>
      <w:r>
        <w:rPr>
          <w:rFonts w:hint="eastAsia"/>
        </w:rPr>
        <w:t>建立县级运维管理制度，明确县政数局、各业务部门之间的运维分工，规范服务标准和收费标准，切实保障海丰县数字政府相关运维管理工作。充分利用本地优秀企业的技术力量，组建本地化运营、运维团队，增强信息化人才队伍能力建设，提供专业化技术服务，为数字政府建设、运维、运营提供长期、稳定的服务和支撑。</w:t>
      </w:r>
    </w:p>
    <w:bookmarkEnd w:id="115"/>
    <w:p w14:paraId="69B2EFA5">
      <w:pPr>
        <w:ind w:firstLine="643"/>
      </w:pPr>
      <w:r>
        <w:rPr>
          <w:rFonts w:hint="eastAsia"/>
          <w:b/>
          <w:bCs/>
        </w:rPr>
        <w:t>（4）完善考核评估机制。</w:t>
      </w:r>
      <w:r>
        <w:rPr>
          <w:rFonts w:hint="eastAsia"/>
        </w:rPr>
        <w:t>依托市专家库资源，积聚专业优势，推动专家决策支撑由项目前期向全过程深入，加强项目建设指导。建立包括非盈利第三方研究机构、科研院所、专业咨询、监理和测评企业等在内的数字政府专业智库咨询体系。引入咨询、监理、测评等第三方服务机构，提供专业服务和人才机构支撑。加强信息化项目全生命周期的咨询设计、建设管理及成果评价，强化评价结果在数字政府项目申报立项决策中的运用，有效提高项目效益。</w:t>
      </w:r>
    </w:p>
    <w:p w14:paraId="428BBD06">
      <w:pPr>
        <w:pStyle w:val="3"/>
        <w:ind w:left="0" w:firstLine="720" w:firstLineChars="200"/>
      </w:pPr>
      <w:bookmarkStart w:id="116" w:name="_Toc66450818"/>
      <w:bookmarkStart w:id="117" w:name="_Toc93501147"/>
      <w:bookmarkStart w:id="118" w:name="_Toc68619036"/>
      <w:bookmarkStart w:id="119" w:name="_Toc70495393"/>
      <w:bookmarkStart w:id="120" w:name="_Toc68618899"/>
      <w:r>
        <w:t>提升建设运营</w:t>
      </w:r>
      <w:bookmarkEnd w:id="116"/>
      <w:r>
        <w:rPr>
          <w:rFonts w:hint="eastAsia"/>
        </w:rPr>
        <w:t>能力</w:t>
      </w:r>
      <w:bookmarkEnd w:id="117"/>
      <w:bookmarkEnd w:id="118"/>
      <w:bookmarkEnd w:id="119"/>
      <w:bookmarkEnd w:id="120"/>
    </w:p>
    <w:p w14:paraId="2458CC0D">
      <w:pPr>
        <w:ind w:firstLine="640"/>
      </w:pPr>
      <w:r>
        <w:t>按照“共同参与、统一标准”的原则，</w:t>
      </w:r>
      <w:r>
        <w:rPr>
          <w:rFonts w:hint="eastAsia"/>
        </w:rPr>
        <w:t>建立县级运维管理制度，明确县政数局、各业务部门之间的运维分工，规范服务标准和收费标准，切实保障海丰县数字政府相关运维管理工作。充分利用本地优秀企业的技术力量，组建本地化运营、运维团队，增强信息化人才队伍能力建设，提供专业化技术服务，为数字政府建设、运维、运营提供长期、稳定的服务和支撑。</w:t>
      </w:r>
    </w:p>
    <w:p w14:paraId="12DF83AB">
      <w:pPr>
        <w:pStyle w:val="3"/>
        <w:ind w:left="0" w:firstLine="720" w:firstLineChars="200"/>
      </w:pPr>
      <w:bookmarkStart w:id="121" w:name="_Toc84980785"/>
      <w:bookmarkEnd w:id="121"/>
      <w:bookmarkStart w:id="122" w:name="_Toc84980789"/>
      <w:bookmarkEnd w:id="122"/>
      <w:bookmarkStart w:id="123" w:name="_Toc84980788"/>
      <w:bookmarkEnd w:id="123"/>
      <w:bookmarkStart w:id="124" w:name="_Toc84980784"/>
      <w:bookmarkEnd w:id="124"/>
      <w:bookmarkStart w:id="125" w:name="_Toc84980786"/>
      <w:bookmarkEnd w:id="125"/>
      <w:bookmarkStart w:id="126" w:name="_Toc84980787"/>
      <w:bookmarkEnd w:id="126"/>
      <w:bookmarkStart w:id="127" w:name="_Toc93501148"/>
      <w:bookmarkStart w:id="128" w:name="_Toc70495394"/>
      <w:bookmarkStart w:id="129" w:name="_Toc68618900"/>
      <w:bookmarkStart w:id="130" w:name="_Toc68619039"/>
      <w:r>
        <w:rPr>
          <w:rFonts w:hint="eastAsia"/>
        </w:rPr>
        <w:t>加强标准规范宣贯</w:t>
      </w:r>
      <w:bookmarkEnd w:id="127"/>
      <w:bookmarkEnd w:id="128"/>
      <w:bookmarkEnd w:id="129"/>
      <w:bookmarkEnd w:id="130"/>
    </w:p>
    <w:p w14:paraId="4E8CA763">
      <w:pPr>
        <w:ind w:firstLine="643"/>
        <w:rPr>
          <w:rFonts w:ascii="仿宋_GB2312"/>
          <w:szCs w:val="28"/>
        </w:rPr>
      </w:pPr>
      <w:r>
        <w:rPr>
          <w:rFonts w:hint="eastAsia"/>
          <w:b/>
          <w:bCs/>
        </w:rPr>
        <w:t>（1）建立标准规范工作机制。</w:t>
      </w:r>
      <w:r>
        <w:t>加强对省级、市级标准的宣贯、培训、检查、考核力度，推动全县各部门更好地融入数字政府建设架构中。在省市数字政府改革建设标准体系下，统筹推进</w:t>
      </w:r>
      <w:r>
        <w:rPr>
          <w:rFonts w:hint="eastAsia"/>
        </w:rPr>
        <w:t>海丰</w:t>
      </w:r>
      <w:r>
        <w:t>县数字政府改革建设标准化工作，协调处理标准实施过程中的重大问题，督促检查数字政府改革建设标准化工作的落实。定期对已建、在建的数字政府项目开展标准符合性审查，对标准化建设不合格的项目开展重点监督，全面推进我县数字政府标准化建设。</w:t>
      </w:r>
    </w:p>
    <w:p w14:paraId="7583325B">
      <w:pPr>
        <w:ind w:firstLine="643"/>
        <w:rPr>
          <w:rFonts w:ascii="仿宋_GB2312"/>
          <w:szCs w:val="28"/>
        </w:rPr>
      </w:pPr>
      <w:r>
        <w:rPr>
          <w:rFonts w:hint="eastAsia"/>
          <w:b/>
          <w:bCs/>
        </w:rPr>
        <w:t>（2）加强重点领域标准实施。</w:t>
      </w:r>
      <w:r>
        <w:rPr>
          <w:rFonts w:hint="eastAsia"/>
        </w:rPr>
        <w:t>落实省市数字政府评估督查机制，加强对数字政府建设的评估监督，将数字政府建设列入重点督查内容，建设数字政府工作绩效常态化考评制度，提升数字政府改革效能。建立常态化审计制度，实现数字政府项目审计全覆盖，对数字政府建设项目进行监督，发挥考核督查导向作用，切实加强廉洁风险防范，保障数字政府建设有序推进。</w:t>
      </w:r>
      <w:r>
        <w:t>加强标准规范实施和监督。</w:t>
      </w:r>
    </w:p>
    <w:p w14:paraId="3CEB13C9">
      <w:pPr>
        <w:spacing w:before="156" w:after="156" w:line="240" w:lineRule="auto"/>
        <w:ind w:firstLine="640"/>
        <w:rPr>
          <w:rFonts w:ascii="仿宋_GB2312"/>
          <w:szCs w:val="28"/>
        </w:rPr>
      </w:pPr>
      <w:r>
        <w:rPr>
          <w:rFonts w:ascii="仿宋_GB2312"/>
          <w:szCs w:val="28"/>
        </w:rPr>
        <w:br w:type="page"/>
      </w:r>
    </w:p>
    <w:bookmarkEnd w:id="87"/>
    <w:bookmarkEnd w:id="88"/>
    <w:p w14:paraId="5CB15C17">
      <w:pPr>
        <w:pStyle w:val="2"/>
        <w:ind w:left="0" w:firstLine="640"/>
      </w:pPr>
      <w:bookmarkStart w:id="131" w:name="_Toc70495365"/>
      <w:bookmarkStart w:id="132" w:name="_Toc68618873"/>
      <w:bookmarkStart w:id="133" w:name="_Toc68618960"/>
      <w:bookmarkStart w:id="134" w:name="_Toc93501149"/>
      <w:bookmarkStart w:id="135" w:name="_Toc70495395"/>
      <w:bookmarkStart w:id="136" w:name="_Toc68619042"/>
      <w:bookmarkStart w:id="137" w:name="_Toc68618901"/>
      <w:r>
        <w:rPr>
          <w:rFonts w:hint="eastAsia"/>
        </w:rPr>
        <w:t>实施</w:t>
      </w:r>
      <w:bookmarkEnd w:id="131"/>
      <w:bookmarkEnd w:id="132"/>
      <w:bookmarkEnd w:id="133"/>
      <w:r>
        <w:rPr>
          <w:rFonts w:hint="eastAsia"/>
        </w:rPr>
        <w:t>策略</w:t>
      </w:r>
      <w:bookmarkEnd w:id="134"/>
    </w:p>
    <w:p w14:paraId="3CBE0389">
      <w:pPr>
        <w:pStyle w:val="3"/>
        <w:ind w:left="0" w:firstLine="720" w:firstLineChars="200"/>
      </w:pPr>
      <w:bookmarkStart w:id="138" w:name="_Toc93501150"/>
      <w:r>
        <w:rPr>
          <w:rFonts w:hint="eastAsia"/>
        </w:rPr>
        <w:t>全县一体，统分结合</w:t>
      </w:r>
      <w:bookmarkEnd w:id="138"/>
    </w:p>
    <w:p w14:paraId="7C93C37B">
      <w:pPr>
        <w:ind w:firstLine="640"/>
      </w:pPr>
      <w:r>
        <w:rPr>
          <w:rFonts w:hint="eastAsia"/>
        </w:rPr>
        <w:t>在省、市数字政府改革建设的总体布局下，按照“全县一体、以统为主、统分结合”的部署思路，推进我县数字政府建设，遵循省、市数字政府统一的标准规范，确保架构的集约性、一致性与互通性。我县数字政府改革建设由县政务服务数据管理局牵头，贯彻落实省、市数字政府改革建设工作部署，加强我县信息基础设施建设，统筹县级各部门的建设需求，充分利用和依托省、市数字政府、智慧城市已有系统平台和建设成果，开展应用推广和业务创新。各业务部门在数字政府建设总体框架下，负责本部门的业务事项梳理、业务流程优化、应用需求梳理、数据治理、系统升级改造等工作。</w:t>
      </w:r>
    </w:p>
    <w:p w14:paraId="04C6B4A5">
      <w:pPr>
        <w:pStyle w:val="3"/>
        <w:ind w:left="0" w:firstLine="720" w:firstLineChars="200"/>
      </w:pPr>
      <w:bookmarkStart w:id="139" w:name="_Toc93501151"/>
      <w:r>
        <w:rPr>
          <w:rFonts w:hint="eastAsia"/>
        </w:rPr>
        <w:t>明确目标，分步实施</w:t>
      </w:r>
      <w:bookmarkEnd w:id="139"/>
    </w:p>
    <w:p w14:paraId="480606DB">
      <w:pPr>
        <w:ind w:firstLine="640"/>
      </w:pPr>
      <w:r>
        <w:rPr>
          <w:rFonts w:hint="eastAsia"/>
        </w:rPr>
        <w:t>本规划期限为</w:t>
      </w:r>
      <w:r>
        <w:t>2021年至2025年，采用“战略突破期”、“深化应用期”、“全面提升期”三步走策略，分步推进我县数字政府改革建设工作。</w:t>
      </w:r>
    </w:p>
    <w:p w14:paraId="1440ABAE">
      <w:pPr>
        <w:ind w:firstLine="643"/>
      </w:pPr>
      <w:r>
        <w:rPr>
          <w:rFonts w:hint="eastAsia"/>
          <w:b/>
          <w:bCs/>
        </w:rPr>
        <w:t>1.战略突破期。</w:t>
      </w:r>
      <w:r>
        <w:rPr>
          <w:rFonts w:hint="eastAsia"/>
        </w:rPr>
        <w:t>2021年，夯实基础、重点突破。充分发挥市县统一部署优势，全面推进数字政府基础设施集约化工作，夯实云、网、数等基础支撑能力，加快电子证照应用推广，加强各部门数据共享，推进各部门审批流程再造、压缩审批时限，提升“八个便利化”、“六个通办”水平。全面推广使用</w:t>
      </w:r>
      <w:r>
        <w:t>“</w:t>
      </w:r>
      <w:r>
        <w:rPr>
          <w:rFonts w:hint="eastAsia"/>
        </w:rPr>
        <w:t>粤系列</w:t>
      </w:r>
      <w:r>
        <w:t>”</w:t>
      </w:r>
      <w:r>
        <w:rPr>
          <w:rFonts w:hint="eastAsia"/>
        </w:rPr>
        <w:t>、“善美系列”平台型应用，推进</w:t>
      </w:r>
      <w:r>
        <w:t>“</w:t>
      </w:r>
      <w:r>
        <w:rPr>
          <w:rFonts w:hint="eastAsia"/>
        </w:rPr>
        <w:t>无证明城市</w:t>
      </w:r>
      <w:r>
        <w:t>”</w:t>
      </w:r>
      <w:r>
        <w:rPr>
          <w:rFonts w:hint="eastAsia"/>
        </w:rPr>
        <w:t>建设、推进政务服务标杆大厅建设，推广并应用</w:t>
      </w:r>
      <w:r>
        <w:t>“</w:t>
      </w:r>
      <w:r>
        <w:rPr>
          <w:rFonts w:hint="eastAsia"/>
        </w:rPr>
        <w:t>民情地图</w:t>
      </w:r>
      <w:r>
        <w:t>”</w:t>
      </w:r>
      <w:r>
        <w:rPr>
          <w:rFonts w:hint="eastAsia"/>
        </w:rPr>
        <w:t>平台能力，促使政务服务、民生服务、全域旅游、营商环境、社会治理等领域实现重点突破</w:t>
      </w:r>
      <w:r>
        <w:t>。</w:t>
      </w:r>
    </w:p>
    <w:p w14:paraId="7A2F062A">
      <w:pPr>
        <w:ind w:firstLine="643"/>
      </w:pPr>
      <w:r>
        <w:rPr>
          <w:rFonts w:hint="eastAsia"/>
          <w:b/>
          <w:bCs/>
        </w:rPr>
        <w:t>2.深化应用</w:t>
      </w:r>
      <w:r>
        <w:rPr>
          <w:rFonts w:hint="eastAsia"/>
        </w:rPr>
        <w:t>。2022-2023年，深化应用，创新引领。一是紧跟省市改革步伐，探索推进“高效办成一件事”“高效处置一件事”和“高效流转一件事”机制建设。二是充分利用“明珠数谷”大数据产业园建设等战略优势，加强试点示范创新引领作用，有序推进各部门各领域数字化转型和业务系统创新，持续深化政务服务、营商环境、县域治理和政府运行等领域建设包括“智慧警务”、“智能交通”、“智慧教育”、“智慧医院”等智慧化特色应用。三是</w:t>
      </w:r>
      <w:r>
        <w:t>充分依托政务大数据中心</w:t>
      </w:r>
      <w:r>
        <w:rPr>
          <w:rFonts w:hint="eastAsia"/>
        </w:rPr>
        <w:t>汕尾节点</w:t>
      </w:r>
      <w:r>
        <w:t>能力，加快整合</w:t>
      </w:r>
      <w:r>
        <w:rPr>
          <w:rFonts w:hint="eastAsia"/>
        </w:rPr>
        <w:t>县级各</w:t>
      </w:r>
      <w:r>
        <w:t>部门数据资源，</w:t>
      </w:r>
      <w:r>
        <w:rPr>
          <w:rFonts w:hint="eastAsia"/>
        </w:rPr>
        <w:t>探索建设服务我县特色的专题库和主题库。</w:t>
      </w:r>
      <w:r>
        <w:t>促进</w:t>
      </w:r>
      <w:r>
        <w:rPr>
          <w:rFonts w:hint="eastAsia"/>
        </w:rPr>
        <w:t>海丰</w:t>
      </w:r>
      <w:r>
        <w:t>县公共数据共享交换和数据治理工作稳步开展，进一步推进公共数据开放和开发利用</w:t>
      </w:r>
      <w:r>
        <w:rPr>
          <w:rFonts w:hint="eastAsia"/>
        </w:rPr>
        <w:t>。四是全面落实自建系统上云工作，优化政务外网安全保障体系，提升政务外网支撑能力，推进政务外网与非涉密业务专网对接，推进“一网通达”建设，</w:t>
      </w:r>
      <w:r>
        <w:t>并不断提升全县数字政府基础设施支撑水</w:t>
      </w:r>
      <w:r>
        <w:rPr>
          <w:rFonts w:hint="eastAsia"/>
        </w:rPr>
        <w:t>平。</w:t>
      </w:r>
    </w:p>
    <w:p w14:paraId="3BCB50C3">
      <w:pPr>
        <w:ind w:firstLine="643"/>
      </w:pPr>
      <w:r>
        <w:rPr>
          <w:rFonts w:hint="eastAsia"/>
          <w:b/>
          <w:bCs/>
        </w:rPr>
        <w:t>3.全面提升。</w:t>
      </w:r>
      <w:r>
        <w:rPr>
          <w:rFonts w:hint="eastAsia"/>
        </w:rPr>
        <w:t>2024-2025年，全面提升、激活生态。推动数字技术与政府履职全面深度融合，全县一体化的数字政府改革建设体系基本建成，“高效办成一件事”“高效处置一件事”和“高效流转一件事”机制基本建成，集约共享的技术支撑体系基本建成，公共服务普惠均等水平显著提升，全县数字政府改革建设水平全面提升，数字政府有力引领数字经济、数字社会发展，充分激活数字生态发展，完成本规划确定的目标任务。</w:t>
      </w:r>
    </w:p>
    <w:p w14:paraId="7C92B700">
      <w:pPr>
        <w:spacing w:before="156" w:after="156" w:line="240" w:lineRule="auto"/>
        <w:ind w:firstLine="640"/>
        <w:rPr>
          <w:rFonts w:ascii="仿宋_GB2312"/>
          <w:szCs w:val="28"/>
        </w:rPr>
      </w:pPr>
      <w:r>
        <w:rPr>
          <w:rFonts w:ascii="仿宋_GB2312"/>
          <w:szCs w:val="28"/>
        </w:rPr>
        <w:br w:type="page"/>
      </w:r>
    </w:p>
    <w:p w14:paraId="70837C18">
      <w:pPr>
        <w:pStyle w:val="2"/>
        <w:ind w:left="0" w:firstLine="640"/>
      </w:pPr>
      <w:bookmarkStart w:id="140" w:name="_Toc93501152"/>
      <w:r>
        <w:rPr>
          <w:rFonts w:hint="eastAsia"/>
        </w:rPr>
        <w:t>保障措施</w:t>
      </w:r>
      <w:bookmarkEnd w:id="135"/>
      <w:bookmarkEnd w:id="136"/>
      <w:bookmarkEnd w:id="137"/>
      <w:bookmarkEnd w:id="140"/>
    </w:p>
    <w:p w14:paraId="0501C321">
      <w:pPr>
        <w:pStyle w:val="3"/>
        <w:ind w:left="0" w:firstLine="720" w:firstLineChars="200"/>
      </w:pPr>
      <w:bookmarkStart w:id="141" w:name="_Toc70495396"/>
      <w:bookmarkStart w:id="142" w:name="_Toc68618902"/>
      <w:bookmarkStart w:id="143" w:name="_Toc93501153"/>
      <w:bookmarkStart w:id="144" w:name="_Toc68619043"/>
      <w:r>
        <w:rPr>
          <w:rFonts w:hint="eastAsia"/>
        </w:rPr>
        <w:t>组织保障</w:t>
      </w:r>
      <w:bookmarkEnd w:id="141"/>
      <w:bookmarkEnd w:id="142"/>
      <w:bookmarkEnd w:id="143"/>
      <w:bookmarkEnd w:id="144"/>
    </w:p>
    <w:p w14:paraId="222BF07E">
      <w:pPr>
        <w:ind w:firstLine="640"/>
      </w:pPr>
      <w:r>
        <w:rPr>
          <w:rFonts w:hint="eastAsia"/>
        </w:rPr>
        <w:t>发挥数字政府改革建设领导小组和首席数据官（</w:t>
      </w:r>
      <w:r>
        <w:t>CDO）的作用，加强宏观指导，统筹规划、统一部署。全县各部门要高度重视，要参照</w:t>
      </w:r>
      <w:r>
        <w:rPr>
          <w:rFonts w:hint="eastAsia"/>
        </w:rPr>
        <w:t>省</w:t>
      </w:r>
      <w:r>
        <w:t>市设立本县、本部门首席数据官（CDO），健全完善主要领导责任制，主要领导要亲自部署、亲自推动，明确具体目标、工作任务、实施计划和责任分工，确保数字政府建设各项工作落实到位。完善与数字政府建设相适应的配套制度和流程，</w:t>
      </w:r>
      <w:r>
        <w:rPr>
          <w:rFonts w:hint="eastAsia"/>
        </w:rPr>
        <w:t>统筹推进全县数字政府改革建设。建立健全数字政府改革建设督查评估机制。充分发挥督查评估的导向作用。组织开展数字政府改革建设绩效评估，健全企业和群众评价机制，完善考核评价指标。</w:t>
      </w:r>
    </w:p>
    <w:p w14:paraId="22F47CA5">
      <w:pPr>
        <w:pStyle w:val="3"/>
        <w:ind w:left="0" w:firstLine="720" w:firstLineChars="200"/>
      </w:pPr>
      <w:bookmarkStart w:id="145" w:name="_Toc68618905"/>
      <w:bookmarkStart w:id="146" w:name="_Toc68619046"/>
      <w:bookmarkStart w:id="147" w:name="_Toc93501154"/>
      <w:bookmarkStart w:id="148" w:name="_Toc70495399"/>
      <w:bookmarkStart w:id="149" w:name="_Toc70495397"/>
      <w:bookmarkStart w:id="150" w:name="_Toc68619044"/>
      <w:bookmarkStart w:id="151" w:name="_Toc68618903"/>
      <w:r>
        <w:rPr>
          <w:rFonts w:hint="eastAsia"/>
        </w:rPr>
        <w:t>人才保障</w:t>
      </w:r>
      <w:bookmarkEnd w:id="145"/>
      <w:bookmarkEnd w:id="146"/>
      <w:bookmarkEnd w:id="147"/>
      <w:bookmarkEnd w:id="148"/>
    </w:p>
    <w:p w14:paraId="6D71F38C">
      <w:pPr>
        <w:ind w:firstLine="640"/>
      </w:pPr>
      <w:r>
        <w:rPr>
          <w:rFonts w:hint="eastAsia"/>
        </w:rPr>
        <w:t>优化县级各部门信息化人才队伍配置，特别是提升县政务数据管理局信息化人才占比，以6</w:t>
      </w:r>
      <w:r>
        <w:t>0</w:t>
      </w:r>
      <w:r>
        <w:rPr>
          <w:rFonts w:hint="eastAsia"/>
        </w:rPr>
        <w:t>%为基数目标，</w:t>
      </w:r>
      <w:r>
        <w:t>2021</w:t>
      </w:r>
      <w:r>
        <w:rPr>
          <w:rFonts w:hint="eastAsia"/>
        </w:rPr>
        <w:t>年至2</w:t>
      </w:r>
      <w:r>
        <w:t>025</w:t>
      </w:r>
      <w:r>
        <w:rPr>
          <w:rFonts w:hint="eastAsia"/>
        </w:rPr>
        <w:t>，每年重点引进信息化人才3名共1</w:t>
      </w:r>
      <w:r>
        <w:t>5</w:t>
      </w:r>
      <w:r>
        <w:rPr>
          <w:rFonts w:hint="eastAsia"/>
        </w:rPr>
        <w:t>名</w:t>
      </w:r>
      <w:r>
        <w:rPr>
          <w:rFonts w:hint="eastAsia" w:ascii="仿宋_GB2312"/>
        </w:rPr>
        <w:t>。</w:t>
      </w:r>
      <w:r>
        <w:t>将</w:t>
      </w:r>
      <w:r>
        <w:rPr>
          <w:rFonts w:hint="eastAsia"/>
        </w:rPr>
        <w:t>数字政府改革</w:t>
      </w:r>
      <w:r>
        <w:t>建设纳入</w:t>
      </w:r>
      <w:r>
        <w:rPr>
          <w:rFonts w:hint="eastAsia"/>
        </w:rPr>
        <w:t>全县</w:t>
      </w:r>
      <w:r>
        <w:t>干部和政府工作人员培训体系，建立普及性与针对性相结合的培训机制，依托高校、企业或</w:t>
      </w:r>
      <w:r>
        <w:rPr>
          <w:rFonts w:hint="eastAsia"/>
        </w:rPr>
        <w:t>专业社会组织</w:t>
      </w:r>
      <w:r>
        <w:t>，开展</w:t>
      </w:r>
      <w:r>
        <w:rPr>
          <w:rFonts w:hint="eastAsia"/>
        </w:rPr>
        <w:t>数字政府改革</w:t>
      </w:r>
      <w:r>
        <w:t>建设培训，提高</w:t>
      </w:r>
      <w:r>
        <w:rPr>
          <w:rFonts w:hint="eastAsia"/>
        </w:rPr>
        <w:t>全县</w:t>
      </w:r>
      <w:r>
        <w:t>干部利用信息化手段的意识和能力。完善人才引进机制，持续推出人才发展配套政策或实施细则，建立人才引进、使用、奖励机制，推动人才待遇落地，增强对政务信息化专业人才的吸引力。</w:t>
      </w:r>
      <w:r>
        <w:rPr>
          <w:rFonts w:hint="eastAsia"/>
        </w:rPr>
        <w:t>探索与汕尾</w:t>
      </w:r>
      <w:r>
        <w:t>本地科研院所、高校</w:t>
      </w:r>
      <w:r>
        <w:rPr>
          <w:rFonts w:hint="eastAsia"/>
        </w:rPr>
        <w:t>、第三方咨询</w:t>
      </w:r>
      <w:r>
        <w:t>等机构合作，积极培养</w:t>
      </w:r>
      <w:r>
        <w:rPr>
          <w:rFonts w:hint="eastAsia"/>
        </w:rPr>
        <w:t>数字政府</w:t>
      </w:r>
      <w:r>
        <w:t>领域专业型人才和跨界复合型人才。</w:t>
      </w:r>
    </w:p>
    <w:p w14:paraId="10F0EA4A">
      <w:pPr>
        <w:pStyle w:val="3"/>
        <w:ind w:left="0" w:firstLine="720" w:firstLineChars="200"/>
      </w:pPr>
      <w:bookmarkStart w:id="152" w:name="_Toc93501155"/>
      <w:bookmarkStart w:id="153" w:name="_Toc70495398"/>
      <w:bookmarkStart w:id="154" w:name="_Toc68618904"/>
      <w:bookmarkStart w:id="155" w:name="_Toc68619045"/>
      <w:r>
        <w:rPr>
          <w:rFonts w:hint="eastAsia"/>
        </w:rPr>
        <w:t>技术保障</w:t>
      </w:r>
      <w:bookmarkEnd w:id="152"/>
      <w:bookmarkEnd w:id="153"/>
      <w:bookmarkEnd w:id="154"/>
      <w:bookmarkEnd w:id="155"/>
    </w:p>
    <w:p w14:paraId="3645BA04">
      <w:pPr>
        <w:ind w:firstLine="640"/>
        <w:rPr>
          <w:rFonts w:hAnsiTheme="minorHAnsi"/>
          <w:sz w:val="24"/>
        </w:rPr>
      </w:pPr>
      <w:r>
        <w:rPr>
          <w:rFonts w:hint="eastAsia"/>
        </w:rPr>
        <w:t>整合县直各部门信息化工作人员，利用其既了解信息技术又理解数字政府建设的优势，组建政府领导下的数字政府建设运营队伍。在省、市数字政府产业生态圈中，建立海丰县数字政府产业生态，吸纳优秀企业参与数字政府建设。以购买服务的模式，通过公平竞争、按优选择的方式确定政府购买服务的承接主体，为数字政府建设、运营提供长期稳定的服务和技术支撑。加强数字政府建设中创新成果的知识产权保护，不断提高创新能力，积极打造海丰县在数字政府改革建设中的技术优势。</w:t>
      </w:r>
    </w:p>
    <w:p w14:paraId="7AE6F7E0">
      <w:pPr>
        <w:pStyle w:val="3"/>
        <w:ind w:left="0" w:firstLine="720" w:firstLineChars="200"/>
      </w:pPr>
      <w:bookmarkStart w:id="156" w:name="_Toc93501156"/>
      <w:r>
        <w:rPr>
          <w:rFonts w:hint="eastAsia"/>
        </w:rPr>
        <w:t>资金保障</w:t>
      </w:r>
      <w:bookmarkEnd w:id="149"/>
      <w:bookmarkEnd w:id="150"/>
      <w:bookmarkEnd w:id="151"/>
      <w:bookmarkEnd w:id="156"/>
    </w:p>
    <w:p w14:paraId="73FFBB2C">
      <w:pPr>
        <w:ind w:firstLine="640"/>
      </w:pPr>
      <w:r>
        <w:rPr>
          <w:rFonts w:hint="eastAsia"/>
        </w:rPr>
        <w:t>加大数字政府改革建设相关经费统筹力度，发挥革命老区优势，积极争取数字政府改革试点区县，寻求省、市的资金和建设支持，抓住深圳全面对口帮扶契机，做好数字政府改革建设和运营资金保障。加大财政资金配套力度，对审核通过后的信息化项目建设、运维、运营服务等费用分年度做好财政预算和保障。在市政务信息化服务预算标准体系基础上，探索研究制定海丰县数字政府建设资金管理办法，对全县各部门和各镇信息化建设资金进行归口统筹，进一步加强资金使用效率。明确运行维护的资金预算和资金使用计划，确保项目建成后有足够的经费支撑其可持续的运营、发展。</w:t>
      </w:r>
    </w:p>
    <w:p w14:paraId="3632DC31">
      <w:pPr>
        <w:ind w:firstLine="640"/>
      </w:pPr>
      <w:r>
        <w:br w:type="page"/>
      </w:r>
    </w:p>
    <w:p w14:paraId="0696092E">
      <w:pPr>
        <w:pStyle w:val="2"/>
        <w:numPr>
          <w:ilvl w:val="0"/>
          <w:numId w:val="0"/>
        </w:numPr>
        <w:ind w:left="640"/>
      </w:pPr>
      <w:bookmarkStart w:id="157" w:name="_Toc93501157"/>
      <w:r>
        <w:rPr>
          <w:rFonts w:hint="eastAsia"/>
        </w:rPr>
        <w:t>附件</w:t>
      </w:r>
      <w:r>
        <w:t>1</w:t>
      </w:r>
      <w:r>
        <w:rPr>
          <w:rFonts w:hint="eastAsia"/>
        </w:rPr>
        <w:t xml:space="preserve"> 指标计算方法</w:t>
      </w:r>
      <w:bookmarkEnd w:id="157"/>
    </w:p>
    <w:tbl>
      <w:tblPr>
        <w:tblStyle w:val="30"/>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1"/>
        <w:gridCol w:w="1086"/>
        <w:gridCol w:w="4423"/>
        <w:gridCol w:w="2289"/>
      </w:tblGrid>
      <w:tr w14:paraId="761E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92" w:type="pct"/>
            <w:shd w:val="clear" w:color="auto" w:fill="D0CECE" w:themeFill="background2" w:themeFillShade="E6"/>
            <w:tcMar>
              <w:left w:w="0" w:type="dxa"/>
              <w:right w:w="0" w:type="dxa"/>
            </w:tcMar>
            <w:vAlign w:val="center"/>
          </w:tcPr>
          <w:p w14:paraId="719AC53A">
            <w:pPr>
              <w:snapToGrid w:val="0"/>
              <w:spacing w:before="40" w:after="40" w:line="240" w:lineRule="auto"/>
              <w:ind w:firstLine="0" w:firstLineChars="0"/>
              <w:jc w:val="center"/>
              <w:rPr>
                <w:rFonts w:ascii="黑体" w:hAnsi="黑体" w:eastAsia="黑体"/>
                <w:kern w:val="0"/>
                <w:sz w:val="28"/>
              </w:rPr>
            </w:pPr>
            <w:r>
              <w:rPr>
                <w:rFonts w:hint="eastAsia" w:ascii="黑体" w:hAnsi="黑体" w:eastAsia="黑体"/>
                <w:kern w:val="0"/>
                <w:sz w:val="28"/>
              </w:rPr>
              <w:t>序号</w:t>
            </w:r>
          </w:p>
        </w:tc>
        <w:tc>
          <w:tcPr>
            <w:tcW w:w="628" w:type="pct"/>
            <w:shd w:val="clear" w:color="auto" w:fill="D0CECE" w:themeFill="background2" w:themeFillShade="E6"/>
            <w:tcMar>
              <w:left w:w="0" w:type="dxa"/>
              <w:right w:w="0" w:type="dxa"/>
            </w:tcMar>
            <w:vAlign w:val="center"/>
          </w:tcPr>
          <w:p w14:paraId="4B10C379">
            <w:pPr>
              <w:snapToGrid w:val="0"/>
              <w:spacing w:before="40" w:after="40" w:line="240" w:lineRule="auto"/>
              <w:ind w:firstLine="0" w:firstLineChars="0"/>
              <w:jc w:val="center"/>
              <w:rPr>
                <w:rFonts w:ascii="黑体" w:hAnsi="黑体" w:eastAsia="黑体"/>
                <w:kern w:val="0"/>
                <w:sz w:val="28"/>
              </w:rPr>
            </w:pPr>
            <w:r>
              <w:rPr>
                <w:rFonts w:hint="eastAsia" w:ascii="黑体" w:hAnsi="黑体" w:eastAsia="黑体"/>
                <w:kern w:val="0"/>
                <w:sz w:val="28"/>
              </w:rPr>
              <w:t>类别</w:t>
            </w:r>
          </w:p>
        </w:tc>
        <w:tc>
          <w:tcPr>
            <w:tcW w:w="2557" w:type="pct"/>
            <w:shd w:val="clear" w:color="auto" w:fill="D0CECE" w:themeFill="background2" w:themeFillShade="E6"/>
            <w:tcMar>
              <w:left w:w="0" w:type="dxa"/>
              <w:right w:w="0" w:type="dxa"/>
            </w:tcMar>
            <w:vAlign w:val="center"/>
          </w:tcPr>
          <w:p w14:paraId="5F098A0E">
            <w:pPr>
              <w:snapToGrid w:val="0"/>
              <w:spacing w:before="40" w:after="40" w:line="240" w:lineRule="auto"/>
              <w:ind w:firstLine="0" w:firstLineChars="0"/>
              <w:jc w:val="center"/>
              <w:rPr>
                <w:rFonts w:ascii="黑体" w:hAnsi="黑体" w:eastAsia="黑体"/>
                <w:kern w:val="0"/>
                <w:sz w:val="28"/>
              </w:rPr>
            </w:pPr>
            <w:r>
              <w:rPr>
                <w:rFonts w:hint="eastAsia" w:ascii="黑体" w:hAnsi="黑体" w:eastAsia="黑体"/>
                <w:kern w:val="0"/>
                <w:sz w:val="28"/>
              </w:rPr>
              <w:t>主要指标</w:t>
            </w:r>
          </w:p>
        </w:tc>
        <w:tc>
          <w:tcPr>
            <w:tcW w:w="1323" w:type="pct"/>
            <w:shd w:val="clear" w:color="auto" w:fill="D0CECE" w:themeFill="background2" w:themeFillShade="E6"/>
            <w:vAlign w:val="center"/>
          </w:tcPr>
          <w:p w14:paraId="5745D7AF">
            <w:pPr>
              <w:snapToGrid w:val="0"/>
              <w:spacing w:before="40" w:after="40" w:line="240" w:lineRule="auto"/>
              <w:ind w:firstLine="0" w:firstLineChars="0"/>
              <w:jc w:val="center"/>
              <w:rPr>
                <w:rFonts w:ascii="黑体" w:hAnsi="黑体" w:eastAsia="黑体"/>
                <w:kern w:val="0"/>
                <w:sz w:val="28"/>
              </w:rPr>
            </w:pPr>
            <w:r>
              <w:rPr>
                <w:rFonts w:hint="eastAsia" w:ascii="黑体" w:hAnsi="黑体" w:eastAsia="黑体"/>
                <w:kern w:val="0"/>
                <w:sz w:val="28"/>
              </w:rPr>
              <w:t>计算方法</w:t>
            </w:r>
          </w:p>
        </w:tc>
      </w:tr>
      <w:tr w14:paraId="79F2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54EBA9B6">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p>
        </w:tc>
        <w:tc>
          <w:tcPr>
            <w:tcW w:w="628" w:type="pct"/>
            <w:vMerge w:val="restart"/>
            <w:shd w:val="clear" w:color="auto" w:fill="auto"/>
            <w:tcMar>
              <w:left w:w="0" w:type="dxa"/>
              <w:right w:w="0" w:type="dxa"/>
            </w:tcMar>
            <w:vAlign w:val="center"/>
          </w:tcPr>
          <w:p w14:paraId="71232352">
            <w:pPr>
              <w:snapToGrid w:val="0"/>
              <w:spacing w:before="40" w:after="40" w:line="240" w:lineRule="auto"/>
              <w:ind w:firstLine="0" w:firstLineChars="0"/>
              <w:rPr>
                <w:rFonts w:hint="eastAsia" w:ascii="仿宋_GB2312" w:eastAsia="仿宋_GB2312"/>
                <w:kern w:val="0"/>
                <w:sz w:val="28"/>
                <w:lang w:eastAsia="zh-CN"/>
              </w:rPr>
            </w:pPr>
            <w:r>
              <w:rPr>
                <w:rFonts w:hint="eastAsia" w:ascii="仿宋_GB2312"/>
                <w:kern w:val="0"/>
                <w:sz w:val="28"/>
              </w:rPr>
              <w:t>数字化</w:t>
            </w:r>
          </w:p>
          <w:p w14:paraId="7A7EC878">
            <w:pPr>
              <w:snapToGrid w:val="0"/>
              <w:spacing w:before="40" w:after="40" w:line="240" w:lineRule="auto"/>
              <w:ind w:firstLine="0" w:firstLineChars="0"/>
              <w:rPr>
                <w:rFonts w:ascii="仿宋_GB2312"/>
                <w:kern w:val="0"/>
                <w:sz w:val="28"/>
              </w:rPr>
            </w:pPr>
            <w:r>
              <w:rPr>
                <w:rFonts w:hint="eastAsia" w:ascii="仿宋_GB2312"/>
                <w:kern w:val="0"/>
                <w:sz w:val="28"/>
              </w:rPr>
              <w:t>履职能力</w:t>
            </w:r>
          </w:p>
        </w:tc>
        <w:tc>
          <w:tcPr>
            <w:tcW w:w="2557" w:type="pct"/>
            <w:shd w:val="clear" w:color="auto" w:fill="auto"/>
            <w:tcMar>
              <w:left w:w="0" w:type="dxa"/>
              <w:right w:w="0" w:type="dxa"/>
            </w:tcMar>
            <w:vAlign w:val="center"/>
          </w:tcPr>
          <w:p w14:paraId="0461A914">
            <w:pPr>
              <w:snapToGrid w:val="0"/>
              <w:spacing w:before="40" w:after="40" w:line="240" w:lineRule="auto"/>
              <w:ind w:firstLine="0" w:firstLineChars="0"/>
              <w:jc w:val="center"/>
              <w:rPr>
                <w:rFonts w:ascii="仿宋_GB2312"/>
                <w:kern w:val="0"/>
                <w:sz w:val="28"/>
              </w:rPr>
            </w:pPr>
            <w:r>
              <w:rPr>
                <w:rFonts w:hint="eastAsia" w:ascii="仿宋_GB2312"/>
                <w:kern w:val="0"/>
                <w:sz w:val="28"/>
              </w:rPr>
              <w:t>“零跑动”事项覆盖率（%）</w:t>
            </w:r>
          </w:p>
        </w:tc>
        <w:tc>
          <w:tcPr>
            <w:tcW w:w="1323" w:type="pct"/>
            <w:shd w:val="clear" w:color="auto" w:fill="auto"/>
            <w:vAlign w:val="center"/>
          </w:tcPr>
          <w:p w14:paraId="5ADD438B">
            <w:pPr>
              <w:snapToGrid w:val="0"/>
              <w:spacing w:before="40" w:after="40" w:line="240" w:lineRule="auto"/>
              <w:ind w:firstLine="0" w:firstLineChars="0"/>
              <w:rPr>
                <w:rFonts w:ascii="仿宋_GB2312" w:cs="Times New Roman"/>
                <w:kern w:val="0"/>
                <w:sz w:val="28"/>
              </w:rPr>
            </w:pPr>
            <w:r>
              <w:rPr>
                <w:rFonts w:hint="eastAsia" w:ascii="仿宋_GB2312" w:cs="Times New Roman"/>
                <w:kern w:val="0"/>
                <w:sz w:val="28"/>
                <w:szCs w:val="28"/>
              </w:rPr>
              <w:t>市县两级“零跑动”事项数/许可事项总数*100%</w:t>
            </w:r>
          </w:p>
        </w:tc>
      </w:tr>
      <w:tr w14:paraId="2535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40DD48DF">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p>
        </w:tc>
        <w:tc>
          <w:tcPr>
            <w:tcW w:w="628" w:type="pct"/>
            <w:vMerge w:val="continue"/>
            <w:shd w:val="clear" w:color="auto" w:fill="auto"/>
            <w:tcMar>
              <w:left w:w="0" w:type="dxa"/>
              <w:right w:w="0" w:type="dxa"/>
            </w:tcMar>
            <w:vAlign w:val="center"/>
          </w:tcPr>
          <w:p w14:paraId="10C5DE7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BFE5A15">
            <w:pPr>
              <w:snapToGrid w:val="0"/>
              <w:spacing w:before="40" w:after="40" w:line="240" w:lineRule="auto"/>
              <w:ind w:firstLine="0" w:firstLineChars="0"/>
              <w:jc w:val="center"/>
              <w:rPr>
                <w:rFonts w:ascii="仿宋_GB2312"/>
                <w:kern w:val="0"/>
                <w:sz w:val="28"/>
              </w:rPr>
            </w:pPr>
            <w:r>
              <w:rPr>
                <w:rFonts w:hint="eastAsia" w:ascii="仿宋_GB2312"/>
                <w:kern w:val="0"/>
                <w:sz w:val="28"/>
              </w:rPr>
              <w:t>一窗综合受理率（%）</w:t>
            </w:r>
          </w:p>
        </w:tc>
        <w:tc>
          <w:tcPr>
            <w:tcW w:w="1323" w:type="pct"/>
            <w:shd w:val="clear" w:color="auto" w:fill="auto"/>
            <w:vAlign w:val="center"/>
          </w:tcPr>
          <w:p w14:paraId="792883FE">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依申请政务服务事项纳入综合窗口办理的事项数/依申请政务服务事项总数*100%</w:t>
            </w:r>
          </w:p>
        </w:tc>
      </w:tr>
      <w:tr w14:paraId="3E3B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45046977">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3</w:t>
            </w:r>
          </w:p>
        </w:tc>
        <w:tc>
          <w:tcPr>
            <w:tcW w:w="628" w:type="pct"/>
            <w:vMerge w:val="continue"/>
            <w:shd w:val="clear" w:color="auto" w:fill="auto"/>
            <w:tcMar>
              <w:left w:w="0" w:type="dxa"/>
              <w:right w:w="0" w:type="dxa"/>
            </w:tcMar>
            <w:vAlign w:val="center"/>
          </w:tcPr>
          <w:p w14:paraId="17BF06D7">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7229ED49">
            <w:pPr>
              <w:snapToGrid w:val="0"/>
              <w:spacing w:before="40" w:after="40" w:line="240" w:lineRule="auto"/>
              <w:ind w:firstLine="0" w:firstLineChars="0"/>
              <w:jc w:val="center"/>
              <w:rPr>
                <w:rFonts w:ascii="仿宋_GB2312"/>
                <w:kern w:val="0"/>
                <w:sz w:val="28"/>
              </w:rPr>
            </w:pPr>
            <w:r>
              <w:rPr>
                <w:rFonts w:hint="eastAsia" w:ascii="仿宋_GB2312"/>
                <w:kern w:val="0"/>
                <w:sz w:val="28"/>
              </w:rPr>
              <w:t>“一件事”主题集成服务数量（件）</w:t>
            </w:r>
          </w:p>
        </w:tc>
        <w:tc>
          <w:tcPr>
            <w:tcW w:w="1323" w:type="pct"/>
            <w:shd w:val="clear" w:color="auto" w:fill="auto"/>
            <w:vAlign w:val="center"/>
          </w:tcPr>
          <w:p w14:paraId="6FFF4A07">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692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22B68196">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4</w:t>
            </w:r>
          </w:p>
        </w:tc>
        <w:tc>
          <w:tcPr>
            <w:tcW w:w="628" w:type="pct"/>
            <w:vMerge w:val="continue"/>
            <w:shd w:val="clear" w:color="auto" w:fill="auto"/>
            <w:tcMar>
              <w:left w:w="0" w:type="dxa"/>
              <w:right w:w="0" w:type="dxa"/>
            </w:tcMar>
            <w:vAlign w:val="center"/>
          </w:tcPr>
          <w:p w14:paraId="42F69494">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3ADC770D">
            <w:pPr>
              <w:snapToGrid w:val="0"/>
              <w:spacing w:before="40" w:after="40" w:line="240" w:lineRule="auto"/>
              <w:ind w:firstLine="0" w:firstLineChars="0"/>
              <w:jc w:val="center"/>
              <w:rPr>
                <w:rFonts w:ascii="仿宋_GB2312"/>
                <w:kern w:val="0"/>
                <w:sz w:val="28"/>
              </w:rPr>
            </w:pPr>
            <w:r>
              <w:rPr>
                <w:rFonts w:hint="eastAsia" w:ascii="仿宋_GB2312"/>
                <w:kern w:val="0"/>
                <w:sz w:val="28"/>
              </w:rPr>
              <w:t>“粤智助”政府服务自助机镇街覆盖率（%）</w:t>
            </w:r>
          </w:p>
        </w:tc>
        <w:tc>
          <w:tcPr>
            <w:tcW w:w="1323" w:type="pct"/>
            <w:shd w:val="clear" w:color="auto" w:fill="auto"/>
            <w:vAlign w:val="center"/>
          </w:tcPr>
          <w:p w14:paraId="4B73024A">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已投放“粤智助”政府服务自助机的镇街数量/全市镇街总数*100%</w:t>
            </w:r>
          </w:p>
        </w:tc>
      </w:tr>
      <w:tr w14:paraId="2A03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11668B19">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5</w:t>
            </w:r>
          </w:p>
        </w:tc>
        <w:tc>
          <w:tcPr>
            <w:tcW w:w="628" w:type="pct"/>
            <w:vMerge w:val="continue"/>
            <w:shd w:val="clear" w:color="auto" w:fill="auto"/>
            <w:tcMar>
              <w:left w:w="0" w:type="dxa"/>
              <w:right w:w="0" w:type="dxa"/>
            </w:tcMar>
            <w:vAlign w:val="center"/>
          </w:tcPr>
          <w:p w14:paraId="7D97FE8E">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0CDA3364">
            <w:pPr>
              <w:snapToGrid w:val="0"/>
              <w:spacing w:before="40" w:after="40" w:line="240" w:lineRule="auto"/>
              <w:ind w:firstLine="0" w:firstLineChars="0"/>
              <w:jc w:val="center"/>
              <w:rPr>
                <w:rFonts w:ascii="仿宋_GB2312"/>
                <w:kern w:val="0"/>
                <w:sz w:val="28"/>
              </w:rPr>
            </w:pPr>
            <w:r>
              <w:rPr>
                <w:rFonts w:hint="eastAsia" w:ascii="仿宋_GB2312"/>
                <w:kern w:val="0"/>
                <w:sz w:val="28"/>
              </w:rPr>
              <w:t>高频服务事项“全市通办”比例（%）</w:t>
            </w:r>
          </w:p>
        </w:tc>
        <w:tc>
          <w:tcPr>
            <w:tcW w:w="1323" w:type="pct"/>
            <w:shd w:val="clear" w:color="auto" w:fill="auto"/>
            <w:vAlign w:val="center"/>
          </w:tcPr>
          <w:p w14:paraId="0545FADC">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纳入高频事项清单里已实现“全市通办”事项数量/清单总数*100%</w:t>
            </w:r>
          </w:p>
        </w:tc>
      </w:tr>
      <w:tr w14:paraId="399D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060FDA5F">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6</w:t>
            </w:r>
          </w:p>
        </w:tc>
        <w:tc>
          <w:tcPr>
            <w:tcW w:w="628" w:type="pct"/>
            <w:vMerge w:val="continue"/>
            <w:shd w:val="clear" w:color="auto" w:fill="auto"/>
            <w:tcMar>
              <w:left w:w="0" w:type="dxa"/>
              <w:right w:w="0" w:type="dxa"/>
            </w:tcMar>
            <w:vAlign w:val="center"/>
          </w:tcPr>
          <w:p w14:paraId="591D55B3">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05BF7D93">
            <w:pPr>
              <w:snapToGrid w:val="0"/>
              <w:spacing w:before="40" w:after="40" w:line="240" w:lineRule="auto"/>
              <w:ind w:firstLine="0" w:firstLineChars="0"/>
              <w:jc w:val="center"/>
              <w:rPr>
                <w:rFonts w:ascii="仿宋_GB2312"/>
                <w:kern w:val="0"/>
                <w:sz w:val="28"/>
              </w:rPr>
            </w:pPr>
            <w:r>
              <w:rPr>
                <w:rFonts w:hint="eastAsia" w:ascii="仿宋_GB2312"/>
                <w:kern w:val="0"/>
                <w:sz w:val="28"/>
              </w:rPr>
              <w:t>政务服务“好差评”（分）</w:t>
            </w:r>
          </w:p>
        </w:tc>
        <w:tc>
          <w:tcPr>
            <w:tcW w:w="1323" w:type="pct"/>
            <w:shd w:val="clear" w:color="auto" w:fill="auto"/>
            <w:vAlign w:val="center"/>
          </w:tcPr>
          <w:p w14:paraId="2AD7D360">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5024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012A08F1">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7</w:t>
            </w:r>
          </w:p>
        </w:tc>
        <w:tc>
          <w:tcPr>
            <w:tcW w:w="628" w:type="pct"/>
            <w:vMerge w:val="continue"/>
            <w:shd w:val="clear" w:color="auto" w:fill="auto"/>
            <w:tcMar>
              <w:left w:w="0" w:type="dxa"/>
              <w:right w:w="0" w:type="dxa"/>
            </w:tcMar>
            <w:vAlign w:val="center"/>
          </w:tcPr>
          <w:p w14:paraId="1CF15EF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72C5EFA">
            <w:pPr>
              <w:snapToGrid w:val="0"/>
              <w:spacing w:before="40" w:after="40" w:line="240" w:lineRule="auto"/>
              <w:ind w:firstLine="0" w:firstLineChars="0"/>
              <w:jc w:val="center"/>
              <w:rPr>
                <w:rFonts w:ascii="仿宋_GB2312"/>
                <w:kern w:val="0"/>
                <w:sz w:val="28"/>
              </w:rPr>
            </w:pPr>
            <w:r>
              <w:rPr>
                <w:rFonts w:hint="eastAsia" w:ascii="仿宋_GB2312"/>
                <w:kern w:val="0"/>
                <w:sz w:val="28"/>
              </w:rPr>
              <w:t>“粤省事·汕尾版”日活跃用户数（万名）</w:t>
            </w:r>
          </w:p>
        </w:tc>
        <w:tc>
          <w:tcPr>
            <w:tcW w:w="1323" w:type="pct"/>
            <w:shd w:val="clear" w:color="auto" w:fill="auto"/>
            <w:vAlign w:val="center"/>
          </w:tcPr>
          <w:p w14:paraId="00BC0F78">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1A2B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2F2066A">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8</w:t>
            </w:r>
          </w:p>
        </w:tc>
        <w:tc>
          <w:tcPr>
            <w:tcW w:w="628" w:type="pct"/>
            <w:vMerge w:val="continue"/>
            <w:shd w:val="clear" w:color="auto" w:fill="auto"/>
            <w:tcMar>
              <w:left w:w="0" w:type="dxa"/>
              <w:right w:w="0" w:type="dxa"/>
            </w:tcMar>
            <w:vAlign w:val="center"/>
          </w:tcPr>
          <w:p w14:paraId="62E11669">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6804BD18">
            <w:pPr>
              <w:snapToGrid w:val="0"/>
              <w:spacing w:before="40" w:after="40" w:line="240" w:lineRule="auto"/>
              <w:ind w:firstLine="0" w:firstLineChars="0"/>
              <w:jc w:val="center"/>
              <w:rPr>
                <w:rFonts w:ascii="仿宋_GB2312"/>
                <w:kern w:val="0"/>
                <w:sz w:val="28"/>
              </w:rPr>
            </w:pPr>
            <w:r>
              <w:rPr>
                <w:rFonts w:hint="eastAsia" w:ascii="仿宋_GB2312"/>
                <w:kern w:val="0"/>
                <w:sz w:val="28"/>
              </w:rPr>
              <w:t>“粤商通·汕尾版”日活跃用户数（名）</w:t>
            </w:r>
          </w:p>
        </w:tc>
        <w:tc>
          <w:tcPr>
            <w:tcW w:w="1323" w:type="pct"/>
            <w:shd w:val="clear" w:color="auto" w:fill="auto"/>
            <w:vAlign w:val="center"/>
          </w:tcPr>
          <w:p w14:paraId="5F6F0F89">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3331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FBE1B75">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9</w:t>
            </w:r>
          </w:p>
        </w:tc>
        <w:tc>
          <w:tcPr>
            <w:tcW w:w="628" w:type="pct"/>
            <w:vMerge w:val="continue"/>
            <w:shd w:val="clear" w:color="auto" w:fill="auto"/>
            <w:tcMar>
              <w:left w:w="0" w:type="dxa"/>
              <w:right w:w="0" w:type="dxa"/>
            </w:tcMar>
            <w:vAlign w:val="center"/>
          </w:tcPr>
          <w:p w14:paraId="47F8D5B2">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F58FA07">
            <w:pPr>
              <w:snapToGrid w:val="0"/>
              <w:spacing w:before="40" w:after="40" w:line="240" w:lineRule="auto"/>
              <w:ind w:firstLine="0" w:firstLineChars="0"/>
              <w:jc w:val="center"/>
              <w:rPr>
                <w:rFonts w:ascii="仿宋_GB2312"/>
                <w:kern w:val="0"/>
                <w:sz w:val="28"/>
              </w:rPr>
            </w:pPr>
            <w:r>
              <w:rPr>
                <w:rFonts w:hint="eastAsia" w:ascii="仿宋_GB2312"/>
                <w:kern w:val="0"/>
                <w:sz w:val="28"/>
              </w:rPr>
              <w:t>“粤政易·汕尾版”日活跃用户数（万名）</w:t>
            </w:r>
          </w:p>
        </w:tc>
        <w:tc>
          <w:tcPr>
            <w:tcW w:w="1323" w:type="pct"/>
            <w:shd w:val="clear" w:color="auto" w:fill="auto"/>
            <w:vAlign w:val="center"/>
          </w:tcPr>
          <w:p w14:paraId="4A9834C3">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67B6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3049DEC0">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0</w:t>
            </w:r>
          </w:p>
        </w:tc>
        <w:tc>
          <w:tcPr>
            <w:tcW w:w="628" w:type="pct"/>
            <w:vMerge w:val="continue"/>
            <w:shd w:val="clear" w:color="auto" w:fill="auto"/>
            <w:tcMar>
              <w:left w:w="0" w:type="dxa"/>
              <w:right w:w="0" w:type="dxa"/>
            </w:tcMar>
            <w:vAlign w:val="center"/>
          </w:tcPr>
          <w:p w14:paraId="39EC77EE">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3775E175">
            <w:pPr>
              <w:snapToGrid w:val="0"/>
              <w:spacing w:before="40" w:after="40" w:line="240" w:lineRule="auto"/>
              <w:ind w:firstLine="0" w:firstLineChars="0"/>
              <w:jc w:val="center"/>
              <w:rPr>
                <w:rFonts w:ascii="仿宋_GB2312"/>
                <w:kern w:val="0"/>
                <w:sz w:val="28"/>
              </w:rPr>
            </w:pPr>
            <w:r>
              <w:rPr>
                <w:rFonts w:hint="eastAsia" w:ascii="仿宋_GB2312"/>
                <w:kern w:val="0"/>
                <w:sz w:val="28"/>
              </w:rPr>
              <w:t>“善美村居”日活跃用户数（名）</w:t>
            </w:r>
          </w:p>
        </w:tc>
        <w:tc>
          <w:tcPr>
            <w:tcW w:w="1323" w:type="pct"/>
            <w:shd w:val="clear" w:color="auto" w:fill="auto"/>
            <w:vAlign w:val="center"/>
          </w:tcPr>
          <w:p w14:paraId="677A05FC">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0D32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4E13EF13">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1</w:t>
            </w:r>
          </w:p>
        </w:tc>
        <w:tc>
          <w:tcPr>
            <w:tcW w:w="628" w:type="pct"/>
            <w:vMerge w:val="continue"/>
            <w:shd w:val="clear" w:color="auto" w:fill="auto"/>
            <w:tcMar>
              <w:left w:w="0" w:type="dxa"/>
              <w:right w:w="0" w:type="dxa"/>
            </w:tcMar>
            <w:vAlign w:val="center"/>
          </w:tcPr>
          <w:p w14:paraId="5F17F2B9">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5D5E9FC7">
            <w:pPr>
              <w:snapToGrid w:val="0"/>
              <w:spacing w:before="40" w:after="40" w:line="240" w:lineRule="auto"/>
              <w:ind w:firstLine="0" w:firstLineChars="0"/>
              <w:jc w:val="center"/>
              <w:rPr>
                <w:rFonts w:ascii="仿宋_GB2312"/>
                <w:kern w:val="0"/>
                <w:sz w:val="28"/>
              </w:rPr>
            </w:pPr>
            <w:r>
              <w:rPr>
                <w:rFonts w:hint="eastAsia" w:ascii="仿宋_GB2312"/>
                <w:kern w:val="0"/>
                <w:sz w:val="28"/>
              </w:rPr>
              <w:t>“善美店小二”日活跃用户数（名）</w:t>
            </w:r>
          </w:p>
        </w:tc>
        <w:tc>
          <w:tcPr>
            <w:tcW w:w="1323" w:type="pct"/>
            <w:shd w:val="clear" w:color="auto" w:fill="auto"/>
            <w:vAlign w:val="center"/>
          </w:tcPr>
          <w:p w14:paraId="4CC5A58F">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1382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16904551">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2</w:t>
            </w:r>
          </w:p>
        </w:tc>
        <w:tc>
          <w:tcPr>
            <w:tcW w:w="628" w:type="pct"/>
            <w:vMerge w:val="continue"/>
            <w:shd w:val="clear" w:color="auto" w:fill="auto"/>
            <w:tcMar>
              <w:left w:w="0" w:type="dxa"/>
              <w:right w:w="0" w:type="dxa"/>
            </w:tcMar>
            <w:vAlign w:val="center"/>
          </w:tcPr>
          <w:p w14:paraId="17727D0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6A096A3A">
            <w:pPr>
              <w:snapToGrid w:val="0"/>
              <w:spacing w:before="40" w:after="40" w:line="240" w:lineRule="auto"/>
              <w:ind w:firstLine="0" w:firstLineChars="0"/>
              <w:jc w:val="center"/>
              <w:rPr>
                <w:rFonts w:ascii="仿宋_GB2312"/>
                <w:kern w:val="0"/>
                <w:sz w:val="28"/>
              </w:rPr>
            </w:pPr>
            <w:r>
              <w:rPr>
                <w:rFonts w:hint="eastAsia" w:ascii="仿宋_GB2312"/>
                <w:kern w:val="0"/>
                <w:sz w:val="28"/>
              </w:rPr>
              <w:t>“善美码”服务场景数量（个）</w:t>
            </w:r>
          </w:p>
        </w:tc>
        <w:tc>
          <w:tcPr>
            <w:tcW w:w="1323" w:type="pct"/>
            <w:shd w:val="clear" w:color="auto" w:fill="auto"/>
            <w:vAlign w:val="center"/>
          </w:tcPr>
          <w:p w14:paraId="3F8B6AF4">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6995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14DCB1E8">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3</w:t>
            </w:r>
          </w:p>
        </w:tc>
        <w:tc>
          <w:tcPr>
            <w:tcW w:w="628" w:type="pct"/>
            <w:vMerge w:val="continue"/>
            <w:shd w:val="clear" w:color="auto" w:fill="auto"/>
            <w:tcMar>
              <w:left w:w="0" w:type="dxa"/>
              <w:right w:w="0" w:type="dxa"/>
            </w:tcMar>
            <w:vAlign w:val="center"/>
          </w:tcPr>
          <w:p w14:paraId="7186C7B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B070CE5">
            <w:pPr>
              <w:snapToGrid w:val="0"/>
              <w:spacing w:before="40" w:after="40" w:line="240" w:lineRule="auto"/>
              <w:ind w:firstLine="0" w:firstLineChars="0"/>
              <w:jc w:val="center"/>
              <w:rPr>
                <w:rFonts w:ascii="仿宋_GB2312"/>
                <w:kern w:val="0"/>
                <w:sz w:val="28"/>
              </w:rPr>
            </w:pPr>
            <w:r>
              <w:rPr>
                <w:rFonts w:hint="eastAsia" w:ascii="仿宋_GB2312"/>
                <w:kern w:val="0"/>
                <w:sz w:val="28"/>
              </w:rPr>
              <w:t>“民情地图”应用场景数量（个）</w:t>
            </w:r>
          </w:p>
        </w:tc>
        <w:tc>
          <w:tcPr>
            <w:tcW w:w="1323" w:type="pct"/>
            <w:shd w:val="clear" w:color="auto" w:fill="auto"/>
            <w:vAlign w:val="center"/>
          </w:tcPr>
          <w:p w14:paraId="4FA01046">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7565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BB8C02C">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4</w:t>
            </w:r>
          </w:p>
        </w:tc>
        <w:tc>
          <w:tcPr>
            <w:tcW w:w="628" w:type="pct"/>
            <w:vMerge w:val="restart"/>
            <w:shd w:val="clear" w:color="auto" w:fill="auto"/>
            <w:tcMar>
              <w:left w:w="0" w:type="dxa"/>
              <w:right w:w="0" w:type="dxa"/>
            </w:tcMar>
            <w:vAlign w:val="center"/>
          </w:tcPr>
          <w:p w14:paraId="39B094D7">
            <w:pPr>
              <w:snapToGrid w:val="0"/>
              <w:spacing w:before="40" w:after="40" w:line="240" w:lineRule="auto"/>
              <w:ind w:firstLine="0" w:firstLineChars="0"/>
              <w:rPr>
                <w:rFonts w:hint="eastAsia" w:ascii="仿宋_GB2312" w:eastAsia="仿宋_GB2312"/>
                <w:kern w:val="0"/>
                <w:sz w:val="28"/>
                <w:lang w:eastAsia="zh-CN"/>
              </w:rPr>
            </w:pPr>
            <w:r>
              <w:rPr>
                <w:rFonts w:hint="eastAsia" w:ascii="仿宋_GB2312"/>
                <w:kern w:val="0"/>
                <w:sz w:val="28"/>
              </w:rPr>
              <w:t>数字化</w:t>
            </w:r>
          </w:p>
          <w:p w14:paraId="4CB0C29A">
            <w:pPr>
              <w:snapToGrid w:val="0"/>
              <w:spacing w:before="40" w:after="40" w:line="240" w:lineRule="auto"/>
              <w:ind w:firstLine="0" w:firstLineChars="0"/>
              <w:rPr>
                <w:rFonts w:ascii="仿宋_GB2312"/>
                <w:kern w:val="0"/>
                <w:sz w:val="28"/>
              </w:rPr>
            </w:pPr>
            <w:r>
              <w:rPr>
                <w:rFonts w:hint="eastAsia" w:ascii="仿宋_GB2312"/>
                <w:kern w:val="0"/>
                <w:sz w:val="28"/>
              </w:rPr>
              <w:t>驱动能力</w:t>
            </w:r>
          </w:p>
        </w:tc>
        <w:tc>
          <w:tcPr>
            <w:tcW w:w="2557" w:type="pct"/>
            <w:shd w:val="clear" w:color="auto" w:fill="auto"/>
            <w:tcMar>
              <w:left w:w="0" w:type="dxa"/>
              <w:right w:w="0" w:type="dxa"/>
            </w:tcMar>
            <w:vAlign w:val="center"/>
          </w:tcPr>
          <w:p w14:paraId="70B3C4D7">
            <w:pPr>
              <w:snapToGrid w:val="0"/>
              <w:spacing w:before="40" w:after="40" w:line="240" w:lineRule="auto"/>
              <w:ind w:firstLine="0" w:firstLineChars="0"/>
              <w:jc w:val="center"/>
              <w:rPr>
                <w:rFonts w:ascii="仿宋_GB2312"/>
                <w:kern w:val="0"/>
                <w:sz w:val="28"/>
              </w:rPr>
            </w:pPr>
            <w:r>
              <w:rPr>
                <w:rFonts w:hint="eastAsia" w:ascii="仿宋_GB2312"/>
                <w:kern w:val="0"/>
                <w:sz w:val="28"/>
              </w:rPr>
              <w:t>应共享的数据需求满足率（%）</w:t>
            </w:r>
          </w:p>
        </w:tc>
        <w:tc>
          <w:tcPr>
            <w:tcW w:w="1323" w:type="pct"/>
            <w:shd w:val="clear" w:color="auto" w:fill="auto"/>
            <w:vAlign w:val="center"/>
          </w:tcPr>
          <w:p w14:paraId="62801785">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0152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301B17AD">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5</w:t>
            </w:r>
          </w:p>
        </w:tc>
        <w:tc>
          <w:tcPr>
            <w:tcW w:w="628" w:type="pct"/>
            <w:vMerge w:val="continue"/>
            <w:shd w:val="clear" w:color="auto" w:fill="auto"/>
            <w:tcMar>
              <w:left w:w="0" w:type="dxa"/>
              <w:right w:w="0" w:type="dxa"/>
            </w:tcMar>
            <w:vAlign w:val="center"/>
          </w:tcPr>
          <w:p w14:paraId="13ADFD62">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6BDCD167">
            <w:pPr>
              <w:snapToGrid w:val="0"/>
              <w:spacing w:before="40" w:after="40" w:line="240" w:lineRule="auto"/>
              <w:ind w:firstLine="0" w:firstLineChars="0"/>
              <w:jc w:val="center"/>
              <w:rPr>
                <w:rFonts w:ascii="仿宋_GB2312"/>
                <w:kern w:val="0"/>
                <w:sz w:val="28"/>
              </w:rPr>
            </w:pPr>
            <w:r>
              <w:rPr>
                <w:rFonts w:hint="eastAsia" w:ascii="仿宋_GB2312"/>
                <w:kern w:val="0"/>
                <w:sz w:val="28"/>
              </w:rPr>
              <w:t>公共数据资源社会开放数据集（个）</w:t>
            </w:r>
          </w:p>
        </w:tc>
        <w:tc>
          <w:tcPr>
            <w:tcW w:w="1323" w:type="pct"/>
            <w:shd w:val="clear" w:color="auto" w:fill="auto"/>
            <w:vAlign w:val="center"/>
          </w:tcPr>
          <w:p w14:paraId="726EF09B">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71BD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22EFDDD0">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6</w:t>
            </w:r>
          </w:p>
        </w:tc>
        <w:tc>
          <w:tcPr>
            <w:tcW w:w="628" w:type="pct"/>
            <w:vMerge w:val="continue"/>
            <w:shd w:val="clear" w:color="auto" w:fill="auto"/>
            <w:tcMar>
              <w:left w:w="0" w:type="dxa"/>
              <w:right w:w="0" w:type="dxa"/>
            </w:tcMar>
            <w:vAlign w:val="center"/>
          </w:tcPr>
          <w:p w14:paraId="2855B2CC">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5D83CAAE">
            <w:pPr>
              <w:snapToGrid w:val="0"/>
              <w:spacing w:before="40" w:after="40" w:line="240" w:lineRule="auto"/>
              <w:ind w:firstLine="0" w:firstLineChars="0"/>
              <w:jc w:val="center"/>
              <w:rPr>
                <w:rFonts w:ascii="仿宋_GB2312"/>
                <w:kern w:val="0"/>
                <w:sz w:val="28"/>
              </w:rPr>
            </w:pPr>
            <w:r>
              <w:rPr>
                <w:rFonts w:hint="eastAsia" w:ascii="仿宋_GB2312"/>
                <w:kern w:val="0"/>
                <w:sz w:val="28"/>
              </w:rPr>
              <w:t>“雪亮工程”视频数据共享平台视频终端接入数量（路）</w:t>
            </w:r>
          </w:p>
        </w:tc>
        <w:tc>
          <w:tcPr>
            <w:tcW w:w="1323" w:type="pct"/>
            <w:shd w:val="clear" w:color="auto" w:fill="auto"/>
            <w:vAlign w:val="center"/>
          </w:tcPr>
          <w:p w14:paraId="2661DB3A">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3D1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106FFF9">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7</w:t>
            </w:r>
          </w:p>
        </w:tc>
        <w:tc>
          <w:tcPr>
            <w:tcW w:w="628" w:type="pct"/>
            <w:vMerge w:val="continue"/>
            <w:shd w:val="clear" w:color="auto" w:fill="auto"/>
            <w:tcMar>
              <w:left w:w="0" w:type="dxa"/>
              <w:right w:w="0" w:type="dxa"/>
            </w:tcMar>
            <w:vAlign w:val="center"/>
          </w:tcPr>
          <w:p w14:paraId="431CCE0A">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7A4E8D14">
            <w:pPr>
              <w:snapToGrid w:val="0"/>
              <w:spacing w:before="40" w:after="40" w:line="240" w:lineRule="auto"/>
              <w:ind w:firstLine="0" w:firstLineChars="0"/>
              <w:jc w:val="center"/>
              <w:rPr>
                <w:rFonts w:ascii="仿宋_GB2312"/>
                <w:kern w:val="0"/>
                <w:sz w:val="28"/>
              </w:rPr>
            </w:pPr>
            <w:r>
              <w:rPr>
                <w:rFonts w:hint="eastAsia" w:ascii="仿宋_GB2312"/>
                <w:kern w:val="0"/>
                <w:sz w:val="28"/>
              </w:rPr>
              <w:t>感知终端接入物联感知数据共享平台数量（路）</w:t>
            </w:r>
          </w:p>
        </w:tc>
        <w:tc>
          <w:tcPr>
            <w:tcW w:w="1323" w:type="pct"/>
            <w:shd w:val="clear" w:color="auto" w:fill="auto"/>
            <w:vAlign w:val="center"/>
          </w:tcPr>
          <w:p w14:paraId="7CB4C7BD">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00B7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69C90C2">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8</w:t>
            </w:r>
          </w:p>
        </w:tc>
        <w:tc>
          <w:tcPr>
            <w:tcW w:w="628" w:type="pct"/>
            <w:vMerge w:val="restart"/>
            <w:shd w:val="clear" w:color="auto" w:fill="auto"/>
            <w:tcMar>
              <w:left w:w="0" w:type="dxa"/>
              <w:right w:w="0" w:type="dxa"/>
            </w:tcMar>
            <w:vAlign w:val="center"/>
          </w:tcPr>
          <w:p w14:paraId="17CBC513">
            <w:pPr>
              <w:snapToGrid w:val="0"/>
              <w:spacing w:before="40" w:after="40" w:line="240" w:lineRule="auto"/>
              <w:ind w:firstLine="0" w:firstLineChars="0"/>
              <w:rPr>
                <w:rFonts w:hint="eastAsia" w:ascii="仿宋_GB2312" w:eastAsia="仿宋_GB2312"/>
                <w:kern w:val="0"/>
                <w:sz w:val="28"/>
                <w:lang w:eastAsia="zh-CN"/>
              </w:rPr>
            </w:pPr>
            <w:r>
              <w:rPr>
                <w:rFonts w:hint="eastAsia" w:ascii="仿宋_GB2312"/>
                <w:kern w:val="0"/>
                <w:sz w:val="28"/>
              </w:rPr>
              <w:t>数字化</w:t>
            </w:r>
          </w:p>
          <w:p w14:paraId="70EC7232">
            <w:pPr>
              <w:snapToGrid w:val="0"/>
              <w:spacing w:before="40" w:after="40" w:line="240" w:lineRule="auto"/>
              <w:ind w:firstLine="0" w:firstLineChars="0"/>
              <w:rPr>
                <w:rFonts w:ascii="仿宋_GB2312"/>
                <w:kern w:val="0"/>
                <w:sz w:val="28"/>
              </w:rPr>
            </w:pPr>
            <w:r>
              <w:rPr>
                <w:rFonts w:hint="eastAsia" w:ascii="仿宋_GB2312"/>
                <w:kern w:val="0"/>
                <w:sz w:val="28"/>
              </w:rPr>
              <w:t>支撑能力</w:t>
            </w:r>
          </w:p>
        </w:tc>
        <w:tc>
          <w:tcPr>
            <w:tcW w:w="2557" w:type="pct"/>
            <w:shd w:val="clear" w:color="auto" w:fill="auto"/>
            <w:tcMar>
              <w:left w:w="0" w:type="dxa"/>
              <w:right w:w="0" w:type="dxa"/>
            </w:tcMar>
            <w:vAlign w:val="center"/>
          </w:tcPr>
          <w:p w14:paraId="4D5B6FB2">
            <w:pPr>
              <w:snapToGrid w:val="0"/>
              <w:spacing w:before="40" w:after="40" w:line="240" w:lineRule="auto"/>
              <w:ind w:firstLine="0" w:firstLineChars="0"/>
              <w:jc w:val="center"/>
              <w:rPr>
                <w:rFonts w:ascii="仿宋_GB2312"/>
                <w:kern w:val="0"/>
                <w:sz w:val="28"/>
              </w:rPr>
            </w:pPr>
            <w:r>
              <w:rPr>
                <w:rFonts w:hint="eastAsia" w:ascii="仿宋_GB2312"/>
                <w:kern w:val="0"/>
                <w:sz w:val="28"/>
              </w:rPr>
              <w:t>市政务云平台资源算力规模（万核）</w:t>
            </w:r>
          </w:p>
        </w:tc>
        <w:tc>
          <w:tcPr>
            <w:tcW w:w="1323" w:type="pct"/>
            <w:shd w:val="clear" w:color="auto" w:fill="auto"/>
            <w:vAlign w:val="center"/>
          </w:tcPr>
          <w:p w14:paraId="24707377">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6D2A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C43C833">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9</w:t>
            </w:r>
          </w:p>
        </w:tc>
        <w:tc>
          <w:tcPr>
            <w:tcW w:w="628" w:type="pct"/>
            <w:vMerge w:val="continue"/>
            <w:shd w:val="clear" w:color="auto" w:fill="auto"/>
            <w:tcMar>
              <w:left w:w="0" w:type="dxa"/>
              <w:right w:w="0" w:type="dxa"/>
            </w:tcMar>
            <w:vAlign w:val="center"/>
          </w:tcPr>
          <w:p w14:paraId="6752DD3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37F4884B">
            <w:pPr>
              <w:snapToGrid w:val="0"/>
              <w:spacing w:before="40" w:after="40" w:line="240" w:lineRule="auto"/>
              <w:ind w:firstLine="0" w:firstLineChars="0"/>
              <w:jc w:val="center"/>
              <w:rPr>
                <w:rFonts w:ascii="仿宋_GB2312"/>
                <w:kern w:val="0"/>
                <w:sz w:val="28"/>
              </w:rPr>
            </w:pPr>
            <w:r>
              <w:rPr>
                <w:rFonts w:hint="eastAsia" w:ascii="仿宋_GB2312"/>
                <w:kern w:val="0"/>
                <w:sz w:val="28"/>
              </w:rPr>
              <w:t>政务外网接入率（%）</w:t>
            </w:r>
          </w:p>
        </w:tc>
        <w:tc>
          <w:tcPr>
            <w:tcW w:w="1323" w:type="pct"/>
            <w:shd w:val="clear" w:color="auto" w:fill="auto"/>
            <w:vAlign w:val="center"/>
          </w:tcPr>
          <w:p w14:paraId="4036A0EB">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财政预算单位接入数量/财政预算单位总数*100%</w:t>
            </w:r>
          </w:p>
        </w:tc>
      </w:tr>
      <w:tr w14:paraId="17AB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48901B04">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r>
              <w:rPr>
                <w:rFonts w:ascii="仿宋_GB2312"/>
                <w:kern w:val="0"/>
                <w:sz w:val="28"/>
              </w:rPr>
              <w:t>0</w:t>
            </w:r>
          </w:p>
        </w:tc>
        <w:tc>
          <w:tcPr>
            <w:tcW w:w="628" w:type="pct"/>
            <w:vMerge w:val="continue"/>
            <w:shd w:val="clear" w:color="auto" w:fill="auto"/>
            <w:tcMar>
              <w:left w:w="0" w:type="dxa"/>
              <w:right w:w="0" w:type="dxa"/>
            </w:tcMar>
            <w:vAlign w:val="center"/>
          </w:tcPr>
          <w:p w14:paraId="5AA7AE00">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3DE16AB7">
            <w:pPr>
              <w:snapToGrid w:val="0"/>
              <w:spacing w:before="40" w:after="40" w:line="240" w:lineRule="auto"/>
              <w:ind w:firstLine="0" w:firstLineChars="0"/>
              <w:jc w:val="center"/>
              <w:rPr>
                <w:rFonts w:ascii="仿宋_GB2312"/>
                <w:kern w:val="0"/>
                <w:sz w:val="28"/>
              </w:rPr>
            </w:pPr>
            <w:r>
              <w:rPr>
                <w:rFonts w:hint="eastAsia" w:ascii="仿宋_GB2312"/>
                <w:kern w:val="0"/>
                <w:sz w:val="28"/>
              </w:rPr>
              <w:t>电子证照用证率（%）</w:t>
            </w:r>
          </w:p>
        </w:tc>
        <w:tc>
          <w:tcPr>
            <w:tcW w:w="1323" w:type="pct"/>
            <w:shd w:val="clear" w:color="auto" w:fill="auto"/>
            <w:vAlign w:val="center"/>
          </w:tcPr>
          <w:p w14:paraId="7F2F8875">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使用电子证照行政许可的事项数/行政许可事项数*100%</w:t>
            </w:r>
          </w:p>
        </w:tc>
      </w:tr>
      <w:tr w14:paraId="0619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08B70B00">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r>
              <w:rPr>
                <w:rFonts w:ascii="仿宋_GB2312"/>
                <w:kern w:val="0"/>
                <w:sz w:val="28"/>
              </w:rPr>
              <w:t>1</w:t>
            </w:r>
          </w:p>
        </w:tc>
        <w:tc>
          <w:tcPr>
            <w:tcW w:w="628" w:type="pct"/>
            <w:vMerge w:val="continue"/>
            <w:shd w:val="clear" w:color="auto" w:fill="auto"/>
            <w:tcMar>
              <w:left w:w="0" w:type="dxa"/>
              <w:right w:w="0" w:type="dxa"/>
            </w:tcMar>
            <w:vAlign w:val="center"/>
          </w:tcPr>
          <w:p w14:paraId="406ACC4C">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0E87722F">
            <w:pPr>
              <w:snapToGrid w:val="0"/>
              <w:spacing w:before="40" w:after="40" w:line="240" w:lineRule="auto"/>
              <w:ind w:firstLine="0" w:firstLineChars="0"/>
              <w:jc w:val="center"/>
              <w:rPr>
                <w:rFonts w:ascii="仿宋_GB2312"/>
                <w:kern w:val="0"/>
                <w:sz w:val="28"/>
              </w:rPr>
            </w:pPr>
            <w:r>
              <w:rPr>
                <w:rFonts w:hint="eastAsia" w:ascii="仿宋_GB2312"/>
                <w:kern w:val="0"/>
                <w:sz w:val="28"/>
              </w:rPr>
              <w:t>政府部门电子印章覆盖率（%）</w:t>
            </w:r>
          </w:p>
        </w:tc>
        <w:tc>
          <w:tcPr>
            <w:tcW w:w="1323" w:type="pct"/>
            <w:shd w:val="clear" w:color="auto" w:fill="auto"/>
            <w:vAlign w:val="center"/>
          </w:tcPr>
          <w:p w14:paraId="571CD4C0">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已制发电子印章的部门数/部门总数*100%</w:t>
            </w:r>
          </w:p>
        </w:tc>
      </w:tr>
      <w:tr w14:paraId="1348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55F335BC">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r>
              <w:rPr>
                <w:rFonts w:ascii="仿宋_GB2312"/>
                <w:kern w:val="0"/>
                <w:sz w:val="28"/>
              </w:rPr>
              <w:t>2</w:t>
            </w:r>
          </w:p>
        </w:tc>
        <w:tc>
          <w:tcPr>
            <w:tcW w:w="628" w:type="pct"/>
            <w:vMerge w:val="continue"/>
            <w:shd w:val="clear" w:color="auto" w:fill="auto"/>
            <w:tcMar>
              <w:left w:w="0" w:type="dxa"/>
              <w:right w:w="0" w:type="dxa"/>
            </w:tcMar>
            <w:vAlign w:val="center"/>
          </w:tcPr>
          <w:p w14:paraId="069637EE">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1DF665C">
            <w:pPr>
              <w:snapToGrid w:val="0"/>
              <w:spacing w:before="40" w:after="40" w:line="240" w:lineRule="auto"/>
              <w:ind w:firstLine="0" w:firstLineChars="0"/>
              <w:jc w:val="center"/>
              <w:rPr>
                <w:rFonts w:ascii="仿宋_GB2312"/>
                <w:kern w:val="0"/>
                <w:sz w:val="28"/>
              </w:rPr>
            </w:pPr>
            <w:r>
              <w:rPr>
                <w:rFonts w:hint="eastAsia" w:ascii="仿宋_GB2312"/>
                <w:kern w:val="0"/>
                <w:sz w:val="28"/>
              </w:rPr>
              <w:t>一体化政务服务平台可网办事项单点登录率（%）</w:t>
            </w:r>
          </w:p>
        </w:tc>
        <w:tc>
          <w:tcPr>
            <w:tcW w:w="1323" w:type="pct"/>
            <w:shd w:val="clear" w:color="auto" w:fill="auto"/>
            <w:vAlign w:val="center"/>
          </w:tcPr>
          <w:p w14:paraId="4597CACD">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一体化政务服务平台可单点的事项数/事项总数*100%</w:t>
            </w:r>
          </w:p>
        </w:tc>
      </w:tr>
      <w:tr w14:paraId="5246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2A484CA0">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r>
              <w:rPr>
                <w:rFonts w:ascii="仿宋_GB2312"/>
                <w:kern w:val="0"/>
                <w:sz w:val="28"/>
              </w:rPr>
              <w:t>3</w:t>
            </w:r>
          </w:p>
        </w:tc>
        <w:tc>
          <w:tcPr>
            <w:tcW w:w="628" w:type="pct"/>
            <w:vMerge w:val="continue"/>
            <w:shd w:val="clear" w:color="auto" w:fill="auto"/>
            <w:tcMar>
              <w:left w:w="0" w:type="dxa"/>
              <w:right w:w="0" w:type="dxa"/>
            </w:tcMar>
            <w:vAlign w:val="center"/>
          </w:tcPr>
          <w:p w14:paraId="3B7ADCBB">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70E47220">
            <w:pPr>
              <w:snapToGrid w:val="0"/>
              <w:spacing w:before="40" w:after="40" w:line="240" w:lineRule="auto"/>
              <w:ind w:firstLine="0" w:firstLineChars="0"/>
              <w:jc w:val="center"/>
              <w:rPr>
                <w:rFonts w:ascii="仿宋_GB2312"/>
                <w:kern w:val="0"/>
                <w:sz w:val="28"/>
              </w:rPr>
            </w:pPr>
            <w:r>
              <w:rPr>
                <w:rFonts w:hint="eastAsia" w:ascii="仿宋_GB2312"/>
                <w:kern w:val="0"/>
                <w:sz w:val="28"/>
              </w:rPr>
              <w:t>政务信息系统月活跃率（%）</w:t>
            </w:r>
          </w:p>
        </w:tc>
        <w:tc>
          <w:tcPr>
            <w:tcW w:w="1323" w:type="pct"/>
            <w:shd w:val="clear" w:color="auto" w:fill="auto"/>
            <w:vAlign w:val="center"/>
          </w:tcPr>
          <w:p w14:paraId="08500001">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单位时间内使用系统的用户数/系统目标用户总数*100%</w:t>
            </w:r>
          </w:p>
        </w:tc>
      </w:tr>
    </w:tbl>
    <w:p w14:paraId="79DAA2DB">
      <w:pPr>
        <w:spacing w:before="156" w:after="156"/>
        <w:ind w:firstLine="640"/>
      </w:pPr>
    </w:p>
    <w:p w14:paraId="5958538D">
      <w:pPr>
        <w:spacing w:before="156" w:after="156" w:line="240" w:lineRule="auto"/>
        <w:ind w:firstLine="640"/>
      </w:pPr>
      <w:r>
        <w:br w:type="page"/>
      </w:r>
    </w:p>
    <w:p w14:paraId="41C0A957">
      <w:pPr>
        <w:pStyle w:val="2"/>
        <w:numPr>
          <w:ilvl w:val="0"/>
          <w:numId w:val="0"/>
        </w:numPr>
        <w:ind w:left="640"/>
      </w:pPr>
      <w:bookmarkStart w:id="158" w:name="_Toc93501158"/>
      <w:bookmarkStart w:id="159" w:name="_Toc70495402"/>
      <w:r>
        <w:rPr>
          <w:rFonts w:hint="eastAsia"/>
        </w:rPr>
        <w:t>附件2 名词解释</w:t>
      </w:r>
      <w:bookmarkEnd w:id="158"/>
      <w:bookmarkEnd w:id="159"/>
    </w:p>
    <w:p w14:paraId="6456016F">
      <w:pPr>
        <w:numPr>
          <w:ilvl w:val="0"/>
          <w:numId w:val="3"/>
        </w:numPr>
        <w:spacing w:before="156" w:after="156"/>
        <w:ind w:left="0" w:firstLine="643"/>
        <w:rPr>
          <w:rFonts w:cs="Times New Roman"/>
          <w:b/>
          <w:bCs/>
          <w:szCs w:val="28"/>
        </w:rPr>
      </w:pPr>
      <w:r>
        <w:rPr>
          <w:rFonts w:hint="eastAsia" w:cs="Times New Roman"/>
          <w:b/>
          <w:bCs/>
          <w:szCs w:val="28"/>
        </w:rPr>
        <w:t>“一件事”：</w:t>
      </w:r>
      <w:r>
        <w:rPr>
          <w:rFonts w:hint="eastAsia" w:cs="Times New Roman"/>
          <w:szCs w:val="28"/>
        </w:rPr>
        <w:t>以申请人视角的“一件事”目标需求为导向，通过两个以上办事服务或两个以上部门或两个以上地区的系统、数据、人员相互协同方式，为用户提供跨部门、跨层级、跨地区的“一件事”主题集成服务。</w:t>
      </w:r>
    </w:p>
    <w:p w14:paraId="7C254158">
      <w:pPr>
        <w:numPr>
          <w:ilvl w:val="0"/>
          <w:numId w:val="3"/>
        </w:numPr>
        <w:spacing w:before="156" w:after="156"/>
        <w:ind w:left="0" w:firstLine="643"/>
        <w:rPr>
          <w:rFonts w:cs="Times New Roman"/>
          <w:szCs w:val="28"/>
        </w:rPr>
      </w:pPr>
      <w:r>
        <w:rPr>
          <w:rFonts w:hint="eastAsia" w:cs="Times New Roman"/>
          <w:b/>
          <w:bCs/>
          <w:szCs w:val="28"/>
        </w:rPr>
        <w:t>“四免”优化：</w:t>
      </w:r>
      <w:r>
        <w:rPr>
          <w:rFonts w:hint="eastAsia" w:cs="Times New Roman"/>
          <w:szCs w:val="28"/>
        </w:rPr>
        <w:t>核发材料免提交，业务表单免填写，免用实物印章，免用手写签名。</w:t>
      </w:r>
    </w:p>
    <w:p w14:paraId="21FE7434">
      <w:pPr>
        <w:numPr>
          <w:ilvl w:val="0"/>
          <w:numId w:val="3"/>
        </w:numPr>
        <w:spacing w:before="156" w:after="156"/>
        <w:ind w:left="0" w:firstLine="643"/>
        <w:rPr>
          <w:rFonts w:cs="Times New Roman"/>
          <w:szCs w:val="28"/>
        </w:rPr>
      </w:pPr>
      <w:r>
        <w:rPr>
          <w:rFonts w:hint="eastAsia" w:cs="Times New Roman"/>
          <w:b/>
          <w:bCs/>
          <w:szCs w:val="28"/>
        </w:rPr>
        <w:t>“六个通办”：</w:t>
      </w:r>
      <w:r>
        <w:rPr>
          <w:rFonts w:hint="eastAsia" w:cs="Times New Roman"/>
          <w:szCs w:val="28"/>
        </w:rPr>
        <w:t>聚焦企业群众办事全生命周期，实现“六个通办”：“一窗通办”、“一网通办”、“一证通办”、“一码通办”、“一次通办”、“一地通办”。</w:t>
      </w:r>
    </w:p>
    <w:p w14:paraId="4FD6C799">
      <w:pPr>
        <w:numPr>
          <w:ilvl w:val="0"/>
          <w:numId w:val="3"/>
        </w:numPr>
        <w:spacing w:before="156" w:after="156"/>
        <w:ind w:left="0" w:firstLine="643"/>
        <w:rPr>
          <w:rFonts w:cs="Times New Roman"/>
          <w:b/>
          <w:bCs/>
          <w:szCs w:val="28"/>
        </w:rPr>
      </w:pPr>
      <w:r>
        <w:rPr>
          <w:rFonts w:hint="eastAsia" w:cs="Times New Roman"/>
          <w:b/>
          <w:bCs/>
          <w:szCs w:val="28"/>
        </w:rPr>
        <w:t>“零跑动”：</w:t>
      </w:r>
      <w:r>
        <w:rPr>
          <w:rFonts w:hint="eastAsia" w:cs="Times New Roman"/>
          <w:szCs w:val="28"/>
        </w:rPr>
        <w:t>由各部门提供的依申请办理的行政权力和公共服务事项中，在符合法定受理条件的前提下，企业和群众通过网上或自助终端等方式，无需跑腿即可办理业务。</w:t>
      </w:r>
    </w:p>
    <w:p w14:paraId="2C21AA4A">
      <w:pPr>
        <w:numPr>
          <w:ilvl w:val="0"/>
          <w:numId w:val="3"/>
        </w:numPr>
        <w:spacing w:before="156" w:after="156"/>
        <w:ind w:left="0" w:firstLine="643"/>
        <w:rPr>
          <w:rFonts w:cs="Times New Roman"/>
          <w:szCs w:val="28"/>
        </w:rPr>
      </w:pPr>
      <w:r>
        <w:rPr>
          <w:rFonts w:hint="eastAsia" w:cs="Times New Roman"/>
          <w:b/>
          <w:bCs/>
          <w:szCs w:val="28"/>
        </w:rPr>
        <w:t>“一网通办”：</w:t>
      </w:r>
      <w:r>
        <w:rPr>
          <w:rFonts w:hint="eastAsia" w:cs="Times New Roman"/>
          <w:szCs w:val="28"/>
        </w:rPr>
        <w:t>依托一体化在线政务服务平台，通过规范网上办事标准、优化网上办事流程、搭建统一的互联网政务服务总门户、整合政府服务数据资源、完善配套制度等措施，推行政务服务事项网上办理，推动企业群众办事线上只登录一次即可全网通办。</w:t>
      </w:r>
    </w:p>
    <w:p w14:paraId="5CE11F50">
      <w:pPr>
        <w:numPr>
          <w:ilvl w:val="0"/>
          <w:numId w:val="3"/>
        </w:numPr>
        <w:spacing w:before="156" w:after="156"/>
        <w:ind w:left="0" w:firstLine="643"/>
        <w:rPr>
          <w:rFonts w:cs="Times New Roman"/>
          <w:b/>
          <w:bCs/>
          <w:szCs w:val="28"/>
        </w:rPr>
      </w:pPr>
      <w:r>
        <w:rPr>
          <w:rFonts w:hint="eastAsia" w:cs="Times New Roman"/>
          <w:b/>
          <w:bCs/>
          <w:szCs w:val="28"/>
        </w:rPr>
        <w:t>政银合作：</w:t>
      </w:r>
      <w:r>
        <w:rPr>
          <w:rFonts w:hint="eastAsia" w:cs="Times New Roman"/>
          <w:szCs w:val="28"/>
        </w:rPr>
        <w:t>政府与银行开展合作，共同推进政务服务全程电子化办理，为企业开办提供银行网点“一站式”服务，</w:t>
      </w:r>
      <w:r>
        <w:rPr>
          <w:rFonts w:cs="Times New Roman"/>
          <w:szCs w:val="28"/>
        </w:rPr>
        <w:t>方便企业、群众就近办理相关政务服务和审批业务。</w:t>
      </w:r>
    </w:p>
    <w:p w14:paraId="4A7B78CA">
      <w:pPr>
        <w:numPr>
          <w:ilvl w:val="0"/>
          <w:numId w:val="3"/>
        </w:numPr>
        <w:spacing w:before="156" w:after="156"/>
        <w:ind w:left="0" w:firstLine="643"/>
        <w:rPr>
          <w:rFonts w:cs="Times New Roman"/>
          <w:szCs w:val="28"/>
        </w:rPr>
      </w:pPr>
      <w:r>
        <w:rPr>
          <w:rFonts w:hint="eastAsia" w:cs="Times New Roman"/>
          <w:b/>
          <w:bCs/>
          <w:szCs w:val="28"/>
        </w:rPr>
        <w:t>政务服务“好差评”：</w:t>
      </w:r>
      <w:r>
        <w:rPr>
          <w:rFonts w:hint="eastAsia" w:cs="Times New Roman"/>
          <w:szCs w:val="28"/>
        </w:rPr>
        <w:t>对各级政务服务机构、各类政务服务平台开展“好差评”，以“评”为手段推动政府进一步改善政务服务。</w:t>
      </w:r>
    </w:p>
    <w:p w14:paraId="1F9AA970">
      <w:pPr>
        <w:numPr>
          <w:ilvl w:val="0"/>
          <w:numId w:val="3"/>
        </w:numPr>
        <w:spacing w:before="156" w:after="156"/>
        <w:ind w:left="0" w:firstLine="643"/>
        <w:rPr>
          <w:rFonts w:cs="Times New Roman"/>
          <w:szCs w:val="28"/>
        </w:rPr>
      </w:pPr>
      <w:r>
        <w:rPr>
          <w:rFonts w:hint="eastAsia" w:cs="Times New Roman"/>
          <w:b/>
          <w:bCs/>
          <w:szCs w:val="28"/>
        </w:rPr>
        <w:t>“证照分离”：</w:t>
      </w:r>
      <w:r>
        <w:rPr>
          <w:rFonts w:hint="eastAsia" w:cs="Times New Roman"/>
          <w:szCs w:val="28"/>
        </w:rPr>
        <w:t>市场监管部门颁发的营业执照和各相关行业主管部门颁发的经营许可证分离，实现“先照后证”，加强综合监管，降低准入成本。</w:t>
      </w:r>
    </w:p>
    <w:p w14:paraId="189F707B">
      <w:pPr>
        <w:numPr>
          <w:ilvl w:val="0"/>
          <w:numId w:val="3"/>
        </w:numPr>
        <w:spacing w:before="156" w:after="156"/>
        <w:ind w:left="0" w:firstLine="643"/>
        <w:rPr>
          <w:rFonts w:cs="Times New Roman"/>
          <w:szCs w:val="28"/>
        </w:rPr>
      </w:pPr>
      <w:r>
        <w:rPr>
          <w:rFonts w:hint="eastAsia" w:cs="Times New Roman"/>
          <w:b/>
          <w:bCs/>
          <w:szCs w:val="28"/>
        </w:rPr>
        <w:t>雪亮工程：</w:t>
      </w:r>
      <w:r>
        <w:rPr>
          <w:rFonts w:hint="eastAsia" w:cs="Times New Roman"/>
          <w:szCs w:val="28"/>
        </w:rPr>
        <w:t>以县、乡、村为指挥平台、以综治信息化为支撑、以网格化管理为基础、以公共安全视频监控联网应用为重点的“群众性治安防控工程”。</w:t>
      </w:r>
    </w:p>
    <w:p w14:paraId="0F851C9A">
      <w:pPr>
        <w:numPr>
          <w:ilvl w:val="0"/>
          <w:numId w:val="3"/>
        </w:numPr>
        <w:spacing w:before="156" w:after="156"/>
        <w:ind w:left="0" w:firstLine="643"/>
        <w:rPr>
          <w:rFonts w:cs="Times New Roman"/>
          <w:szCs w:val="28"/>
        </w:rPr>
      </w:pPr>
      <w:r>
        <w:rPr>
          <w:rFonts w:hint="eastAsia" w:cs="Times New Roman"/>
          <w:b/>
          <w:bCs/>
          <w:szCs w:val="28"/>
        </w:rPr>
        <w:t>“城市睿眼”工程：</w:t>
      </w:r>
      <w:r>
        <w:rPr>
          <w:rFonts w:hint="eastAsia" w:cs="Times New Roman"/>
          <w:szCs w:val="28"/>
        </w:rPr>
        <w:t>在汕尾市、县两级平安城市建设成果基础上，</w:t>
      </w:r>
      <w:r>
        <w:rPr>
          <w:rFonts w:cs="Times New Roman"/>
          <w:szCs w:val="28"/>
        </w:rPr>
        <w:t>加强公共安全视频监控智能化建设与应用，推进视频监控系统在打击犯罪、治安防范、社会管理、服务民生等方面发挥积极作用，</w:t>
      </w:r>
      <w:r>
        <w:rPr>
          <w:rFonts w:hint="eastAsia" w:cs="Times New Roman"/>
          <w:szCs w:val="28"/>
        </w:rPr>
        <w:t>探索出符合汕尾实际的视频监控建设联网应用的实现路径。</w:t>
      </w:r>
    </w:p>
    <w:p w14:paraId="64BD44DF">
      <w:pPr>
        <w:numPr>
          <w:ilvl w:val="0"/>
          <w:numId w:val="3"/>
        </w:numPr>
        <w:spacing w:before="156" w:after="156"/>
        <w:ind w:left="0" w:firstLine="643"/>
        <w:rPr>
          <w:rFonts w:cs="Times New Roman"/>
          <w:szCs w:val="28"/>
        </w:rPr>
      </w:pPr>
      <w:r>
        <w:rPr>
          <w:rFonts w:hint="eastAsia" w:cs="Times New Roman"/>
          <w:b/>
          <w:bCs/>
          <w:szCs w:val="28"/>
        </w:rPr>
        <w:t>“双随机、一公开”：</w:t>
      </w:r>
      <w:r>
        <w:rPr>
          <w:rFonts w:hint="eastAsia" w:cs="Times New Roman"/>
          <w:szCs w:val="28"/>
        </w:rPr>
        <w:t>在监管过程中随机抽取检查对象，随机选派执法检查人员，抽查情况及查处结果及时向社会公开。</w:t>
      </w:r>
    </w:p>
    <w:p w14:paraId="07C392B4">
      <w:pPr>
        <w:numPr>
          <w:ilvl w:val="0"/>
          <w:numId w:val="3"/>
        </w:numPr>
        <w:spacing w:before="156" w:after="156"/>
        <w:ind w:left="0" w:firstLine="643"/>
        <w:rPr>
          <w:rFonts w:cs="Times New Roman"/>
          <w:szCs w:val="28"/>
        </w:rPr>
      </w:pPr>
      <w:r>
        <w:rPr>
          <w:rFonts w:hint="eastAsia" w:cs="Times New Roman"/>
          <w:b/>
          <w:bCs/>
          <w:szCs w:val="28"/>
        </w:rPr>
        <w:t>“政企合作、管运分离”</w:t>
      </w:r>
      <w:r>
        <w:rPr>
          <w:rFonts w:hint="eastAsia" w:cs="Times New Roman"/>
          <w:szCs w:val="28"/>
        </w:rPr>
        <w:t>：创新政府管理、企业运营的政务信息化建设模式，</w:t>
      </w:r>
      <w:r>
        <w:rPr>
          <w:rFonts w:cs="Times New Roman"/>
          <w:szCs w:val="28"/>
        </w:rPr>
        <w:t>在政府统筹指导下，由企业主体负责数字政府建设运营，政府和企业共促数字政府建设发展。</w:t>
      </w:r>
    </w:p>
    <w:p w14:paraId="1C1505F7">
      <w:pPr>
        <w:numPr>
          <w:ilvl w:val="0"/>
          <w:numId w:val="3"/>
        </w:numPr>
        <w:spacing w:before="156" w:after="156"/>
        <w:ind w:left="0" w:firstLine="643"/>
        <w:rPr>
          <w:rFonts w:cs="Times New Roman"/>
          <w:szCs w:val="28"/>
        </w:rPr>
      </w:pPr>
      <w:r>
        <w:rPr>
          <w:rFonts w:hint="eastAsia" w:cs="Times New Roman"/>
          <w:b/>
          <w:bCs/>
          <w:szCs w:val="28"/>
        </w:rPr>
        <w:t>“小微权力清单” ：</w:t>
      </w:r>
      <w:r>
        <w:rPr>
          <w:rFonts w:hint="eastAsia" w:cs="Times New Roman"/>
          <w:szCs w:val="28"/>
        </w:rPr>
        <w:t>指村级组织及村干部依法依规享有的村级重大决策、重大活动、重大项目以及资金、资产、资源管理等村务管理服务权力。</w:t>
      </w:r>
    </w:p>
    <w:p w14:paraId="6DF76D04">
      <w:pPr>
        <w:numPr>
          <w:ilvl w:val="0"/>
          <w:numId w:val="3"/>
        </w:numPr>
        <w:spacing w:before="156" w:after="156"/>
        <w:ind w:left="0" w:firstLine="643"/>
        <w:rPr>
          <w:rFonts w:cs="Times New Roman"/>
          <w:szCs w:val="28"/>
        </w:rPr>
      </w:pPr>
      <w:r>
        <w:rPr>
          <w:rFonts w:hint="eastAsia" w:cs="Times New Roman"/>
          <w:b/>
          <w:bCs/>
          <w:szCs w:val="28"/>
        </w:rPr>
        <w:t>“省市联建”：</w:t>
      </w:r>
      <w:r>
        <w:rPr>
          <w:rFonts w:hint="eastAsia" w:cs="Times New Roman"/>
          <w:szCs w:val="28"/>
        </w:rPr>
        <w:t>加大省市数据共享，创新可复制推广经验，以汕尾市作为试点，建设数字政府改革纵深推进地市样板。</w:t>
      </w:r>
    </w:p>
    <w:p w14:paraId="39563ECC">
      <w:pPr>
        <w:numPr>
          <w:ilvl w:val="0"/>
          <w:numId w:val="3"/>
        </w:numPr>
        <w:spacing w:before="156" w:after="156"/>
        <w:ind w:left="0" w:firstLine="643"/>
        <w:rPr>
          <w:rFonts w:cs="Times New Roman"/>
          <w:b/>
          <w:bCs/>
          <w:szCs w:val="28"/>
        </w:rPr>
      </w:pPr>
      <w:r>
        <w:rPr>
          <w:rFonts w:hint="eastAsia" w:cs="Times New Roman"/>
          <w:b/>
          <w:bCs/>
          <w:szCs w:val="28"/>
        </w:rPr>
        <w:t>数据普查：</w:t>
      </w:r>
      <w:r>
        <w:rPr>
          <w:rFonts w:hint="eastAsia" w:cs="Times New Roman"/>
          <w:szCs w:val="28"/>
        </w:rPr>
        <w:t>围绕政府治理和公共服务需求，摸清政务信息系统和公共数据资源底数，建立完善全省统一的政务信息系统清单、公共数据资源清单和需求清单。</w:t>
      </w:r>
    </w:p>
    <w:p w14:paraId="7383A9FD">
      <w:pPr>
        <w:numPr>
          <w:ilvl w:val="0"/>
          <w:numId w:val="3"/>
        </w:numPr>
        <w:spacing w:before="156" w:after="156"/>
        <w:ind w:left="0" w:firstLine="643"/>
        <w:rPr>
          <w:rFonts w:cs="Times New Roman"/>
          <w:szCs w:val="28"/>
        </w:rPr>
      </w:pPr>
      <w:r>
        <w:rPr>
          <w:rFonts w:hint="eastAsia" w:cs="Times New Roman"/>
          <w:b/>
          <w:bCs/>
          <w:szCs w:val="28"/>
        </w:rPr>
        <w:t>“数据饥渴”：</w:t>
      </w:r>
      <w:r>
        <w:rPr>
          <w:rFonts w:hint="eastAsia" w:cs="Times New Roman"/>
          <w:szCs w:val="28"/>
        </w:rPr>
        <w:t>由于数据需求结构和供给结构不平衡导致的不断增长的数据需求与数据供给能力不足之间的差距。</w:t>
      </w:r>
    </w:p>
    <w:p w14:paraId="2EF3EF0E">
      <w:pPr>
        <w:numPr>
          <w:ilvl w:val="0"/>
          <w:numId w:val="3"/>
        </w:numPr>
        <w:spacing w:before="156" w:after="156"/>
        <w:ind w:left="0" w:firstLine="643"/>
        <w:rPr>
          <w:rFonts w:cs="Times New Roman"/>
          <w:szCs w:val="28"/>
        </w:rPr>
      </w:pPr>
      <w:r>
        <w:rPr>
          <w:rFonts w:hint="eastAsia" w:cs="Times New Roman"/>
          <w:b/>
          <w:bCs/>
          <w:szCs w:val="28"/>
        </w:rPr>
        <w:t>城市信息模型（</w:t>
      </w:r>
      <w:r>
        <w:rPr>
          <w:rFonts w:cs="Times New Roman"/>
          <w:b/>
          <w:bCs/>
          <w:szCs w:val="28"/>
        </w:rPr>
        <w:t>CIM</w:t>
      </w:r>
      <w:r>
        <w:rPr>
          <w:rFonts w:hint="eastAsia" w:cs="Times New Roman"/>
          <w:b/>
          <w:bCs/>
          <w:szCs w:val="28"/>
        </w:rPr>
        <w:t>）：</w:t>
      </w:r>
      <w:r>
        <w:rPr>
          <w:rFonts w:hint="eastAsia" w:cs="Times New Roman"/>
          <w:szCs w:val="28"/>
        </w:rPr>
        <w:t>以城市信息数据为基数建立的三维城市空间模型和城市信息的有机综合体。</w:t>
      </w:r>
    </w:p>
    <w:p w14:paraId="18E940A2">
      <w:pPr>
        <w:numPr>
          <w:ilvl w:val="0"/>
          <w:numId w:val="3"/>
        </w:numPr>
        <w:spacing w:before="156" w:after="156"/>
        <w:ind w:left="0" w:firstLine="643"/>
        <w:rPr>
          <w:rFonts w:cs="Times New Roman"/>
          <w:szCs w:val="28"/>
        </w:rPr>
      </w:pPr>
      <w:r>
        <w:rPr>
          <w:rFonts w:hint="eastAsia" w:cs="Times New Roman"/>
          <w:b/>
          <w:bCs/>
          <w:szCs w:val="28"/>
        </w:rPr>
        <w:t>数字孪生城市：</w:t>
      </w:r>
      <w:r>
        <w:rPr>
          <w:rFonts w:hint="eastAsia" w:cs="Times New Roman"/>
          <w:szCs w:val="28"/>
        </w:rPr>
        <w:t>与物理城市世界相互对应、相互映射、协同交互的网络虚拟城市。</w:t>
      </w:r>
    </w:p>
    <w:p w14:paraId="69299B2B">
      <w:pPr>
        <w:numPr>
          <w:ilvl w:val="0"/>
          <w:numId w:val="3"/>
        </w:numPr>
        <w:spacing w:before="156" w:after="156"/>
        <w:ind w:left="0" w:firstLine="643"/>
        <w:rPr>
          <w:rFonts w:cs="Times New Roman"/>
          <w:b/>
          <w:bCs/>
          <w:szCs w:val="28"/>
        </w:rPr>
      </w:pPr>
      <w:r>
        <w:rPr>
          <w:rFonts w:cs="Times New Roman"/>
          <w:b/>
          <w:bCs/>
          <w:szCs w:val="28"/>
        </w:rPr>
        <w:t>IPv6：</w:t>
      </w:r>
      <w:r>
        <w:rPr>
          <w:rFonts w:cs="Times New Roman"/>
          <w:szCs w:val="28"/>
        </w:rPr>
        <w:t>是Internet Protocol Version 6的缩写，指互联网协议第6版，是互联网工程任务组（IETF）设计的用于替代IPv4的下一代IP协议</w:t>
      </w:r>
      <w:r>
        <w:rPr>
          <w:rFonts w:cs="Times New Roman"/>
          <w:b/>
          <w:bCs/>
          <w:szCs w:val="28"/>
        </w:rPr>
        <w:t>。</w:t>
      </w:r>
    </w:p>
    <w:p w14:paraId="30E5B223">
      <w:pPr>
        <w:spacing w:line="240" w:lineRule="auto"/>
        <w:ind w:firstLine="643"/>
        <w:rPr>
          <w:rFonts w:cs="Times New Roman"/>
          <w:b/>
          <w:bCs/>
          <w:szCs w:val="28"/>
        </w:rPr>
      </w:pPr>
      <w:r>
        <w:rPr>
          <w:rFonts w:cs="Times New Roman"/>
          <w:b/>
          <w:bCs/>
          <w:szCs w:val="28"/>
        </w:rPr>
        <w:br w:type="page"/>
      </w:r>
    </w:p>
    <w:p w14:paraId="12B74B33">
      <w:pPr>
        <w:widowControl/>
        <w:spacing w:line="240" w:lineRule="auto"/>
        <w:ind w:firstLine="0" w:firstLineChars="0"/>
        <w:jc w:val="left"/>
        <w:rPr>
          <w:rFonts w:cs="Times New Roman"/>
          <w:b/>
          <w:bCs/>
          <w:szCs w:val="28"/>
        </w:rPr>
        <w:sectPr>
          <w:footerReference r:id="rId12" w:type="default"/>
          <w:pgSz w:w="11906" w:h="16838"/>
          <w:pgMar w:top="1440" w:right="1588" w:bottom="1440" w:left="1588" w:header="851" w:footer="992" w:gutter="0"/>
          <w:pgNumType w:start="1"/>
          <w:cols w:space="425" w:num="1"/>
          <w:docGrid w:type="lines" w:linePitch="312" w:charSpace="0"/>
        </w:sectPr>
      </w:pPr>
    </w:p>
    <w:p w14:paraId="0723F59A">
      <w:pPr>
        <w:pStyle w:val="2"/>
        <w:numPr>
          <w:ilvl w:val="0"/>
          <w:numId w:val="0"/>
        </w:numPr>
        <w:ind w:left="640"/>
        <w:rPr>
          <w:bCs w:val="0"/>
        </w:rPr>
      </w:pPr>
      <w:bookmarkStart w:id="160" w:name="_Toc93501159"/>
      <w:r>
        <w:rPr>
          <w:rFonts w:hint="eastAsia"/>
        </w:rPr>
        <w:t>附件</w:t>
      </w:r>
      <w:r>
        <w:t xml:space="preserve">3 </w:t>
      </w:r>
      <w:r>
        <w:rPr>
          <w:rFonts w:hint="eastAsia"/>
        </w:rPr>
        <w:t>规划重点任务分工表</w:t>
      </w:r>
      <w:bookmarkEnd w:id="160"/>
    </w:p>
    <w:tbl>
      <w:tblPr>
        <w:tblStyle w:val="30"/>
        <w:tblW w:w="5000" w:type="pct"/>
        <w:tblInd w:w="0" w:type="dxa"/>
        <w:tblLayout w:type="autofit"/>
        <w:tblCellMar>
          <w:top w:w="0" w:type="dxa"/>
          <w:left w:w="108" w:type="dxa"/>
          <w:bottom w:w="0" w:type="dxa"/>
          <w:right w:w="108" w:type="dxa"/>
        </w:tblCellMar>
      </w:tblPr>
      <w:tblGrid>
        <w:gridCol w:w="881"/>
        <w:gridCol w:w="1056"/>
        <w:gridCol w:w="984"/>
        <w:gridCol w:w="4105"/>
        <w:gridCol w:w="4416"/>
        <w:gridCol w:w="2732"/>
      </w:tblGrid>
      <w:tr w14:paraId="0A8CFC5C">
        <w:tblPrEx>
          <w:tblCellMar>
            <w:top w:w="0" w:type="dxa"/>
            <w:left w:w="108" w:type="dxa"/>
            <w:bottom w:w="0" w:type="dxa"/>
            <w:right w:w="108" w:type="dxa"/>
          </w:tblCellMar>
        </w:tblPrEx>
        <w:trPr>
          <w:trHeight w:val="563" w:hRule="atLeast"/>
          <w:tblHeader/>
        </w:trPr>
        <w:tc>
          <w:tcPr>
            <w:tcW w:w="356"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14:paraId="7D593A43">
            <w:pPr>
              <w:widowControl/>
              <w:spacing w:line="240" w:lineRule="auto"/>
              <w:ind w:firstLine="0" w:firstLineChars="0"/>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序号</w:t>
            </w:r>
          </w:p>
        </w:tc>
        <w:tc>
          <w:tcPr>
            <w:tcW w:w="2032" w:type="pct"/>
            <w:gridSpan w:val="3"/>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4C0FD803">
            <w:pPr>
              <w:widowControl/>
              <w:spacing w:line="240" w:lineRule="auto"/>
              <w:ind w:firstLine="0" w:firstLineChars="0"/>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主要任务</w:t>
            </w:r>
          </w:p>
        </w:tc>
        <w:tc>
          <w:tcPr>
            <w:tcW w:w="1578"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66A81EED">
            <w:pPr>
              <w:widowControl/>
              <w:spacing w:line="240" w:lineRule="auto"/>
              <w:ind w:firstLine="0" w:firstLineChars="0"/>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责任单位</w:t>
            </w:r>
          </w:p>
        </w:tc>
        <w:tc>
          <w:tcPr>
            <w:tcW w:w="1034" w:type="pct"/>
            <w:tcBorders>
              <w:top w:val="single" w:color="auto" w:sz="4" w:space="0"/>
              <w:left w:val="nil"/>
              <w:bottom w:val="single" w:color="auto" w:sz="4" w:space="0"/>
              <w:right w:val="single" w:color="auto" w:sz="4" w:space="0"/>
            </w:tcBorders>
            <w:shd w:val="clear" w:color="auto" w:fill="BEBEBE" w:themeFill="background1" w:themeFillShade="BF"/>
            <w:vAlign w:val="center"/>
          </w:tcPr>
          <w:p w14:paraId="4BC25D2B">
            <w:pPr>
              <w:widowControl/>
              <w:spacing w:line="240" w:lineRule="auto"/>
              <w:ind w:firstLine="0" w:firstLineChars="0"/>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时间安排</w:t>
            </w:r>
          </w:p>
        </w:tc>
      </w:tr>
      <w:tr w14:paraId="6F8DC12C">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3770F7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149D644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（一）聚焦数字惠民，推进高质量政务服务走在全市前列</w:t>
            </w: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6647D03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推进政务服务提质增效</w:t>
            </w:r>
          </w:p>
        </w:tc>
        <w:tc>
          <w:tcPr>
            <w:tcW w:w="1222" w:type="pct"/>
            <w:tcBorders>
              <w:top w:val="nil"/>
              <w:left w:val="nil"/>
              <w:bottom w:val="single" w:color="auto" w:sz="4" w:space="0"/>
              <w:right w:val="single" w:color="auto" w:sz="4" w:space="0"/>
            </w:tcBorders>
            <w:shd w:val="clear" w:color="auto" w:fill="auto"/>
            <w:noWrap/>
            <w:vAlign w:val="center"/>
          </w:tcPr>
          <w:p w14:paraId="5B7D243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深化政务服务事项标准化</w:t>
            </w:r>
          </w:p>
        </w:tc>
        <w:tc>
          <w:tcPr>
            <w:tcW w:w="1578" w:type="pct"/>
            <w:tcBorders>
              <w:top w:val="nil"/>
              <w:left w:val="nil"/>
              <w:bottom w:val="single" w:color="auto" w:sz="4" w:space="0"/>
              <w:right w:val="single" w:color="auto" w:sz="4" w:space="0"/>
            </w:tcBorders>
            <w:shd w:val="clear" w:color="auto" w:fill="auto"/>
            <w:vAlign w:val="center"/>
          </w:tcPr>
          <w:p w14:paraId="436E9B1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1561C9B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02DB4D6">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2F5107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w:t>
            </w:r>
          </w:p>
        </w:tc>
        <w:tc>
          <w:tcPr>
            <w:tcW w:w="391" w:type="pct"/>
            <w:vMerge w:val="continue"/>
            <w:tcBorders>
              <w:top w:val="nil"/>
              <w:left w:val="single" w:color="auto" w:sz="4" w:space="0"/>
              <w:bottom w:val="single" w:color="auto" w:sz="4" w:space="0"/>
              <w:right w:val="single" w:color="auto" w:sz="4" w:space="0"/>
            </w:tcBorders>
            <w:vAlign w:val="center"/>
          </w:tcPr>
          <w:p w14:paraId="4A8F79D1">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2930A14">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7C1490E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打造泛在化服务渠道</w:t>
            </w:r>
          </w:p>
        </w:tc>
        <w:tc>
          <w:tcPr>
            <w:tcW w:w="1578" w:type="pct"/>
            <w:tcBorders>
              <w:top w:val="nil"/>
              <w:left w:val="nil"/>
              <w:bottom w:val="single" w:color="auto" w:sz="4" w:space="0"/>
              <w:right w:val="single" w:color="auto" w:sz="4" w:space="0"/>
            </w:tcBorders>
            <w:shd w:val="clear" w:color="auto" w:fill="auto"/>
            <w:vAlign w:val="center"/>
          </w:tcPr>
          <w:p w14:paraId="6267CB4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70EE2C0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2022年12月底前，预计</w:t>
            </w:r>
          </w:p>
        </w:tc>
      </w:tr>
      <w:tr w14:paraId="214E979A">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0C1E9F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w:t>
            </w:r>
          </w:p>
        </w:tc>
        <w:tc>
          <w:tcPr>
            <w:tcW w:w="391" w:type="pct"/>
            <w:vMerge w:val="continue"/>
            <w:tcBorders>
              <w:top w:val="nil"/>
              <w:left w:val="single" w:color="auto" w:sz="4" w:space="0"/>
              <w:bottom w:val="single" w:color="auto" w:sz="4" w:space="0"/>
              <w:right w:val="single" w:color="auto" w:sz="4" w:space="0"/>
            </w:tcBorders>
            <w:vAlign w:val="center"/>
          </w:tcPr>
          <w:p w14:paraId="652C8704">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1DFC6858">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0C4A0D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打造政务服务标杆大厅</w:t>
            </w:r>
          </w:p>
        </w:tc>
        <w:tc>
          <w:tcPr>
            <w:tcW w:w="1578" w:type="pct"/>
            <w:tcBorders>
              <w:top w:val="nil"/>
              <w:left w:val="nil"/>
              <w:bottom w:val="single" w:color="auto" w:sz="4" w:space="0"/>
              <w:right w:val="single" w:color="auto" w:sz="4" w:space="0"/>
            </w:tcBorders>
            <w:shd w:val="clear" w:color="auto" w:fill="auto"/>
            <w:vAlign w:val="center"/>
          </w:tcPr>
          <w:p w14:paraId="7472762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5DF46E4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2023年12月底前，基本完成项目主体立项工作。</w:t>
            </w:r>
          </w:p>
        </w:tc>
      </w:tr>
      <w:tr w14:paraId="260938A7">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0041E8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w:t>
            </w:r>
          </w:p>
        </w:tc>
        <w:tc>
          <w:tcPr>
            <w:tcW w:w="391" w:type="pct"/>
            <w:vMerge w:val="continue"/>
            <w:tcBorders>
              <w:top w:val="nil"/>
              <w:left w:val="single" w:color="auto" w:sz="4" w:space="0"/>
              <w:bottom w:val="single" w:color="auto" w:sz="4" w:space="0"/>
              <w:right w:val="single" w:color="auto" w:sz="4" w:space="0"/>
            </w:tcBorders>
            <w:vAlign w:val="center"/>
          </w:tcPr>
          <w:p w14:paraId="23ABDCD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D37994F">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6E8CE0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优化政务服务“六个通办”</w:t>
            </w:r>
          </w:p>
        </w:tc>
        <w:tc>
          <w:tcPr>
            <w:tcW w:w="1578" w:type="pct"/>
            <w:tcBorders>
              <w:top w:val="nil"/>
              <w:left w:val="nil"/>
              <w:bottom w:val="single" w:color="auto" w:sz="4" w:space="0"/>
              <w:right w:val="single" w:color="auto" w:sz="4" w:space="0"/>
            </w:tcBorders>
            <w:shd w:val="clear" w:color="auto" w:fill="auto"/>
            <w:vAlign w:val="center"/>
          </w:tcPr>
          <w:p w14:paraId="2CA13F4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11DEB65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7BE65D3E">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D65F78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w:t>
            </w:r>
          </w:p>
        </w:tc>
        <w:tc>
          <w:tcPr>
            <w:tcW w:w="391" w:type="pct"/>
            <w:vMerge w:val="continue"/>
            <w:tcBorders>
              <w:top w:val="nil"/>
              <w:left w:val="single" w:color="auto" w:sz="4" w:space="0"/>
              <w:bottom w:val="single" w:color="auto" w:sz="4" w:space="0"/>
              <w:right w:val="single" w:color="auto" w:sz="4" w:space="0"/>
            </w:tcBorders>
            <w:vAlign w:val="center"/>
          </w:tcPr>
          <w:p w14:paraId="69623602">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F109A7D">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7747534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大力发展“一件事”主题服务</w:t>
            </w:r>
          </w:p>
        </w:tc>
        <w:tc>
          <w:tcPr>
            <w:tcW w:w="1578" w:type="pct"/>
            <w:tcBorders>
              <w:top w:val="nil"/>
              <w:left w:val="nil"/>
              <w:bottom w:val="single" w:color="auto" w:sz="4" w:space="0"/>
              <w:right w:val="single" w:color="auto" w:sz="4" w:space="0"/>
            </w:tcBorders>
            <w:shd w:val="clear" w:color="auto" w:fill="auto"/>
            <w:vAlign w:val="center"/>
          </w:tcPr>
          <w:p w14:paraId="5CDE0D6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0EF1CB0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6AFCE7CB">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93CA5F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6</w:t>
            </w:r>
          </w:p>
        </w:tc>
        <w:tc>
          <w:tcPr>
            <w:tcW w:w="391" w:type="pct"/>
            <w:vMerge w:val="continue"/>
            <w:tcBorders>
              <w:top w:val="nil"/>
              <w:left w:val="single" w:color="auto" w:sz="4" w:space="0"/>
              <w:bottom w:val="single" w:color="auto" w:sz="4" w:space="0"/>
              <w:right w:val="single" w:color="auto" w:sz="4" w:space="0"/>
            </w:tcBorders>
            <w:vAlign w:val="center"/>
          </w:tcPr>
          <w:p w14:paraId="209DD8F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04DD0DA">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4F817A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持续深化“无证明城市”建设</w:t>
            </w:r>
          </w:p>
        </w:tc>
        <w:tc>
          <w:tcPr>
            <w:tcW w:w="1578" w:type="pct"/>
            <w:tcBorders>
              <w:top w:val="nil"/>
              <w:left w:val="nil"/>
              <w:bottom w:val="single" w:color="auto" w:sz="4" w:space="0"/>
              <w:right w:val="single" w:color="auto" w:sz="4" w:space="0"/>
            </w:tcBorders>
            <w:shd w:val="clear" w:color="auto" w:fill="auto"/>
            <w:vAlign w:val="center"/>
          </w:tcPr>
          <w:p w14:paraId="69AD443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牵头单位：县司法局</w:t>
            </w:r>
          </w:p>
        </w:tc>
        <w:tc>
          <w:tcPr>
            <w:tcW w:w="1034" w:type="pct"/>
            <w:tcBorders>
              <w:top w:val="nil"/>
              <w:left w:val="nil"/>
              <w:bottom w:val="single" w:color="auto" w:sz="4" w:space="0"/>
              <w:right w:val="single" w:color="auto" w:sz="4" w:space="0"/>
            </w:tcBorders>
            <w:shd w:val="clear" w:color="auto" w:fill="auto"/>
            <w:vAlign w:val="center"/>
          </w:tcPr>
          <w:p w14:paraId="4DFC2F5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2022年12月底前，预计清理并上线200个证明事项</w:t>
            </w:r>
          </w:p>
        </w:tc>
      </w:tr>
      <w:tr w14:paraId="405A355A">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3D620E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7</w:t>
            </w:r>
          </w:p>
        </w:tc>
        <w:tc>
          <w:tcPr>
            <w:tcW w:w="391" w:type="pct"/>
            <w:vMerge w:val="continue"/>
            <w:tcBorders>
              <w:top w:val="nil"/>
              <w:left w:val="single" w:color="auto" w:sz="4" w:space="0"/>
              <w:bottom w:val="single" w:color="auto" w:sz="4" w:space="0"/>
              <w:right w:val="single" w:color="auto" w:sz="4" w:space="0"/>
            </w:tcBorders>
            <w:vAlign w:val="center"/>
          </w:tcPr>
          <w:p w14:paraId="0134CF5C">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4503887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E49CE2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着力推动“深海通办”服务</w:t>
            </w:r>
          </w:p>
        </w:tc>
        <w:tc>
          <w:tcPr>
            <w:tcW w:w="1578" w:type="pct"/>
            <w:tcBorders>
              <w:top w:val="nil"/>
              <w:left w:val="nil"/>
              <w:bottom w:val="single" w:color="auto" w:sz="4" w:space="0"/>
              <w:right w:val="single" w:color="auto" w:sz="4" w:space="0"/>
            </w:tcBorders>
            <w:shd w:val="clear" w:color="auto" w:fill="auto"/>
            <w:vAlign w:val="center"/>
          </w:tcPr>
          <w:p w14:paraId="2098F1C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7E28E43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320CB96">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24D80B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8</w:t>
            </w:r>
          </w:p>
        </w:tc>
        <w:tc>
          <w:tcPr>
            <w:tcW w:w="391" w:type="pct"/>
            <w:vMerge w:val="continue"/>
            <w:tcBorders>
              <w:top w:val="nil"/>
              <w:left w:val="single" w:color="auto" w:sz="4" w:space="0"/>
              <w:bottom w:val="single" w:color="auto" w:sz="4" w:space="0"/>
              <w:right w:val="single" w:color="auto" w:sz="4" w:space="0"/>
            </w:tcBorders>
            <w:vAlign w:val="center"/>
          </w:tcPr>
          <w:p w14:paraId="586F2421">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5B470F2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提供优质高效的惠企服务</w:t>
            </w:r>
          </w:p>
        </w:tc>
        <w:tc>
          <w:tcPr>
            <w:tcW w:w="1222" w:type="pct"/>
            <w:tcBorders>
              <w:top w:val="nil"/>
              <w:left w:val="nil"/>
              <w:bottom w:val="single" w:color="auto" w:sz="4" w:space="0"/>
              <w:right w:val="single" w:color="auto" w:sz="4" w:space="0"/>
            </w:tcBorders>
            <w:shd w:val="clear" w:color="auto" w:fill="auto"/>
            <w:noWrap/>
            <w:vAlign w:val="center"/>
          </w:tcPr>
          <w:p w14:paraId="05A0137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持续推广“善美店小二”应用</w:t>
            </w:r>
          </w:p>
        </w:tc>
        <w:tc>
          <w:tcPr>
            <w:tcW w:w="1578" w:type="pct"/>
            <w:tcBorders>
              <w:top w:val="nil"/>
              <w:left w:val="nil"/>
              <w:bottom w:val="single" w:color="auto" w:sz="4" w:space="0"/>
              <w:right w:val="single" w:color="auto" w:sz="4" w:space="0"/>
            </w:tcBorders>
            <w:shd w:val="clear" w:color="auto" w:fill="auto"/>
            <w:vAlign w:val="center"/>
          </w:tcPr>
          <w:p w14:paraId="65793A7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牵头单位：县市监局</w:t>
            </w:r>
          </w:p>
        </w:tc>
        <w:tc>
          <w:tcPr>
            <w:tcW w:w="1034" w:type="pct"/>
            <w:tcBorders>
              <w:top w:val="nil"/>
              <w:left w:val="nil"/>
              <w:bottom w:val="single" w:color="auto" w:sz="4" w:space="0"/>
              <w:right w:val="single" w:color="auto" w:sz="4" w:space="0"/>
            </w:tcBorders>
            <w:shd w:val="clear" w:color="auto" w:fill="auto"/>
            <w:vAlign w:val="center"/>
          </w:tcPr>
          <w:p w14:paraId="31A37F2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129CE7BA">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84121A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9</w:t>
            </w:r>
          </w:p>
        </w:tc>
        <w:tc>
          <w:tcPr>
            <w:tcW w:w="391" w:type="pct"/>
            <w:vMerge w:val="continue"/>
            <w:tcBorders>
              <w:top w:val="nil"/>
              <w:left w:val="single" w:color="auto" w:sz="4" w:space="0"/>
              <w:bottom w:val="single" w:color="auto" w:sz="4" w:space="0"/>
              <w:right w:val="single" w:color="auto" w:sz="4" w:space="0"/>
            </w:tcBorders>
            <w:vAlign w:val="center"/>
          </w:tcPr>
          <w:p w14:paraId="54D22964">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98190C2">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787F8F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大力推进商事登记改革</w:t>
            </w:r>
          </w:p>
        </w:tc>
        <w:tc>
          <w:tcPr>
            <w:tcW w:w="1578" w:type="pct"/>
            <w:tcBorders>
              <w:top w:val="nil"/>
              <w:left w:val="nil"/>
              <w:bottom w:val="single" w:color="auto" w:sz="4" w:space="0"/>
              <w:right w:val="single" w:color="auto" w:sz="4" w:space="0"/>
            </w:tcBorders>
            <w:shd w:val="clear" w:color="auto" w:fill="auto"/>
            <w:vAlign w:val="center"/>
          </w:tcPr>
          <w:p w14:paraId="1230750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牵头单位：县市监局</w:t>
            </w:r>
          </w:p>
        </w:tc>
        <w:tc>
          <w:tcPr>
            <w:tcW w:w="1034" w:type="pct"/>
            <w:tcBorders>
              <w:top w:val="nil"/>
              <w:left w:val="nil"/>
              <w:bottom w:val="single" w:color="auto" w:sz="4" w:space="0"/>
              <w:right w:val="single" w:color="auto" w:sz="4" w:space="0"/>
            </w:tcBorders>
            <w:shd w:val="clear" w:color="auto" w:fill="auto"/>
            <w:vAlign w:val="center"/>
          </w:tcPr>
          <w:p w14:paraId="388DBD7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601038F">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7C7714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10</w:t>
            </w:r>
          </w:p>
        </w:tc>
        <w:tc>
          <w:tcPr>
            <w:tcW w:w="391" w:type="pct"/>
            <w:vMerge w:val="continue"/>
            <w:tcBorders>
              <w:top w:val="nil"/>
              <w:left w:val="single" w:color="auto" w:sz="4" w:space="0"/>
              <w:bottom w:val="single" w:color="auto" w:sz="4" w:space="0"/>
              <w:right w:val="single" w:color="auto" w:sz="4" w:space="0"/>
            </w:tcBorders>
            <w:vAlign w:val="center"/>
          </w:tcPr>
          <w:p w14:paraId="6105CBC1">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79367F64">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05D850B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提高工建审批效能</w:t>
            </w:r>
          </w:p>
        </w:tc>
        <w:tc>
          <w:tcPr>
            <w:tcW w:w="1578" w:type="pct"/>
            <w:tcBorders>
              <w:top w:val="nil"/>
              <w:left w:val="nil"/>
              <w:bottom w:val="single" w:color="auto" w:sz="4" w:space="0"/>
              <w:right w:val="single" w:color="auto" w:sz="4" w:space="0"/>
            </w:tcBorders>
            <w:shd w:val="clear" w:color="auto" w:fill="auto"/>
            <w:vAlign w:val="center"/>
          </w:tcPr>
          <w:p w14:paraId="64C885F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牵头单位：县住建局、县发改局、县自然资源局、县</w:t>
            </w:r>
            <w:r>
              <w:rPr>
                <w:rFonts w:hint="eastAsia" w:cs="Times New Roman"/>
                <w:color w:val="000000"/>
                <w:kern w:val="0"/>
                <w:sz w:val="28"/>
                <w:szCs w:val="28"/>
              </w:rPr>
              <w:t>政务服务中心</w:t>
            </w:r>
          </w:p>
        </w:tc>
        <w:tc>
          <w:tcPr>
            <w:tcW w:w="1034" w:type="pct"/>
            <w:tcBorders>
              <w:top w:val="nil"/>
              <w:left w:val="nil"/>
              <w:bottom w:val="single" w:color="auto" w:sz="4" w:space="0"/>
              <w:right w:val="single" w:color="auto" w:sz="4" w:space="0"/>
            </w:tcBorders>
            <w:shd w:val="clear" w:color="auto" w:fill="auto"/>
            <w:vAlign w:val="center"/>
          </w:tcPr>
          <w:p w14:paraId="2EC8945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3232151">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B9E63A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11</w:t>
            </w:r>
          </w:p>
        </w:tc>
        <w:tc>
          <w:tcPr>
            <w:tcW w:w="391" w:type="pct"/>
            <w:vMerge w:val="continue"/>
            <w:tcBorders>
              <w:top w:val="nil"/>
              <w:left w:val="single" w:color="auto" w:sz="4" w:space="0"/>
              <w:bottom w:val="single" w:color="auto" w:sz="4" w:space="0"/>
              <w:right w:val="single" w:color="auto" w:sz="4" w:space="0"/>
            </w:tcBorders>
            <w:vAlign w:val="center"/>
          </w:tcPr>
          <w:p w14:paraId="33B68F2C">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5A2CEA5">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79446A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推进水电气报装便利化</w:t>
            </w:r>
          </w:p>
        </w:tc>
        <w:tc>
          <w:tcPr>
            <w:tcW w:w="1578" w:type="pct"/>
            <w:tcBorders>
              <w:top w:val="nil"/>
              <w:left w:val="nil"/>
              <w:bottom w:val="single" w:color="auto" w:sz="4" w:space="0"/>
              <w:right w:val="single" w:color="auto" w:sz="4" w:space="0"/>
            </w:tcBorders>
            <w:shd w:val="clear" w:color="auto" w:fill="auto"/>
            <w:vAlign w:val="center"/>
          </w:tcPr>
          <w:p w14:paraId="67C7AB0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牵头单位：县住建</w:t>
            </w:r>
            <w:bookmarkStart w:id="163" w:name="_GoBack"/>
            <w:bookmarkEnd w:id="163"/>
            <w:r>
              <w:rPr>
                <w:rFonts w:cs="Times New Roman"/>
                <w:color w:val="000000"/>
                <w:kern w:val="0"/>
                <w:sz w:val="28"/>
                <w:szCs w:val="28"/>
              </w:rPr>
              <w:t>局、县供水公司、县供电局</w:t>
            </w:r>
          </w:p>
        </w:tc>
        <w:tc>
          <w:tcPr>
            <w:tcW w:w="1034" w:type="pct"/>
            <w:tcBorders>
              <w:top w:val="nil"/>
              <w:left w:val="nil"/>
              <w:bottom w:val="single" w:color="auto" w:sz="4" w:space="0"/>
              <w:right w:val="single" w:color="auto" w:sz="4" w:space="0"/>
            </w:tcBorders>
            <w:shd w:val="clear" w:color="auto" w:fill="auto"/>
            <w:vAlign w:val="center"/>
          </w:tcPr>
          <w:p w14:paraId="70738A8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2878FBA">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7B3366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12</w:t>
            </w:r>
          </w:p>
        </w:tc>
        <w:tc>
          <w:tcPr>
            <w:tcW w:w="391" w:type="pct"/>
            <w:vMerge w:val="continue"/>
            <w:tcBorders>
              <w:top w:val="nil"/>
              <w:left w:val="single" w:color="auto" w:sz="4" w:space="0"/>
              <w:bottom w:val="single" w:color="auto" w:sz="4" w:space="0"/>
              <w:right w:val="single" w:color="auto" w:sz="4" w:space="0"/>
            </w:tcBorders>
            <w:vAlign w:val="center"/>
          </w:tcPr>
          <w:p w14:paraId="75128508">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7E7A396">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96DCDA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推进“互联网+不动产登记”应用</w:t>
            </w:r>
          </w:p>
        </w:tc>
        <w:tc>
          <w:tcPr>
            <w:tcW w:w="1578" w:type="pct"/>
            <w:tcBorders>
              <w:top w:val="nil"/>
              <w:left w:val="nil"/>
              <w:bottom w:val="single" w:color="auto" w:sz="4" w:space="0"/>
              <w:right w:val="single" w:color="auto" w:sz="4" w:space="0"/>
            </w:tcBorders>
            <w:shd w:val="clear" w:color="auto" w:fill="auto"/>
            <w:vAlign w:val="center"/>
          </w:tcPr>
          <w:p w14:paraId="69373B7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牵头单位：县自然资源局，县政数局</w:t>
            </w:r>
          </w:p>
        </w:tc>
        <w:tc>
          <w:tcPr>
            <w:tcW w:w="1034" w:type="pct"/>
            <w:tcBorders>
              <w:top w:val="nil"/>
              <w:left w:val="nil"/>
              <w:bottom w:val="single" w:color="auto" w:sz="4" w:space="0"/>
              <w:right w:val="single" w:color="auto" w:sz="4" w:space="0"/>
            </w:tcBorders>
            <w:shd w:val="clear" w:color="auto" w:fill="auto"/>
            <w:vAlign w:val="center"/>
          </w:tcPr>
          <w:p w14:paraId="1C4C6B0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81F7225">
        <w:tblPrEx>
          <w:tblCellMar>
            <w:top w:w="0" w:type="dxa"/>
            <w:left w:w="108" w:type="dxa"/>
            <w:bottom w:w="0" w:type="dxa"/>
            <w:right w:w="108" w:type="dxa"/>
          </w:tblCellMar>
        </w:tblPrEx>
        <w:trPr>
          <w:trHeight w:val="108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EE2C99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13</w:t>
            </w:r>
          </w:p>
        </w:tc>
        <w:tc>
          <w:tcPr>
            <w:tcW w:w="391" w:type="pct"/>
            <w:vMerge w:val="continue"/>
            <w:tcBorders>
              <w:top w:val="nil"/>
              <w:left w:val="single" w:color="auto" w:sz="4" w:space="0"/>
              <w:bottom w:val="single" w:color="auto" w:sz="4" w:space="0"/>
              <w:right w:val="single" w:color="auto" w:sz="4" w:space="0"/>
            </w:tcBorders>
            <w:vAlign w:val="center"/>
          </w:tcPr>
          <w:p w14:paraId="56B044B3">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A68E619">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7CF7CFC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推进公共资源交易电子化建设</w:t>
            </w:r>
          </w:p>
        </w:tc>
        <w:tc>
          <w:tcPr>
            <w:tcW w:w="1578" w:type="pct"/>
            <w:tcBorders>
              <w:top w:val="nil"/>
              <w:left w:val="nil"/>
              <w:bottom w:val="single" w:color="auto" w:sz="4" w:space="0"/>
              <w:right w:val="single" w:color="auto" w:sz="4" w:space="0"/>
            </w:tcBorders>
            <w:shd w:val="clear" w:color="auto" w:fill="auto"/>
            <w:vAlign w:val="center"/>
          </w:tcPr>
          <w:p w14:paraId="6D378BD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牵头单位：市公共资源交易中心海丰分中心</w:t>
            </w:r>
          </w:p>
        </w:tc>
        <w:tc>
          <w:tcPr>
            <w:tcW w:w="1034" w:type="pct"/>
            <w:tcBorders>
              <w:top w:val="nil"/>
              <w:left w:val="nil"/>
              <w:bottom w:val="single" w:color="auto" w:sz="4" w:space="0"/>
              <w:right w:val="single" w:color="auto" w:sz="4" w:space="0"/>
            </w:tcBorders>
            <w:shd w:val="clear" w:color="auto" w:fill="auto"/>
            <w:vAlign w:val="center"/>
          </w:tcPr>
          <w:p w14:paraId="0ED332F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2022年12月底前，完成土地与矿业权网上挂牌交易系统升级改造及等级保护系统建设工作</w:t>
            </w:r>
          </w:p>
        </w:tc>
      </w:tr>
      <w:tr w14:paraId="62EB92E4">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C7A387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14</w:t>
            </w:r>
          </w:p>
        </w:tc>
        <w:tc>
          <w:tcPr>
            <w:tcW w:w="391" w:type="pct"/>
            <w:vMerge w:val="continue"/>
            <w:tcBorders>
              <w:top w:val="nil"/>
              <w:left w:val="single" w:color="auto" w:sz="4" w:space="0"/>
              <w:bottom w:val="single" w:color="auto" w:sz="4" w:space="0"/>
              <w:right w:val="single" w:color="auto" w:sz="4" w:space="0"/>
            </w:tcBorders>
            <w:vAlign w:val="center"/>
          </w:tcPr>
          <w:p w14:paraId="4D142180">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7871409">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1F63B2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提升投资便利化服务能力</w:t>
            </w:r>
          </w:p>
        </w:tc>
        <w:tc>
          <w:tcPr>
            <w:tcW w:w="1578" w:type="pct"/>
            <w:tcBorders>
              <w:top w:val="nil"/>
              <w:left w:val="nil"/>
              <w:bottom w:val="single" w:color="auto" w:sz="4" w:space="0"/>
              <w:right w:val="single" w:color="auto" w:sz="4" w:space="0"/>
            </w:tcBorders>
            <w:shd w:val="clear" w:color="auto" w:fill="auto"/>
            <w:vAlign w:val="center"/>
          </w:tcPr>
          <w:p w14:paraId="26BDAB4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牵头单位：县发改局</w:t>
            </w:r>
            <w:r>
              <w:rPr>
                <w:rFonts w:hint="eastAsia" w:cs="Times New Roman"/>
                <w:color w:val="000000"/>
                <w:kern w:val="0"/>
                <w:sz w:val="28"/>
                <w:szCs w:val="28"/>
              </w:rPr>
              <w:t>、县投资促进事务中心</w:t>
            </w:r>
          </w:p>
        </w:tc>
        <w:tc>
          <w:tcPr>
            <w:tcW w:w="1034" w:type="pct"/>
            <w:tcBorders>
              <w:top w:val="nil"/>
              <w:left w:val="nil"/>
              <w:bottom w:val="single" w:color="auto" w:sz="4" w:space="0"/>
              <w:right w:val="single" w:color="auto" w:sz="4" w:space="0"/>
            </w:tcBorders>
            <w:shd w:val="clear" w:color="auto" w:fill="auto"/>
            <w:vAlign w:val="center"/>
          </w:tcPr>
          <w:p w14:paraId="0C9B3D7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D562A9E">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DBC11E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15</w:t>
            </w:r>
          </w:p>
        </w:tc>
        <w:tc>
          <w:tcPr>
            <w:tcW w:w="391" w:type="pct"/>
            <w:vMerge w:val="continue"/>
            <w:tcBorders>
              <w:top w:val="nil"/>
              <w:left w:val="single" w:color="auto" w:sz="4" w:space="0"/>
              <w:bottom w:val="single" w:color="auto" w:sz="4" w:space="0"/>
              <w:right w:val="single" w:color="auto" w:sz="4" w:space="0"/>
            </w:tcBorders>
            <w:vAlign w:val="center"/>
          </w:tcPr>
          <w:p w14:paraId="31F38045">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35F23D7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优化均等普惠的公共服务</w:t>
            </w:r>
          </w:p>
        </w:tc>
        <w:tc>
          <w:tcPr>
            <w:tcW w:w="1222" w:type="pct"/>
            <w:tcBorders>
              <w:top w:val="nil"/>
              <w:left w:val="nil"/>
              <w:bottom w:val="single" w:color="auto" w:sz="4" w:space="0"/>
              <w:right w:val="single" w:color="auto" w:sz="4" w:space="0"/>
            </w:tcBorders>
            <w:shd w:val="clear" w:color="auto" w:fill="auto"/>
            <w:noWrap/>
            <w:vAlign w:val="center"/>
          </w:tcPr>
          <w:p w14:paraId="4675F0B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推广“数字乡村”服务模式</w:t>
            </w:r>
          </w:p>
        </w:tc>
        <w:tc>
          <w:tcPr>
            <w:tcW w:w="1578" w:type="pct"/>
            <w:tcBorders>
              <w:top w:val="nil"/>
              <w:left w:val="nil"/>
              <w:bottom w:val="single" w:color="auto" w:sz="4" w:space="0"/>
              <w:right w:val="single" w:color="auto" w:sz="4" w:space="0"/>
            </w:tcBorders>
            <w:shd w:val="clear" w:color="auto" w:fill="auto"/>
            <w:vAlign w:val="center"/>
          </w:tcPr>
          <w:p w14:paraId="297AEA5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牵头单位：县农业农村局</w:t>
            </w:r>
          </w:p>
        </w:tc>
        <w:tc>
          <w:tcPr>
            <w:tcW w:w="1034" w:type="pct"/>
            <w:tcBorders>
              <w:top w:val="nil"/>
              <w:left w:val="nil"/>
              <w:bottom w:val="single" w:color="auto" w:sz="4" w:space="0"/>
              <w:right w:val="single" w:color="auto" w:sz="4" w:space="0"/>
            </w:tcBorders>
            <w:shd w:val="clear" w:color="auto" w:fill="auto"/>
            <w:vAlign w:val="center"/>
          </w:tcPr>
          <w:p w14:paraId="4474340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E646F59">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C930CD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16</w:t>
            </w:r>
          </w:p>
        </w:tc>
        <w:tc>
          <w:tcPr>
            <w:tcW w:w="391" w:type="pct"/>
            <w:vMerge w:val="continue"/>
            <w:tcBorders>
              <w:top w:val="nil"/>
              <w:left w:val="single" w:color="auto" w:sz="4" w:space="0"/>
              <w:bottom w:val="single" w:color="auto" w:sz="4" w:space="0"/>
              <w:right w:val="single" w:color="auto" w:sz="4" w:space="0"/>
            </w:tcBorders>
            <w:vAlign w:val="center"/>
          </w:tcPr>
          <w:p w14:paraId="00BA278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73574E3">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3307897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构建“智慧教育”服务体系</w:t>
            </w:r>
          </w:p>
        </w:tc>
        <w:tc>
          <w:tcPr>
            <w:tcW w:w="1578" w:type="pct"/>
            <w:tcBorders>
              <w:top w:val="nil"/>
              <w:left w:val="nil"/>
              <w:bottom w:val="single" w:color="auto" w:sz="4" w:space="0"/>
              <w:right w:val="single" w:color="auto" w:sz="4" w:space="0"/>
            </w:tcBorders>
            <w:shd w:val="clear" w:color="auto" w:fill="auto"/>
            <w:vAlign w:val="center"/>
          </w:tcPr>
          <w:p w14:paraId="0B1B0E5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牵头部门：县教育局</w:t>
            </w:r>
          </w:p>
        </w:tc>
        <w:tc>
          <w:tcPr>
            <w:tcW w:w="1034" w:type="pct"/>
            <w:tcBorders>
              <w:top w:val="nil"/>
              <w:left w:val="nil"/>
              <w:bottom w:val="single" w:color="auto" w:sz="4" w:space="0"/>
              <w:right w:val="single" w:color="auto" w:sz="4" w:space="0"/>
            </w:tcBorders>
            <w:shd w:val="clear" w:color="auto" w:fill="auto"/>
            <w:vAlign w:val="center"/>
          </w:tcPr>
          <w:p w14:paraId="7DA267B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2022年12月底前，初步完成“三个课堂”应用建设</w:t>
            </w:r>
          </w:p>
        </w:tc>
      </w:tr>
      <w:tr w14:paraId="1ADE9CF9">
        <w:tblPrEx>
          <w:tblCellMar>
            <w:top w:w="0" w:type="dxa"/>
            <w:left w:w="108" w:type="dxa"/>
            <w:bottom w:w="0" w:type="dxa"/>
            <w:right w:w="108" w:type="dxa"/>
          </w:tblCellMar>
        </w:tblPrEx>
        <w:trPr>
          <w:trHeight w:val="108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0DFA53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17</w:t>
            </w:r>
          </w:p>
        </w:tc>
        <w:tc>
          <w:tcPr>
            <w:tcW w:w="391" w:type="pct"/>
            <w:vMerge w:val="continue"/>
            <w:tcBorders>
              <w:top w:val="nil"/>
              <w:left w:val="single" w:color="auto" w:sz="4" w:space="0"/>
              <w:bottom w:val="single" w:color="auto" w:sz="4" w:space="0"/>
              <w:right w:val="single" w:color="auto" w:sz="4" w:space="0"/>
            </w:tcBorders>
            <w:vAlign w:val="center"/>
          </w:tcPr>
          <w:p w14:paraId="3560A129">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F125554">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2F6C400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开展“智慧医疗”体系建设</w:t>
            </w:r>
          </w:p>
        </w:tc>
        <w:tc>
          <w:tcPr>
            <w:tcW w:w="1578" w:type="pct"/>
            <w:tcBorders>
              <w:top w:val="nil"/>
              <w:left w:val="nil"/>
              <w:bottom w:val="single" w:color="auto" w:sz="4" w:space="0"/>
              <w:right w:val="single" w:color="auto" w:sz="4" w:space="0"/>
            </w:tcBorders>
            <w:shd w:val="clear" w:color="auto" w:fill="auto"/>
            <w:vAlign w:val="center"/>
          </w:tcPr>
          <w:p w14:paraId="38187F8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牵头单位：县卫健局</w:t>
            </w:r>
          </w:p>
        </w:tc>
        <w:tc>
          <w:tcPr>
            <w:tcW w:w="1034" w:type="pct"/>
            <w:tcBorders>
              <w:top w:val="nil"/>
              <w:left w:val="nil"/>
              <w:bottom w:val="single" w:color="auto" w:sz="4" w:space="0"/>
              <w:right w:val="single" w:color="auto" w:sz="4" w:space="0"/>
            </w:tcBorders>
            <w:shd w:val="clear" w:color="auto" w:fill="auto"/>
            <w:vAlign w:val="center"/>
          </w:tcPr>
          <w:p w14:paraId="0EE94F7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2023年12月底前，基本完成彭湃医院《三级综合医院等级评审标准》信息化配套改造。</w:t>
            </w:r>
          </w:p>
        </w:tc>
      </w:tr>
      <w:tr w14:paraId="6D144011">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0ECE69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18</w:t>
            </w:r>
          </w:p>
        </w:tc>
        <w:tc>
          <w:tcPr>
            <w:tcW w:w="391" w:type="pct"/>
            <w:vMerge w:val="continue"/>
            <w:tcBorders>
              <w:top w:val="nil"/>
              <w:left w:val="single" w:color="auto" w:sz="4" w:space="0"/>
              <w:bottom w:val="single" w:color="auto" w:sz="4" w:space="0"/>
              <w:right w:val="single" w:color="auto" w:sz="4" w:space="0"/>
            </w:tcBorders>
            <w:vAlign w:val="center"/>
          </w:tcPr>
          <w:p w14:paraId="714742F4">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602AE33">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490DC6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推进“智慧人社”应用</w:t>
            </w:r>
          </w:p>
        </w:tc>
        <w:tc>
          <w:tcPr>
            <w:tcW w:w="1578" w:type="pct"/>
            <w:tcBorders>
              <w:top w:val="nil"/>
              <w:left w:val="nil"/>
              <w:bottom w:val="single" w:color="auto" w:sz="4" w:space="0"/>
              <w:right w:val="single" w:color="auto" w:sz="4" w:space="0"/>
            </w:tcBorders>
            <w:shd w:val="clear" w:color="auto" w:fill="auto"/>
            <w:vAlign w:val="center"/>
          </w:tcPr>
          <w:p w14:paraId="6D3060C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牵头单位：县人社局</w:t>
            </w:r>
          </w:p>
        </w:tc>
        <w:tc>
          <w:tcPr>
            <w:tcW w:w="1034" w:type="pct"/>
            <w:tcBorders>
              <w:top w:val="nil"/>
              <w:left w:val="nil"/>
              <w:bottom w:val="single" w:color="auto" w:sz="4" w:space="0"/>
              <w:right w:val="single" w:color="auto" w:sz="4" w:space="0"/>
            </w:tcBorders>
            <w:shd w:val="clear" w:color="auto" w:fill="auto"/>
            <w:vAlign w:val="center"/>
          </w:tcPr>
          <w:p w14:paraId="4E440EE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C608CE0">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B0DE37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19</w:t>
            </w:r>
          </w:p>
        </w:tc>
        <w:tc>
          <w:tcPr>
            <w:tcW w:w="391" w:type="pct"/>
            <w:vMerge w:val="continue"/>
            <w:tcBorders>
              <w:top w:val="nil"/>
              <w:left w:val="single" w:color="auto" w:sz="4" w:space="0"/>
              <w:bottom w:val="single" w:color="auto" w:sz="4" w:space="0"/>
              <w:right w:val="single" w:color="auto" w:sz="4" w:space="0"/>
            </w:tcBorders>
            <w:vAlign w:val="center"/>
          </w:tcPr>
          <w:p w14:paraId="39D3EEDE">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4C6945EF">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2A83FE2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探索“智慧民政”应用</w:t>
            </w:r>
          </w:p>
        </w:tc>
        <w:tc>
          <w:tcPr>
            <w:tcW w:w="1578" w:type="pct"/>
            <w:tcBorders>
              <w:top w:val="nil"/>
              <w:left w:val="nil"/>
              <w:bottom w:val="single" w:color="auto" w:sz="4" w:space="0"/>
              <w:right w:val="single" w:color="auto" w:sz="4" w:space="0"/>
            </w:tcBorders>
            <w:shd w:val="clear" w:color="auto" w:fill="auto"/>
            <w:vAlign w:val="center"/>
          </w:tcPr>
          <w:p w14:paraId="5B4E35A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牵头单位：县民政局</w:t>
            </w:r>
          </w:p>
        </w:tc>
        <w:tc>
          <w:tcPr>
            <w:tcW w:w="1034" w:type="pct"/>
            <w:tcBorders>
              <w:top w:val="nil"/>
              <w:left w:val="nil"/>
              <w:bottom w:val="single" w:color="auto" w:sz="4" w:space="0"/>
              <w:right w:val="single" w:color="auto" w:sz="4" w:space="0"/>
            </w:tcBorders>
            <w:shd w:val="clear" w:color="auto" w:fill="auto"/>
            <w:vAlign w:val="center"/>
          </w:tcPr>
          <w:p w14:paraId="3CB4E7A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07252D1">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EB2214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w:t>
            </w:r>
          </w:p>
        </w:tc>
        <w:tc>
          <w:tcPr>
            <w:tcW w:w="391" w:type="pct"/>
            <w:vMerge w:val="continue"/>
            <w:tcBorders>
              <w:top w:val="nil"/>
              <w:left w:val="single" w:color="auto" w:sz="4" w:space="0"/>
              <w:bottom w:val="single" w:color="auto" w:sz="4" w:space="0"/>
              <w:right w:val="single" w:color="auto" w:sz="4" w:space="0"/>
            </w:tcBorders>
            <w:vAlign w:val="center"/>
          </w:tcPr>
          <w:p w14:paraId="2067C5CC">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10BD9AD5">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F9EEE7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探索“互联网+体育”建设</w:t>
            </w:r>
          </w:p>
        </w:tc>
        <w:tc>
          <w:tcPr>
            <w:tcW w:w="1578" w:type="pct"/>
            <w:tcBorders>
              <w:top w:val="nil"/>
              <w:left w:val="nil"/>
              <w:bottom w:val="single" w:color="auto" w:sz="4" w:space="0"/>
              <w:right w:val="single" w:color="auto" w:sz="4" w:space="0"/>
            </w:tcBorders>
            <w:shd w:val="clear" w:color="auto" w:fill="auto"/>
            <w:vAlign w:val="center"/>
          </w:tcPr>
          <w:p w14:paraId="3326921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牵头单位：县文广旅体局</w:t>
            </w:r>
          </w:p>
        </w:tc>
        <w:tc>
          <w:tcPr>
            <w:tcW w:w="1034" w:type="pct"/>
            <w:tcBorders>
              <w:top w:val="nil"/>
              <w:left w:val="nil"/>
              <w:bottom w:val="single" w:color="auto" w:sz="4" w:space="0"/>
              <w:right w:val="single" w:color="auto" w:sz="4" w:space="0"/>
            </w:tcBorders>
            <w:shd w:val="clear" w:color="auto" w:fill="auto"/>
            <w:vAlign w:val="center"/>
          </w:tcPr>
          <w:p w14:paraId="6BE0DDC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5E9DC44">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AF4428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21</w:t>
            </w:r>
          </w:p>
        </w:tc>
        <w:tc>
          <w:tcPr>
            <w:tcW w:w="391" w:type="pct"/>
            <w:vMerge w:val="continue"/>
            <w:tcBorders>
              <w:top w:val="nil"/>
              <w:left w:val="single" w:color="auto" w:sz="4" w:space="0"/>
              <w:bottom w:val="single" w:color="auto" w:sz="4" w:space="0"/>
              <w:right w:val="single" w:color="auto" w:sz="4" w:space="0"/>
            </w:tcBorders>
            <w:vAlign w:val="center"/>
          </w:tcPr>
          <w:p w14:paraId="1474FE22">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51297C8">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03A041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推进数字农业基础建设</w:t>
            </w:r>
          </w:p>
        </w:tc>
        <w:tc>
          <w:tcPr>
            <w:tcW w:w="1578" w:type="pct"/>
            <w:tcBorders>
              <w:top w:val="nil"/>
              <w:left w:val="nil"/>
              <w:bottom w:val="single" w:color="auto" w:sz="4" w:space="0"/>
              <w:right w:val="single" w:color="auto" w:sz="4" w:space="0"/>
            </w:tcBorders>
            <w:shd w:val="clear" w:color="auto" w:fill="auto"/>
            <w:vAlign w:val="center"/>
          </w:tcPr>
          <w:p w14:paraId="403AD67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牵头单位：县农业农村局</w:t>
            </w:r>
          </w:p>
        </w:tc>
        <w:tc>
          <w:tcPr>
            <w:tcW w:w="1034" w:type="pct"/>
            <w:tcBorders>
              <w:top w:val="nil"/>
              <w:left w:val="nil"/>
              <w:bottom w:val="single" w:color="auto" w:sz="4" w:space="0"/>
              <w:right w:val="single" w:color="auto" w:sz="4" w:space="0"/>
            </w:tcBorders>
            <w:shd w:val="clear" w:color="auto" w:fill="auto"/>
            <w:vAlign w:val="center"/>
          </w:tcPr>
          <w:p w14:paraId="5A88855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2023年12底前，基本完成“三农”发展数据库建设。</w:t>
            </w:r>
          </w:p>
        </w:tc>
      </w:tr>
      <w:tr w14:paraId="5966C895">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A6668A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22</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00F4969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（二）聚焦数字慧治，推进高效能社会治理走在全市前列</w:t>
            </w: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07FC3A0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提升社会治理精细智能</w:t>
            </w:r>
          </w:p>
        </w:tc>
        <w:tc>
          <w:tcPr>
            <w:tcW w:w="1222" w:type="pct"/>
            <w:tcBorders>
              <w:top w:val="nil"/>
              <w:left w:val="nil"/>
              <w:bottom w:val="single" w:color="auto" w:sz="4" w:space="0"/>
              <w:right w:val="single" w:color="auto" w:sz="4" w:space="0"/>
            </w:tcBorders>
            <w:shd w:val="clear" w:color="auto" w:fill="auto"/>
            <w:noWrap/>
            <w:vAlign w:val="center"/>
          </w:tcPr>
          <w:p w14:paraId="510AF6C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构建“一网统管”治理机制</w:t>
            </w:r>
          </w:p>
        </w:tc>
        <w:tc>
          <w:tcPr>
            <w:tcW w:w="1578" w:type="pct"/>
            <w:vMerge w:val="restart"/>
            <w:tcBorders>
              <w:top w:val="nil"/>
              <w:left w:val="single" w:color="auto" w:sz="4" w:space="0"/>
              <w:bottom w:val="single" w:color="000000" w:sz="4" w:space="0"/>
              <w:right w:val="single" w:color="auto" w:sz="4" w:space="0"/>
            </w:tcBorders>
            <w:shd w:val="clear" w:color="auto" w:fill="auto"/>
            <w:vAlign w:val="center"/>
          </w:tcPr>
          <w:p w14:paraId="1BF57C5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牵头单位：县委政法委，县公安局，县自然资源局，县农业农村局，县政数局</w:t>
            </w:r>
          </w:p>
        </w:tc>
        <w:tc>
          <w:tcPr>
            <w:tcW w:w="1034" w:type="pct"/>
            <w:vMerge w:val="restart"/>
            <w:tcBorders>
              <w:top w:val="nil"/>
              <w:left w:val="single" w:color="auto" w:sz="4" w:space="0"/>
              <w:bottom w:val="single" w:color="000000" w:sz="4" w:space="0"/>
              <w:right w:val="single" w:color="auto" w:sz="4" w:space="0"/>
            </w:tcBorders>
            <w:shd w:val="clear" w:color="auto" w:fill="auto"/>
            <w:vAlign w:val="center"/>
          </w:tcPr>
          <w:p w14:paraId="7859D88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4D7E249D">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F9DC59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23</w:t>
            </w:r>
          </w:p>
        </w:tc>
        <w:tc>
          <w:tcPr>
            <w:tcW w:w="391" w:type="pct"/>
            <w:vMerge w:val="continue"/>
            <w:tcBorders>
              <w:top w:val="nil"/>
              <w:left w:val="single" w:color="auto" w:sz="4" w:space="0"/>
              <w:bottom w:val="single" w:color="auto" w:sz="4" w:space="0"/>
              <w:right w:val="single" w:color="auto" w:sz="4" w:space="0"/>
            </w:tcBorders>
            <w:vAlign w:val="center"/>
          </w:tcPr>
          <w:p w14:paraId="6EB0D84F">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55F626B">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0F0E428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完善三级网格化服务管理体系</w:t>
            </w:r>
          </w:p>
        </w:tc>
        <w:tc>
          <w:tcPr>
            <w:tcW w:w="1578" w:type="pct"/>
            <w:vMerge w:val="continue"/>
            <w:tcBorders>
              <w:top w:val="nil"/>
              <w:left w:val="single" w:color="auto" w:sz="4" w:space="0"/>
              <w:bottom w:val="single" w:color="000000" w:sz="4" w:space="0"/>
              <w:right w:val="single" w:color="auto" w:sz="4" w:space="0"/>
            </w:tcBorders>
            <w:vAlign w:val="center"/>
          </w:tcPr>
          <w:p w14:paraId="43C02B71">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264C9B76">
            <w:pPr>
              <w:widowControl/>
              <w:spacing w:line="240" w:lineRule="auto"/>
              <w:ind w:firstLine="0" w:firstLineChars="0"/>
              <w:jc w:val="left"/>
              <w:rPr>
                <w:rFonts w:cs="Times New Roman"/>
                <w:color w:val="000000"/>
                <w:kern w:val="0"/>
                <w:sz w:val="28"/>
                <w:szCs w:val="28"/>
              </w:rPr>
            </w:pPr>
          </w:p>
        </w:tc>
      </w:tr>
      <w:tr w14:paraId="52F99263">
        <w:tblPrEx>
          <w:tblCellMar>
            <w:top w:w="0" w:type="dxa"/>
            <w:left w:w="108" w:type="dxa"/>
            <w:bottom w:w="0" w:type="dxa"/>
            <w:right w:w="108" w:type="dxa"/>
          </w:tblCellMar>
        </w:tblPrEx>
        <w:trPr>
          <w:trHeight w:val="66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7D30BF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24</w:t>
            </w:r>
          </w:p>
        </w:tc>
        <w:tc>
          <w:tcPr>
            <w:tcW w:w="391" w:type="pct"/>
            <w:vMerge w:val="continue"/>
            <w:tcBorders>
              <w:top w:val="nil"/>
              <w:left w:val="single" w:color="auto" w:sz="4" w:space="0"/>
              <w:bottom w:val="single" w:color="auto" w:sz="4" w:space="0"/>
              <w:right w:val="single" w:color="auto" w:sz="4" w:space="0"/>
            </w:tcBorders>
            <w:vAlign w:val="center"/>
          </w:tcPr>
          <w:p w14:paraId="67EAFE61">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A619E7E">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202771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大力推广“民情地图”应用</w:t>
            </w:r>
          </w:p>
        </w:tc>
        <w:tc>
          <w:tcPr>
            <w:tcW w:w="1578" w:type="pct"/>
            <w:vMerge w:val="continue"/>
            <w:tcBorders>
              <w:top w:val="nil"/>
              <w:left w:val="single" w:color="auto" w:sz="4" w:space="0"/>
              <w:bottom w:val="single" w:color="000000" w:sz="4" w:space="0"/>
              <w:right w:val="single" w:color="auto" w:sz="4" w:space="0"/>
            </w:tcBorders>
            <w:vAlign w:val="center"/>
          </w:tcPr>
          <w:p w14:paraId="12C2BD16">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1B3DBA6A">
            <w:pPr>
              <w:widowControl/>
              <w:spacing w:line="240" w:lineRule="auto"/>
              <w:ind w:firstLine="0" w:firstLineChars="0"/>
              <w:jc w:val="left"/>
              <w:rPr>
                <w:rFonts w:cs="Times New Roman"/>
                <w:color w:val="000000"/>
                <w:kern w:val="0"/>
                <w:sz w:val="28"/>
                <w:szCs w:val="28"/>
              </w:rPr>
            </w:pPr>
          </w:p>
        </w:tc>
      </w:tr>
      <w:tr w14:paraId="75C2E62F">
        <w:tblPrEx>
          <w:tblCellMar>
            <w:top w:w="0" w:type="dxa"/>
            <w:left w:w="108" w:type="dxa"/>
            <w:bottom w:w="0" w:type="dxa"/>
            <w:right w:w="108" w:type="dxa"/>
          </w:tblCellMar>
        </w:tblPrEx>
        <w:trPr>
          <w:trHeight w:val="108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C4253E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25</w:t>
            </w:r>
          </w:p>
        </w:tc>
        <w:tc>
          <w:tcPr>
            <w:tcW w:w="391" w:type="pct"/>
            <w:vMerge w:val="continue"/>
            <w:tcBorders>
              <w:top w:val="nil"/>
              <w:left w:val="single" w:color="auto" w:sz="4" w:space="0"/>
              <w:bottom w:val="single" w:color="auto" w:sz="4" w:space="0"/>
              <w:right w:val="single" w:color="auto" w:sz="4" w:space="0"/>
            </w:tcBorders>
            <w:vAlign w:val="center"/>
          </w:tcPr>
          <w:p w14:paraId="63E67D59">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11D7347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51F344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推进“智慧警务”建设</w:t>
            </w:r>
          </w:p>
        </w:tc>
        <w:tc>
          <w:tcPr>
            <w:tcW w:w="1578" w:type="pct"/>
            <w:tcBorders>
              <w:top w:val="nil"/>
              <w:left w:val="nil"/>
              <w:bottom w:val="single" w:color="auto" w:sz="4" w:space="0"/>
              <w:right w:val="single" w:color="auto" w:sz="4" w:space="0"/>
            </w:tcBorders>
            <w:shd w:val="clear" w:color="auto" w:fill="auto"/>
            <w:vAlign w:val="center"/>
          </w:tcPr>
          <w:p w14:paraId="1CF489D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牵头单位：县公安局</w:t>
            </w:r>
          </w:p>
        </w:tc>
        <w:tc>
          <w:tcPr>
            <w:tcW w:w="1034" w:type="pct"/>
            <w:tcBorders>
              <w:top w:val="nil"/>
              <w:left w:val="nil"/>
              <w:bottom w:val="single" w:color="auto" w:sz="4" w:space="0"/>
              <w:right w:val="single" w:color="auto" w:sz="4" w:space="0"/>
            </w:tcBorders>
            <w:shd w:val="clear" w:color="auto" w:fill="auto"/>
            <w:vAlign w:val="center"/>
          </w:tcPr>
          <w:p w14:paraId="392DD91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2022年12月底前，基本完成“平安海丰”社会视频监控系统及卡口运维项目招标工作。</w:t>
            </w:r>
          </w:p>
        </w:tc>
      </w:tr>
      <w:tr w14:paraId="125911DD">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F8E8A5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26</w:t>
            </w:r>
          </w:p>
        </w:tc>
        <w:tc>
          <w:tcPr>
            <w:tcW w:w="391" w:type="pct"/>
            <w:vMerge w:val="continue"/>
            <w:tcBorders>
              <w:top w:val="nil"/>
              <w:left w:val="single" w:color="auto" w:sz="4" w:space="0"/>
              <w:bottom w:val="single" w:color="auto" w:sz="4" w:space="0"/>
              <w:right w:val="single" w:color="auto" w:sz="4" w:space="0"/>
            </w:tcBorders>
            <w:vAlign w:val="center"/>
          </w:tcPr>
          <w:p w14:paraId="43A58719">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DD1E6BE">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6A748B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推进“智慧交通”建设</w:t>
            </w:r>
          </w:p>
        </w:tc>
        <w:tc>
          <w:tcPr>
            <w:tcW w:w="1578" w:type="pct"/>
            <w:tcBorders>
              <w:top w:val="nil"/>
              <w:left w:val="nil"/>
              <w:bottom w:val="single" w:color="auto" w:sz="4" w:space="0"/>
              <w:right w:val="single" w:color="auto" w:sz="4" w:space="0"/>
            </w:tcBorders>
            <w:shd w:val="clear" w:color="auto" w:fill="auto"/>
            <w:vAlign w:val="center"/>
          </w:tcPr>
          <w:p w14:paraId="115D67E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牵头单位：县公安局</w:t>
            </w:r>
          </w:p>
        </w:tc>
        <w:tc>
          <w:tcPr>
            <w:tcW w:w="1034" w:type="pct"/>
            <w:tcBorders>
              <w:top w:val="nil"/>
              <w:left w:val="nil"/>
              <w:bottom w:val="single" w:color="auto" w:sz="4" w:space="0"/>
              <w:right w:val="single" w:color="auto" w:sz="4" w:space="0"/>
            </w:tcBorders>
            <w:shd w:val="clear" w:color="auto" w:fill="auto"/>
            <w:vAlign w:val="center"/>
          </w:tcPr>
          <w:p w14:paraId="5E42520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2022年12月底抢，基本完成海丰“智能交通”总体规划设计工作。</w:t>
            </w:r>
          </w:p>
        </w:tc>
      </w:tr>
      <w:tr w14:paraId="3846042D">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11EEE9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27</w:t>
            </w:r>
          </w:p>
        </w:tc>
        <w:tc>
          <w:tcPr>
            <w:tcW w:w="391" w:type="pct"/>
            <w:vMerge w:val="continue"/>
            <w:tcBorders>
              <w:top w:val="nil"/>
              <w:left w:val="single" w:color="auto" w:sz="4" w:space="0"/>
              <w:bottom w:val="single" w:color="auto" w:sz="4" w:space="0"/>
              <w:right w:val="single" w:color="auto" w:sz="4" w:space="0"/>
            </w:tcBorders>
            <w:vAlign w:val="center"/>
          </w:tcPr>
          <w:p w14:paraId="55F55AE5">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4B67AF8A">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79AF56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推挤“智慧住建”建设</w:t>
            </w:r>
          </w:p>
        </w:tc>
        <w:tc>
          <w:tcPr>
            <w:tcW w:w="1578" w:type="pct"/>
            <w:tcBorders>
              <w:top w:val="nil"/>
              <w:left w:val="nil"/>
              <w:bottom w:val="single" w:color="auto" w:sz="4" w:space="0"/>
              <w:right w:val="single" w:color="auto" w:sz="4" w:space="0"/>
            </w:tcBorders>
            <w:shd w:val="clear" w:color="auto" w:fill="auto"/>
            <w:vAlign w:val="center"/>
          </w:tcPr>
          <w:p w14:paraId="0E2FE77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牵头单位：县住建局</w:t>
            </w:r>
          </w:p>
        </w:tc>
        <w:tc>
          <w:tcPr>
            <w:tcW w:w="1034" w:type="pct"/>
            <w:tcBorders>
              <w:top w:val="nil"/>
              <w:left w:val="nil"/>
              <w:bottom w:val="single" w:color="auto" w:sz="4" w:space="0"/>
              <w:right w:val="single" w:color="auto" w:sz="4" w:space="0"/>
            </w:tcBorders>
            <w:shd w:val="clear" w:color="auto" w:fill="auto"/>
            <w:vAlign w:val="center"/>
          </w:tcPr>
          <w:p w14:paraId="09A0471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2022年12月底前，基本完成“智慧工地”监管系统建设。</w:t>
            </w:r>
          </w:p>
        </w:tc>
      </w:tr>
      <w:tr w14:paraId="303EB079">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CF398C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28</w:t>
            </w:r>
          </w:p>
        </w:tc>
        <w:tc>
          <w:tcPr>
            <w:tcW w:w="391" w:type="pct"/>
            <w:vMerge w:val="continue"/>
            <w:tcBorders>
              <w:top w:val="nil"/>
              <w:left w:val="single" w:color="auto" w:sz="4" w:space="0"/>
              <w:bottom w:val="single" w:color="auto" w:sz="4" w:space="0"/>
              <w:right w:val="single" w:color="auto" w:sz="4" w:space="0"/>
            </w:tcBorders>
            <w:vAlign w:val="center"/>
          </w:tcPr>
          <w:p w14:paraId="46F8D391">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FA84589">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C1D5D9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推进“智慧消防”建设</w:t>
            </w:r>
          </w:p>
        </w:tc>
        <w:tc>
          <w:tcPr>
            <w:tcW w:w="1578" w:type="pct"/>
            <w:tcBorders>
              <w:top w:val="nil"/>
              <w:left w:val="nil"/>
              <w:bottom w:val="single" w:color="auto" w:sz="4" w:space="0"/>
              <w:right w:val="single" w:color="auto" w:sz="4" w:space="0"/>
            </w:tcBorders>
            <w:shd w:val="clear" w:color="auto" w:fill="auto"/>
            <w:vAlign w:val="center"/>
          </w:tcPr>
          <w:p w14:paraId="2702582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牵头单位：县消防大队</w:t>
            </w:r>
          </w:p>
        </w:tc>
        <w:tc>
          <w:tcPr>
            <w:tcW w:w="1034" w:type="pct"/>
            <w:tcBorders>
              <w:top w:val="nil"/>
              <w:left w:val="nil"/>
              <w:bottom w:val="single" w:color="auto" w:sz="4" w:space="0"/>
              <w:right w:val="single" w:color="auto" w:sz="4" w:space="0"/>
            </w:tcBorders>
            <w:shd w:val="clear" w:color="auto" w:fill="auto"/>
            <w:vAlign w:val="center"/>
          </w:tcPr>
          <w:p w14:paraId="6A503C3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2023年6月底前，初步完成“消防远程监控系统”建设。</w:t>
            </w:r>
          </w:p>
        </w:tc>
      </w:tr>
      <w:tr w14:paraId="7EBB3463">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35D8A3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29</w:t>
            </w:r>
          </w:p>
        </w:tc>
        <w:tc>
          <w:tcPr>
            <w:tcW w:w="391" w:type="pct"/>
            <w:vMerge w:val="continue"/>
            <w:tcBorders>
              <w:top w:val="nil"/>
              <w:left w:val="single" w:color="auto" w:sz="4" w:space="0"/>
              <w:bottom w:val="single" w:color="auto" w:sz="4" w:space="0"/>
              <w:right w:val="single" w:color="auto" w:sz="4" w:space="0"/>
            </w:tcBorders>
            <w:vAlign w:val="center"/>
          </w:tcPr>
          <w:p w14:paraId="083428C5">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1F13BE07">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0B67341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推进"智慧应急”建设</w:t>
            </w:r>
          </w:p>
        </w:tc>
        <w:tc>
          <w:tcPr>
            <w:tcW w:w="1578" w:type="pct"/>
            <w:tcBorders>
              <w:top w:val="nil"/>
              <w:left w:val="nil"/>
              <w:bottom w:val="single" w:color="auto" w:sz="4" w:space="0"/>
              <w:right w:val="single" w:color="auto" w:sz="4" w:space="0"/>
            </w:tcBorders>
            <w:shd w:val="clear" w:color="auto" w:fill="auto"/>
            <w:vAlign w:val="center"/>
          </w:tcPr>
          <w:p w14:paraId="3114F0F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牵头单位：县应急管理局</w:t>
            </w:r>
          </w:p>
        </w:tc>
        <w:tc>
          <w:tcPr>
            <w:tcW w:w="1034" w:type="pct"/>
            <w:tcBorders>
              <w:top w:val="nil"/>
              <w:left w:val="nil"/>
              <w:bottom w:val="single" w:color="auto" w:sz="4" w:space="0"/>
              <w:right w:val="single" w:color="auto" w:sz="4" w:space="0"/>
            </w:tcBorders>
            <w:shd w:val="clear" w:color="auto" w:fill="auto"/>
            <w:vAlign w:val="center"/>
          </w:tcPr>
          <w:p w14:paraId="2438951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9E229CB">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75DD98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30</w:t>
            </w:r>
          </w:p>
        </w:tc>
        <w:tc>
          <w:tcPr>
            <w:tcW w:w="391" w:type="pct"/>
            <w:vMerge w:val="continue"/>
            <w:tcBorders>
              <w:top w:val="nil"/>
              <w:left w:val="single" w:color="auto" w:sz="4" w:space="0"/>
              <w:bottom w:val="single" w:color="auto" w:sz="4" w:space="0"/>
              <w:right w:val="single" w:color="auto" w:sz="4" w:space="0"/>
            </w:tcBorders>
            <w:vAlign w:val="center"/>
          </w:tcPr>
          <w:p w14:paraId="32EE06C0">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7A43194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促进市场治理多元高效</w:t>
            </w:r>
          </w:p>
        </w:tc>
        <w:tc>
          <w:tcPr>
            <w:tcW w:w="1222" w:type="pct"/>
            <w:tcBorders>
              <w:top w:val="nil"/>
              <w:left w:val="nil"/>
              <w:bottom w:val="single" w:color="auto" w:sz="4" w:space="0"/>
              <w:right w:val="single" w:color="auto" w:sz="4" w:space="0"/>
            </w:tcBorders>
            <w:shd w:val="clear" w:color="auto" w:fill="auto"/>
            <w:noWrap/>
            <w:vAlign w:val="center"/>
          </w:tcPr>
          <w:p w14:paraId="78620D3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完善多元监管方式</w:t>
            </w:r>
          </w:p>
        </w:tc>
        <w:tc>
          <w:tcPr>
            <w:tcW w:w="1578" w:type="pct"/>
            <w:vMerge w:val="restart"/>
            <w:tcBorders>
              <w:top w:val="nil"/>
              <w:left w:val="single" w:color="auto" w:sz="4" w:space="0"/>
              <w:bottom w:val="single" w:color="000000" w:sz="4" w:space="0"/>
              <w:right w:val="single" w:color="auto" w:sz="4" w:space="0"/>
            </w:tcBorders>
            <w:shd w:val="clear" w:color="auto" w:fill="auto"/>
            <w:noWrap/>
            <w:vAlign w:val="center"/>
          </w:tcPr>
          <w:p w14:paraId="6A92D39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牵头单位：县市监局</w:t>
            </w:r>
          </w:p>
        </w:tc>
        <w:tc>
          <w:tcPr>
            <w:tcW w:w="1034" w:type="pct"/>
            <w:tcBorders>
              <w:top w:val="nil"/>
              <w:left w:val="nil"/>
              <w:bottom w:val="single" w:color="auto" w:sz="4" w:space="0"/>
              <w:right w:val="single" w:color="auto" w:sz="4" w:space="0"/>
            </w:tcBorders>
            <w:shd w:val="clear" w:color="auto" w:fill="auto"/>
            <w:vAlign w:val="center"/>
          </w:tcPr>
          <w:p w14:paraId="2D17BF5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2C20FDF">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2BA16E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31</w:t>
            </w:r>
          </w:p>
        </w:tc>
        <w:tc>
          <w:tcPr>
            <w:tcW w:w="391" w:type="pct"/>
            <w:vMerge w:val="continue"/>
            <w:tcBorders>
              <w:top w:val="nil"/>
              <w:left w:val="single" w:color="auto" w:sz="4" w:space="0"/>
              <w:bottom w:val="single" w:color="auto" w:sz="4" w:space="0"/>
              <w:right w:val="single" w:color="auto" w:sz="4" w:space="0"/>
            </w:tcBorders>
            <w:vAlign w:val="center"/>
          </w:tcPr>
          <w:p w14:paraId="4F3B9C3C">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0B34EA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6B5CEA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完善知识产权保护能力</w:t>
            </w:r>
          </w:p>
        </w:tc>
        <w:tc>
          <w:tcPr>
            <w:tcW w:w="1578" w:type="pct"/>
            <w:vMerge w:val="continue"/>
            <w:tcBorders>
              <w:top w:val="nil"/>
              <w:left w:val="single" w:color="auto" w:sz="4" w:space="0"/>
              <w:bottom w:val="single" w:color="000000" w:sz="4" w:space="0"/>
              <w:right w:val="single" w:color="auto" w:sz="4" w:space="0"/>
            </w:tcBorders>
            <w:vAlign w:val="center"/>
          </w:tcPr>
          <w:p w14:paraId="7C244A16">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640B7AA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6EAEE44">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5108E4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32</w:t>
            </w:r>
          </w:p>
        </w:tc>
        <w:tc>
          <w:tcPr>
            <w:tcW w:w="391" w:type="pct"/>
            <w:vMerge w:val="continue"/>
            <w:tcBorders>
              <w:top w:val="nil"/>
              <w:left w:val="single" w:color="auto" w:sz="4" w:space="0"/>
              <w:bottom w:val="single" w:color="auto" w:sz="4" w:space="0"/>
              <w:right w:val="single" w:color="auto" w:sz="4" w:space="0"/>
            </w:tcBorders>
            <w:vAlign w:val="center"/>
          </w:tcPr>
          <w:p w14:paraId="502C24C6">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B75E3B8">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9CA90A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完善食品药品监管能力</w:t>
            </w:r>
          </w:p>
        </w:tc>
        <w:tc>
          <w:tcPr>
            <w:tcW w:w="1578" w:type="pct"/>
            <w:vMerge w:val="continue"/>
            <w:tcBorders>
              <w:top w:val="nil"/>
              <w:left w:val="single" w:color="auto" w:sz="4" w:space="0"/>
              <w:bottom w:val="single" w:color="000000" w:sz="4" w:space="0"/>
              <w:right w:val="single" w:color="auto" w:sz="4" w:space="0"/>
            </w:tcBorders>
            <w:vAlign w:val="center"/>
          </w:tcPr>
          <w:p w14:paraId="7DDA7975">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429D874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2021年12月底前，基本完成学校食堂互联网+“明厨亮灶”平台建设</w:t>
            </w:r>
          </w:p>
        </w:tc>
      </w:tr>
      <w:tr w14:paraId="0422012B">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0ACFBB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33</w:t>
            </w:r>
          </w:p>
        </w:tc>
        <w:tc>
          <w:tcPr>
            <w:tcW w:w="391" w:type="pct"/>
            <w:vMerge w:val="continue"/>
            <w:tcBorders>
              <w:top w:val="nil"/>
              <w:left w:val="single" w:color="auto" w:sz="4" w:space="0"/>
              <w:bottom w:val="single" w:color="auto" w:sz="4" w:space="0"/>
              <w:right w:val="single" w:color="auto" w:sz="4" w:space="0"/>
            </w:tcBorders>
            <w:vAlign w:val="center"/>
          </w:tcPr>
          <w:p w14:paraId="41B8190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3CCEAA9">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89FF3E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完善安全生产监管能力</w:t>
            </w:r>
          </w:p>
        </w:tc>
        <w:tc>
          <w:tcPr>
            <w:tcW w:w="1578" w:type="pct"/>
            <w:vMerge w:val="continue"/>
            <w:tcBorders>
              <w:top w:val="nil"/>
              <w:left w:val="single" w:color="auto" w:sz="4" w:space="0"/>
              <w:bottom w:val="single" w:color="000000" w:sz="4" w:space="0"/>
              <w:right w:val="single" w:color="auto" w:sz="4" w:space="0"/>
            </w:tcBorders>
            <w:vAlign w:val="center"/>
          </w:tcPr>
          <w:p w14:paraId="3D699B03">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4FFE020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75B33067">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F3D453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34</w:t>
            </w:r>
          </w:p>
        </w:tc>
        <w:tc>
          <w:tcPr>
            <w:tcW w:w="391" w:type="pct"/>
            <w:vMerge w:val="continue"/>
            <w:tcBorders>
              <w:top w:val="nil"/>
              <w:left w:val="single" w:color="auto" w:sz="4" w:space="0"/>
              <w:bottom w:val="single" w:color="auto" w:sz="4" w:space="0"/>
              <w:right w:val="single" w:color="auto" w:sz="4" w:space="0"/>
            </w:tcBorders>
            <w:vAlign w:val="center"/>
          </w:tcPr>
          <w:p w14:paraId="6B4EAB63">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4591A7D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实现生态治理精准科学</w:t>
            </w:r>
          </w:p>
        </w:tc>
        <w:tc>
          <w:tcPr>
            <w:tcW w:w="1222" w:type="pct"/>
            <w:tcBorders>
              <w:top w:val="nil"/>
              <w:left w:val="nil"/>
              <w:bottom w:val="single" w:color="auto" w:sz="4" w:space="0"/>
              <w:right w:val="single" w:color="auto" w:sz="4" w:space="0"/>
            </w:tcBorders>
            <w:shd w:val="clear" w:color="auto" w:fill="auto"/>
            <w:noWrap/>
            <w:vAlign w:val="center"/>
          </w:tcPr>
          <w:p w14:paraId="78D3055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推进“智慧环保”应用</w:t>
            </w:r>
          </w:p>
        </w:tc>
        <w:tc>
          <w:tcPr>
            <w:tcW w:w="1578" w:type="pct"/>
            <w:tcBorders>
              <w:top w:val="nil"/>
              <w:left w:val="nil"/>
              <w:bottom w:val="single" w:color="auto" w:sz="4" w:space="0"/>
              <w:right w:val="single" w:color="auto" w:sz="4" w:space="0"/>
            </w:tcBorders>
            <w:shd w:val="clear" w:color="auto" w:fill="auto"/>
            <w:noWrap/>
            <w:vAlign w:val="center"/>
          </w:tcPr>
          <w:p w14:paraId="55D7F5A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牵头单位：市生态环境局海丰分局</w:t>
            </w:r>
          </w:p>
        </w:tc>
        <w:tc>
          <w:tcPr>
            <w:tcW w:w="1034" w:type="pct"/>
            <w:tcBorders>
              <w:top w:val="nil"/>
              <w:left w:val="nil"/>
              <w:bottom w:val="single" w:color="auto" w:sz="4" w:space="0"/>
              <w:right w:val="single" w:color="auto" w:sz="4" w:space="0"/>
            </w:tcBorders>
            <w:shd w:val="clear" w:color="auto" w:fill="auto"/>
            <w:vAlign w:val="center"/>
          </w:tcPr>
          <w:p w14:paraId="5AA2E29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50B18ED">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5905F6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35</w:t>
            </w:r>
          </w:p>
        </w:tc>
        <w:tc>
          <w:tcPr>
            <w:tcW w:w="391" w:type="pct"/>
            <w:vMerge w:val="continue"/>
            <w:tcBorders>
              <w:top w:val="nil"/>
              <w:left w:val="single" w:color="auto" w:sz="4" w:space="0"/>
              <w:bottom w:val="single" w:color="auto" w:sz="4" w:space="0"/>
              <w:right w:val="single" w:color="auto" w:sz="4" w:space="0"/>
            </w:tcBorders>
            <w:vAlign w:val="center"/>
          </w:tcPr>
          <w:p w14:paraId="43436EF9">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7A74F42">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E047E5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推进“智慧水利”应用</w:t>
            </w:r>
          </w:p>
        </w:tc>
        <w:tc>
          <w:tcPr>
            <w:tcW w:w="1578" w:type="pct"/>
            <w:tcBorders>
              <w:top w:val="nil"/>
              <w:left w:val="nil"/>
              <w:bottom w:val="single" w:color="auto" w:sz="4" w:space="0"/>
              <w:right w:val="single" w:color="auto" w:sz="4" w:space="0"/>
            </w:tcBorders>
            <w:shd w:val="clear" w:color="auto" w:fill="auto"/>
            <w:noWrap/>
            <w:vAlign w:val="center"/>
          </w:tcPr>
          <w:p w14:paraId="79F719B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牵头单位：县水务局</w:t>
            </w:r>
          </w:p>
        </w:tc>
        <w:tc>
          <w:tcPr>
            <w:tcW w:w="1034" w:type="pct"/>
            <w:tcBorders>
              <w:top w:val="nil"/>
              <w:left w:val="nil"/>
              <w:bottom w:val="single" w:color="auto" w:sz="4" w:space="0"/>
              <w:right w:val="single" w:color="auto" w:sz="4" w:space="0"/>
            </w:tcBorders>
            <w:shd w:val="clear" w:color="auto" w:fill="auto"/>
            <w:vAlign w:val="center"/>
          </w:tcPr>
          <w:p w14:paraId="7F40777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2022年12月底前，基本完成“智慧水利”融合工程项目可行性研究报告编制工作。</w:t>
            </w:r>
          </w:p>
        </w:tc>
      </w:tr>
      <w:tr w14:paraId="2FBCF0D9">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25BEDC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36</w:t>
            </w:r>
          </w:p>
        </w:tc>
        <w:tc>
          <w:tcPr>
            <w:tcW w:w="391" w:type="pct"/>
            <w:vMerge w:val="continue"/>
            <w:tcBorders>
              <w:top w:val="nil"/>
              <w:left w:val="single" w:color="auto" w:sz="4" w:space="0"/>
              <w:bottom w:val="single" w:color="auto" w:sz="4" w:space="0"/>
              <w:right w:val="single" w:color="auto" w:sz="4" w:space="0"/>
            </w:tcBorders>
            <w:vAlign w:val="center"/>
          </w:tcPr>
          <w:p w14:paraId="2E34430F">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5746583">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9310EF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推进“智慧林业”应用</w:t>
            </w:r>
          </w:p>
        </w:tc>
        <w:tc>
          <w:tcPr>
            <w:tcW w:w="1578" w:type="pct"/>
            <w:tcBorders>
              <w:top w:val="nil"/>
              <w:left w:val="nil"/>
              <w:bottom w:val="single" w:color="auto" w:sz="4" w:space="0"/>
              <w:right w:val="single" w:color="auto" w:sz="4" w:space="0"/>
            </w:tcBorders>
            <w:shd w:val="clear" w:color="auto" w:fill="auto"/>
            <w:noWrap/>
            <w:vAlign w:val="center"/>
          </w:tcPr>
          <w:p w14:paraId="6D51533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牵头单位：县林业局</w:t>
            </w:r>
          </w:p>
        </w:tc>
        <w:tc>
          <w:tcPr>
            <w:tcW w:w="1034" w:type="pct"/>
            <w:tcBorders>
              <w:top w:val="nil"/>
              <w:left w:val="nil"/>
              <w:bottom w:val="single" w:color="auto" w:sz="4" w:space="0"/>
              <w:right w:val="single" w:color="auto" w:sz="4" w:space="0"/>
            </w:tcBorders>
            <w:shd w:val="clear" w:color="auto" w:fill="auto"/>
            <w:vAlign w:val="center"/>
          </w:tcPr>
          <w:p w14:paraId="0BFDCB8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3F2870F6">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966C19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37</w:t>
            </w:r>
          </w:p>
        </w:tc>
        <w:tc>
          <w:tcPr>
            <w:tcW w:w="391" w:type="pct"/>
            <w:vMerge w:val="continue"/>
            <w:tcBorders>
              <w:top w:val="nil"/>
              <w:left w:val="single" w:color="auto" w:sz="4" w:space="0"/>
              <w:bottom w:val="single" w:color="auto" w:sz="4" w:space="0"/>
              <w:right w:val="single" w:color="auto" w:sz="4" w:space="0"/>
            </w:tcBorders>
            <w:vAlign w:val="center"/>
          </w:tcPr>
          <w:p w14:paraId="0D66DFD0">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DFF1A25">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2FB0A70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推进“智慧气象”应用</w:t>
            </w:r>
          </w:p>
        </w:tc>
        <w:tc>
          <w:tcPr>
            <w:tcW w:w="1578" w:type="pct"/>
            <w:tcBorders>
              <w:top w:val="nil"/>
              <w:left w:val="nil"/>
              <w:bottom w:val="single" w:color="auto" w:sz="4" w:space="0"/>
              <w:right w:val="single" w:color="auto" w:sz="4" w:space="0"/>
            </w:tcBorders>
            <w:shd w:val="clear" w:color="auto" w:fill="auto"/>
            <w:noWrap/>
            <w:vAlign w:val="center"/>
          </w:tcPr>
          <w:p w14:paraId="75F04AF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牵头单位：县气象局</w:t>
            </w:r>
          </w:p>
        </w:tc>
        <w:tc>
          <w:tcPr>
            <w:tcW w:w="1034" w:type="pct"/>
            <w:tcBorders>
              <w:top w:val="nil"/>
              <w:left w:val="nil"/>
              <w:bottom w:val="single" w:color="auto" w:sz="4" w:space="0"/>
              <w:right w:val="single" w:color="auto" w:sz="4" w:space="0"/>
            </w:tcBorders>
            <w:shd w:val="clear" w:color="auto" w:fill="auto"/>
            <w:vAlign w:val="center"/>
          </w:tcPr>
          <w:p w14:paraId="06C3BFC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2022年12月前，基本完成潮莞高速海丰服务区重点交通气象站建设</w:t>
            </w:r>
          </w:p>
        </w:tc>
      </w:tr>
      <w:tr w14:paraId="01748783">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FE5E48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38</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57D8F30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（三）聚焦数字优政，推进高质效政务运行走在全市前列</w:t>
            </w: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27BB569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提高协同办公智能化水平</w:t>
            </w:r>
          </w:p>
        </w:tc>
        <w:tc>
          <w:tcPr>
            <w:tcW w:w="1222" w:type="pct"/>
            <w:tcBorders>
              <w:top w:val="nil"/>
              <w:left w:val="nil"/>
              <w:bottom w:val="single" w:color="auto" w:sz="4" w:space="0"/>
              <w:right w:val="single" w:color="auto" w:sz="4" w:space="0"/>
            </w:tcBorders>
            <w:shd w:val="clear" w:color="auto" w:fill="auto"/>
            <w:noWrap/>
            <w:vAlign w:val="center"/>
          </w:tcPr>
          <w:p w14:paraId="1A8694A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建设统一协同办公平台</w:t>
            </w:r>
          </w:p>
        </w:tc>
        <w:tc>
          <w:tcPr>
            <w:tcW w:w="1578" w:type="pct"/>
            <w:vMerge w:val="restart"/>
            <w:tcBorders>
              <w:top w:val="nil"/>
              <w:left w:val="single" w:color="auto" w:sz="4" w:space="0"/>
              <w:bottom w:val="single" w:color="000000" w:sz="4" w:space="0"/>
              <w:right w:val="single" w:color="auto" w:sz="4" w:space="0"/>
            </w:tcBorders>
            <w:shd w:val="clear" w:color="auto" w:fill="auto"/>
            <w:vAlign w:val="center"/>
          </w:tcPr>
          <w:p w14:paraId="4990443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489F0D9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2022年12月底前，基本完成“统一协同办公平台”建设</w:t>
            </w:r>
          </w:p>
        </w:tc>
      </w:tr>
      <w:tr w14:paraId="554C13EB">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C95CF4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39</w:t>
            </w:r>
          </w:p>
        </w:tc>
        <w:tc>
          <w:tcPr>
            <w:tcW w:w="391" w:type="pct"/>
            <w:vMerge w:val="continue"/>
            <w:tcBorders>
              <w:top w:val="nil"/>
              <w:left w:val="single" w:color="auto" w:sz="4" w:space="0"/>
              <w:bottom w:val="single" w:color="auto" w:sz="4" w:space="0"/>
              <w:right w:val="single" w:color="auto" w:sz="4" w:space="0"/>
            </w:tcBorders>
            <w:vAlign w:val="center"/>
          </w:tcPr>
          <w:p w14:paraId="7AAD3C0A">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99F55F6">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8BAC4E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梳理内部办事事项清单</w:t>
            </w:r>
          </w:p>
        </w:tc>
        <w:tc>
          <w:tcPr>
            <w:tcW w:w="1578" w:type="pct"/>
            <w:vMerge w:val="continue"/>
            <w:tcBorders>
              <w:top w:val="nil"/>
              <w:left w:val="single" w:color="auto" w:sz="4" w:space="0"/>
              <w:bottom w:val="single" w:color="000000" w:sz="4" w:space="0"/>
              <w:right w:val="single" w:color="auto" w:sz="4" w:space="0"/>
            </w:tcBorders>
            <w:vAlign w:val="center"/>
          </w:tcPr>
          <w:p w14:paraId="767EEB50">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6ABB640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6CA906C">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E4BDFA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40</w:t>
            </w:r>
          </w:p>
        </w:tc>
        <w:tc>
          <w:tcPr>
            <w:tcW w:w="391" w:type="pct"/>
            <w:vMerge w:val="continue"/>
            <w:tcBorders>
              <w:top w:val="nil"/>
              <w:left w:val="single" w:color="auto" w:sz="4" w:space="0"/>
              <w:bottom w:val="single" w:color="auto" w:sz="4" w:space="0"/>
              <w:right w:val="single" w:color="auto" w:sz="4" w:space="0"/>
            </w:tcBorders>
            <w:vAlign w:val="center"/>
          </w:tcPr>
          <w:p w14:paraId="5C988014">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F270F9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08676E2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推动“高效流转一件事”体系建设</w:t>
            </w:r>
          </w:p>
        </w:tc>
        <w:tc>
          <w:tcPr>
            <w:tcW w:w="1578" w:type="pct"/>
            <w:vMerge w:val="continue"/>
            <w:tcBorders>
              <w:top w:val="nil"/>
              <w:left w:val="single" w:color="auto" w:sz="4" w:space="0"/>
              <w:bottom w:val="single" w:color="000000" w:sz="4" w:space="0"/>
              <w:right w:val="single" w:color="auto" w:sz="4" w:space="0"/>
            </w:tcBorders>
            <w:vAlign w:val="center"/>
          </w:tcPr>
          <w:p w14:paraId="5D2D05CF">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18A2E07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74203967">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21A729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41</w:t>
            </w:r>
          </w:p>
        </w:tc>
        <w:tc>
          <w:tcPr>
            <w:tcW w:w="391" w:type="pct"/>
            <w:vMerge w:val="continue"/>
            <w:tcBorders>
              <w:top w:val="nil"/>
              <w:left w:val="single" w:color="auto" w:sz="4" w:space="0"/>
              <w:bottom w:val="single" w:color="auto" w:sz="4" w:space="0"/>
              <w:right w:val="single" w:color="auto" w:sz="4" w:space="0"/>
            </w:tcBorders>
            <w:vAlign w:val="center"/>
          </w:tcPr>
          <w:p w14:paraId="7C2EFE8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E0029DA">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4E2F1D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推动基层减负提质增效</w:t>
            </w:r>
          </w:p>
        </w:tc>
        <w:tc>
          <w:tcPr>
            <w:tcW w:w="1578" w:type="pct"/>
            <w:vMerge w:val="continue"/>
            <w:tcBorders>
              <w:top w:val="nil"/>
              <w:left w:val="single" w:color="auto" w:sz="4" w:space="0"/>
              <w:bottom w:val="single" w:color="000000" w:sz="4" w:space="0"/>
              <w:right w:val="single" w:color="auto" w:sz="4" w:space="0"/>
            </w:tcBorders>
            <w:vAlign w:val="center"/>
          </w:tcPr>
          <w:p w14:paraId="06E587B5">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7329900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370C9063">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BC5CAC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42</w:t>
            </w:r>
          </w:p>
        </w:tc>
        <w:tc>
          <w:tcPr>
            <w:tcW w:w="391" w:type="pct"/>
            <w:vMerge w:val="continue"/>
            <w:tcBorders>
              <w:top w:val="nil"/>
              <w:left w:val="single" w:color="auto" w:sz="4" w:space="0"/>
              <w:bottom w:val="single" w:color="auto" w:sz="4" w:space="0"/>
              <w:right w:val="single" w:color="auto" w:sz="4" w:space="0"/>
            </w:tcBorders>
            <w:vAlign w:val="center"/>
          </w:tcPr>
          <w:p w14:paraId="2DD04897">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447DBEC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支撑党政机关数字化建设</w:t>
            </w:r>
          </w:p>
        </w:tc>
        <w:tc>
          <w:tcPr>
            <w:tcW w:w="1222" w:type="pct"/>
            <w:tcBorders>
              <w:top w:val="nil"/>
              <w:left w:val="nil"/>
              <w:bottom w:val="single" w:color="auto" w:sz="4" w:space="0"/>
              <w:right w:val="single" w:color="auto" w:sz="4" w:space="0"/>
            </w:tcBorders>
            <w:shd w:val="clear" w:color="auto" w:fill="auto"/>
            <w:noWrap/>
            <w:vAlign w:val="center"/>
          </w:tcPr>
          <w:p w14:paraId="7323E44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推进“智慧党建”应用</w:t>
            </w:r>
          </w:p>
        </w:tc>
        <w:tc>
          <w:tcPr>
            <w:tcW w:w="1578" w:type="pct"/>
            <w:tcBorders>
              <w:top w:val="nil"/>
              <w:left w:val="nil"/>
              <w:bottom w:val="single" w:color="auto" w:sz="4" w:space="0"/>
              <w:right w:val="single" w:color="auto" w:sz="4" w:space="0"/>
            </w:tcBorders>
            <w:shd w:val="clear" w:color="auto" w:fill="auto"/>
            <w:vAlign w:val="center"/>
          </w:tcPr>
          <w:p w14:paraId="0EF44B4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牵头单位：县委组织部</w:t>
            </w:r>
          </w:p>
        </w:tc>
        <w:tc>
          <w:tcPr>
            <w:tcW w:w="1034" w:type="pct"/>
            <w:tcBorders>
              <w:top w:val="nil"/>
              <w:left w:val="nil"/>
              <w:bottom w:val="single" w:color="auto" w:sz="4" w:space="0"/>
              <w:right w:val="single" w:color="auto" w:sz="4" w:space="0"/>
            </w:tcBorders>
            <w:shd w:val="clear" w:color="auto" w:fill="auto"/>
            <w:vAlign w:val="center"/>
          </w:tcPr>
          <w:p w14:paraId="56ADDAA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6BE05990">
        <w:tblPrEx>
          <w:tblCellMar>
            <w:top w:w="0" w:type="dxa"/>
            <w:left w:w="108" w:type="dxa"/>
            <w:bottom w:w="0" w:type="dxa"/>
            <w:right w:w="108" w:type="dxa"/>
          </w:tblCellMar>
        </w:tblPrEx>
        <w:trPr>
          <w:trHeight w:val="7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9939E4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43</w:t>
            </w:r>
          </w:p>
        </w:tc>
        <w:tc>
          <w:tcPr>
            <w:tcW w:w="391" w:type="pct"/>
            <w:vMerge w:val="continue"/>
            <w:tcBorders>
              <w:top w:val="nil"/>
              <w:left w:val="single" w:color="auto" w:sz="4" w:space="0"/>
              <w:bottom w:val="single" w:color="auto" w:sz="4" w:space="0"/>
              <w:right w:val="single" w:color="auto" w:sz="4" w:space="0"/>
            </w:tcBorders>
            <w:vAlign w:val="center"/>
          </w:tcPr>
          <w:p w14:paraId="6974A960">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7B79A42E">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961E56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推进“数字政协”应用</w:t>
            </w:r>
          </w:p>
        </w:tc>
        <w:tc>
          <w:tcPr>
            <w:tcW w:w="1578" w:type="pct"/>
            <w:tcBorders>
              <w:top w:val="nil"/>
              <w:left w:val="nil"/>
              <w:bottom w:val="single" w:color="auto" w:sz="4" w:space="0"/>
              <w:right w:val="single" w:color="auto" w:sz="4" w:space="0"/>
            </w:tcBorders>
            <w:shd w:val="clear" w:color="auto" w:fill="auto"/>
            <w:vAlign w:val="center"/>
          </w:tcPr>
          <w:p w14:paraId="6085FC1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牵头单位：县政协</w:t>
            </w:r>
          </w:p>
        </w:tc>
        <w:tc>
          <w:tcPr>
            <w:tcW w:w="1034" w:type="pct"/>
            <w:tcBorders>
              <w:top w:val="nil"/>
              <w:left w:val="nil"/>
              <w:bottom w:val="single" w:color="auto" w:sz="4" w:space="0"/>
              <w:right w:val="single" w:color="auto" w:sz="4" w:space="0"/>
            </w:tcBorders>
            <w:shd w:val="clear" w:color="auto" w:fill="auto"/>
            <w:vAlign w:val="center"/>
          </w:tcPr>
          <w:p w14:paraId="3E13568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12C8DACC">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274782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44</w:t>
            </w:r>
          </w:p>
        </w:tc>
        <w:tc>
          <w:tcPr>
            <w:tcW w:w="391" w:type="pct"/>
            <w:vMerge w:val="continue"/>
            <w:tcBorders>
              <w:top w:val="nil"/>
              <w:left w:val="single" w:color="auto" w:sz="4" w:space="0"/>
              <w:bottom w:val="single" w:color="auto" w:sz="4" w:space="0"/>
              <w:right w:val="single" w:color="auto" w:sz="4" w:space="0"/>
            </w:tcBorders>
            <w:vAlign w:val="center"/>
          </w:tcPr>
          <w:p w14:paraId="5527D64D">
            <w:pPr>
              <w:widowControl/>
              <w:spacing w:line="240" w:lineRule="auto"/>
              <w:ind w:firstLine="0" w:firstLineChars="0"/>
              <w:jc w:val="left"/>
              <w:rPr>
                <w:rFonts w:cs="Times New Roman"/>
                <w:color w:val="000000"/>
                <w:kern w:val="0"/>
                <w:sz w:val="28"/>
                <w:szCs w:val="28"/>
              </w:rPr>
            </w:pP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0018EC9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强化政务服务效能考核</w:t>
            </w:r>
          </w:p>
        </w:tc>
        <w:tc>
          <w:tcPr>
            <w:tcW w:w="1578" w:type="pct"/>
            <w:tcBorders>
              <w:top w:val="nil"/>
              <w:left w:val="nil"/>
              <w:bottom w:val="single" w:color="auto" w:sz="4" w:space="0"/>
              <w:right w:val="single" w:color="auto" w:sz="4" w:space="0"/>
            </w:tcBorders>
            <w:shd w:val="clear" w:color="auto" w:fill="auto"/>
            <w:vAlign w:val="center"/>
          </w:tcPr>
          <w:p w14:paraId="5EA8BC0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23F7BA1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2021年12月底前，基本完成业务系统与好差评系统对接工作。</w:t>
            </w:r>
          </w:p>
        </w:tc>
      </w:tr>
      <w:tr w14:paraId="6FC96DF0">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67FD07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45</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36A031F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（四）聚焦数字强基，推进高水平支撑能力走在全市前列</w:t>
            </w: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5C87431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强化集约安全基础支撑</w:t>
            </w:r>
          </w:p>
        </w:tc>
        <w:tc>
          <w:tcPr>
            <w:tcW w:w="1222" w:type="pct"/>
            <w:tcBorders>
              <w:top w:val="nil"/>
              <w:left w:val="nil"/>
              <w:bottom w:val="single" w:color="auto" w:sz="4" w:space="0"/>
              <w:right w:val="single" w:color="auto" w:sz="4" w:space="0"/>
            </w:tcBorders>
            <w:shd w:val="clear" w:color="auto" w:fill="auto"/>
            <w:noWrap/>
            <w:vAlign w:val="center"/>
          </w:tcPr>
          <w:p w14:paraId="09FBE25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加强政务云集约化应用</w:t>
            </w:r>
          </w:p>
        </w:tc>
        <w:tc>
          <w:tcPr>
            <w:tcW w:w="1578" w:type="pct"/>
            <w:vMerge w:val="restart"/>
            <w:tcBorders>
              <w:top w:val="nil"/>
              <w:left w:val="single" w:color="auto" w:sz="4" w:space="0"/>
              <w:bottom w:val="single" w:color="000000" w:sz="4" w:space="0"/>
              <w:right w:val="single" w:color="auto" w:sz="4" w:space="0"/>
            </w:tcBorders>
            <w:shd w:val="clear" w:color="auto" w:fill="auto"/>
            <w:vAlign w:val="center"/>
          </w:tcPr>
          <w:p w14:paraId="6FAD495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04909AF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2022年12月低前，基本完成非密县级自建系统上云迁移工作。</w:t>
            </w:r>
          </w:p>
        </w:tc>
      </w:tr>
      <w:tr w14:paraId="66425339">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F82B1C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46</w:t>
            </w:r>
          </w:p>
        </w:tc>
        <w:tc>
          <w:tcPr>
            <w:tcW w:w="391" w:type="pct"/>
            <w:vMerge w:val="continue"/>
            <w:tcBorders>
              <w:top w:val="nil"/>
              <w:left w:val="single" w:color="auto" w:sz="4" w:space="0"/>
              <w:bottom w:val="single" w:color="auto" w:sz="4" w:space="0"/>
              <w:right w:val="single" w:color="auto" w:sz="4" w:space="0"/>
            </w:tcBorders>
            <w:vAlign w:val="center"/>
          </w:tcPr>
          <w:p w14:paraId="257B89AA">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84BBD98">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29D6EC2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提升政务网络支撑能力</w:t>
            </w:r>
          </w:p>
        </w:tc>
        <w:tc>
          <w:tcPr>
            <w:tcW w:w="1578" w:type="pct"/>
            <w:vMerge w:val="continue"/>
            <w:tcBorders>
              <w:top w:val="nil"/>
              <w:left w:val="single" w:color="auto" w:sz="4" w:space="0"/>
              <w:bottom w:val="single" w:color="000000" w:sz="4" w:space="0"/>
              <w:right w:val="single" w:color="auto" w:sz="4" w:space="0"/>
            </w:tcBorders>
            <w:vAlign w:val="center"/>
          </w:tcPr>
          <w:p w14:paraId="71468E28">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4C8C3B8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2021年12月底前，完成政务外网253个村（社区）全覆盖。</w:t>
            </w:r>
          </w:p>
        </w:tc>
      </w:tr>
      <w:tr w14:paraId="7D825E14">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F1509B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47</w:t>
            </w:r>
          </w:p>
        </w:tc>
        <w:tc>
          <w:tcPr>
            <w:tcW w:w="391" w:type="pct"/>
            <w:vMerge w:val="continue"/>
            <w:tcBorders>
              <w:top w:val="nil"/>
              <w:left w:val="single" w:color="auto" w:sz="4" w:space="0"/>
              <w:bottom w:val="single" w:color="auto" w:sz="4" w:space="0"/>
              <w:right w:val="single" w:color="auto" w:sz="4" w:space="0"/>
            </w:tcBorders>
            <w:vAlign w:val="center"/>
          </w:tcPr>
          <w:p w14:paraId="6F621728">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7E6BF08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激发政务数据要素动能</w:t>
            </w:r>
          </w:p>
        </w:tc>
        <w:tc>
          <w:tcPr>
            <w:tcW w:w="1222" w:type="pct"/>
            <w:tcBorders>
              <w:top w:val="nil"/>
              <w:left w:val="nil"/>
              <w:bottom w:val="single" w:color="auto" w:sz="4" w:space="0"/>
              <w:right w:val="single" w:color="auto" w:sz="4" w:space="0"/>
            </w:tcBorders>
            <w:shd w:val="clear" w:color="auto" w:fill="auto"/>
            <w:noWrap/>
            <w:vAlign w:val="center"/>
          </w:tcPr>
          <w:p w14:paraId="7518F6D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推进县域数据治理</w:t>
            </w:r>
          </w:p>
        </w:tc>
        <w:tc>
          <w:tcPr>
            <w:tcW w:w="1578" w:type="pct"/>
            <w:vMerge w:val="continue"/>
            <w:tcBorders>
              <w:top w:val="nil"/>
              <w:left w:val="single" w:color="auto" w:sz="4" w:space="0"/>
              <w:bottom w:val="single" w:color="000000" w:sz="4" w:space="0"/>
              <w:right w:val="single" w:color="auto" w:sz="4" w:space="0"/>
            </w:tcBorders>
            <w:vAlign w:val="center"/>
          </w:tcPr>
          <w:p w14:paraId="0F9B75A4">
            <w:pPr>
              <w:widowControl/>
              <w:spacing w:line="240" w:lineRule="auto"/>
              <w:ind w:firstLine="0" w:firstLineChars="0"/>
              <w:jc w:val="left"/>
              <w:rPr>
                <w:rFonts w:cs="Times New Roman"/>
                <w:color w:val="000000"/>
                <w:kern w:val="0"/>
                <w:sz w:val="28"/>
                <w:szCs w:val="28"/>
              </w:rPr>
            </w:pPr>
          </w:p>
        </w:tc>
        <w:tc>
          <w:tcPr>
            <w:tcW w:w="1034" w:type="pct"/>
            <w:vMerge w:val="restart"/>
            <w:tcBorders>
              <w:top w:val="nil"/>
              <w:left w:val="single" w:color="auto" w:sz="4" w:space="0"/>
              <w:bottom w:val="single" w:color="000000" w:sz="4" w:space="0"/>
              <w:right w:val="single" w:color="auto" w:sz="4" w:space="0"/>
            </w:tcBorders>
            <w:shd w:val="clear" w:color="auto" w:fill="auto"/>
            <w:vAlign w:val="center"/>
          </w:tcPr>
          <w:p w14:paraId="7679AA3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10109CE6">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24BBA1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48</w:t>
            </w:r>
          </w:p>
        </w:tc>
        <w:tc>
          <w:tcPr>
            <w:tcW w:w="391" w:type="pct"/>
            <w:vMerge w:val="continue"/>
            <w:tcBorders>
              <w:top w:val="nil"/>
              <w:left w:val="single" w:color="auto" w:sz="4" w:space="0"/>
              <w:bottom w:val="single" w:color="auto" w:sz="4" w:space="0"/>
              <w:right w:val="single" w:color="auto" w:sz="4" w:space="0"/>
            </w:tcBorders>
            <w:vAlign w:val="center"/>
          </w:tcPr>
          <w:p w14:paraId="3B0201BE">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7CAF0C51">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2B531E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探索海丰特色应用</w:t>
            </w:r>
          </w:p>
        </w:tc>
        <w:tc>
          <w:tcPr>
            <w:tcW w:w="1578" w:type="pct"/>
            <w:vMerge w:val="continue"/>
            <w:tcBorders>
              <w:top w:val="nil"/>
              <w:left w:val="single" w:color="auto" w:sz="4" w:space="0"/>
              <w:bottom w:val="single" w:color="000000" w:sz="4" w:space="0"/>
              <w:right w:val="single" w:color="auto" w:sz="4" w:space="0"/>
            </w:tcBorders>
            <w:vAlign w:val="center"/>
          </w:tcPr>
          <w:p w14:paraId="14F1DFF1">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09657753">
            <w:pPr>
              <w:widowControl/>
              <w:spacing w:line="240" w:lineRule="auto"/>
              <w:ind w:firstLine="0" w:firstLineChars="0"/>
              <w:jc w:val="left"/>
              <w:rPr>
                <w:rFonts w:cs="Times New Roman"/>
                <w:color w:val="000000"/>
                <w:kern w:val="0"/>
                <w:sz w:val="28"/>
                <w:szCs w:val="28"/>
              </w:rPr>
            </w:pPr>
          </w:p>
        </w:tc>
      </w:tr>
      <w:tr w14:paraId="4705CEE8">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2352E6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49</w:t>
            </w:r>
          </w:p>
        </w:tc>
        <w:tc>
          <w:tcPr>
            <w:tcW w:w="391" w:type="pct"/>
            <w:vMerge w:val="continue"/>
            <w:tcBorders>
              <w:top w:val="nil"/>
              <w:left w:val="single" w:color="auto" w:sz="4" w:space="0"/>
              <w:bottom w:val="single" w:color="auto" w:sz="4" w:space="0"/>
              <w:right w:val="single" w:color="auto" w:sz="4" w:space="0"/>
            </w:tcBorders>
            <w:vAlign w:val="center"/>
          </w:tcPr>
          <w:p w14:paraId="718B9875">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7BA06C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44ED2A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探索数据开发融合</w:t>
            </w:r>
          </w:p>
        </w:tc>
        <w:tc>
          <w:tcPr>
            <w:tcW w:w="1578" w:type="pct"/>
            <w:vMerge w:val="continue"/>
            <w:tcBorders>
              <w:top w:val="nil"/>
              <w:left w:val="single" w:color="auto" w:sz="4" w:space="0"/>
              <w:bottom w:val="single" w:color="000000" w:sz="4" w:space="0"/>
              <w:right w:val="single" w:color="auto" w:sz="4" w:space="0"/>
            </w:tcBorders>
            <w:vAlign w:val="center"/>
          </w:tcPr>
          <w:p w14:paraId="7BDE63CF">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6D01F891">
            <w:pPr>
              <w:widowControl/>
              <w:spacing w:line="240" w:lineRule="auto"/>
              <w:ind w:firstLine="0" w:firstLineChars="0"/>
              <w:jc w:val="left"/>
              <w:rPr>
                <w:rFonts w:cs="Times New Roman"/>
                <w:color w:val="000000"/>
                <w:kern w:val="0"/>
                <w:sz w:val="28"/>
                <w:szCs w:val="28"/>
              </w:rPr>
            </w:pPr>
          </w:p>
        </w:tc>
      </w:tr>
      <w:tr w14:paraId="040387E2">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F90999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50</w:t>
            </w:r>
          </w:p>
        </w:tc>
        <w:tc>
          <w:tcPr>
            <w:tcW w:w="391" w:type="pct"/>
            <w:vMerge w:val="continue"/>
            <w:tcBorders>
              <w:top w:val="nil"/>
              <w:left w:val="single" w:color="auto" w:sz="4" w:space="0"/>
              <w:bottom w:val="single" w:color="auto" w:sz="4" w:space="0"/>
              <w:right w:val="single" w:color="auto" w:sz="4" w:space="0"/>
            </w:tcBorders>
            <w:vAlign w:val="center"/>
          </w:tcPr>
          <w:p w14:paraId="713BF08D">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0B5921F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完善网络安全保障措施</w:t>
            </w:r>
          </w:p>
        </w:tc>
        <w:tc>
          <w:tcPr>
            <w:tcW w:w="1222" w:type="pct"/>
            <w:tcBorders>
              <w:top w:val="nil"/>
              <w:left w:val="nil"/>
              <w:bottom w:val="single" w:color="auto" w:sz="4" w:space="0"/>
              <w:right w:val="single" w:color="auto" w:sz="4" w:space="0"/>
            </w:tcBorders>
            <w:shd w:val="clear" w:color="auto" w:fill="auto"/>
            <w:noWrap/>
            <w:vAlign w:val="center"/>
          </w:tcPr>
          <w:p w14:paraId="2B7CA6B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加强网络安全技术应用</w:t>
            </w:r>
          </w:p>
        </w:tc>
        <w:tc>
          <w:tcPr>
            <w:tcW w:w="1578" w:type="pct"/>
            <w:vMerge w:val="continue"/>
            <w:tcBorders>
              <w:top w:val="nil"/>
              <w:left w:val="single" w:color="auto" w:sz="4" w:space="0"/>
              <w:bottom w:val="single" w:color="000000" w:sz="4" w:space="0"/>
              <w:right w:val="single" w:color="auto" w:sz="4" w:space="0"/>
            </w:tcBorders>
            <w:vAlign w:val="center"/>
          </w:tcPr>
          <w:p w14:paraId="4418D8B9">
            <w:pPr>
              <w:widowControl/>
              <w:spacing w:line="240" w:lineRule="auto"/>
              <w:ind w:firstLine="0" w:firstLineChars="0"/>
              <w:jc w:val="left"/>
              <w:rPr>
                <w:rFonts w:cs="Times New Roman"/>
                <w:color w:val="000000"/>
                <w:kern w:val="0"/>
                <w:sz w:val="28"/>
                <w:szCs w:val="28"/>
              </w:rPr>
            </w:pPr>
          </w:p>
        </w:tc>
        <w:tc>
          <w:tcPr>
            <w:tcW w:w="1034" w:type="pct"/>
            <w:vMerge w:val="restart"/>
            <w:tcBorders>
              <w:top w:val="nil"/>
              <w:left w:val="single" w:color="auto" w:sz="4" w:space="0"/>
              <w:bottom w:val="single" w:color="000000" w:sz="4" w:space="0"/>
              <w:right w:val="single" w:color="auto" w:sz="4" w:space="0"/>
            </w:tcBorders>
            <w:shd w:val="clear" w:color="auto" w:fill="auto"/>
            <w:vAlign w:val="center"/>
          </w:tcPr>
          <w:p w14:paraId="35E581E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2023年6月底前，完成政务外网安全防护升级改造。</w:t>
            </w:r>
          </w:p>
        </w:tc>
      </w:tr>
      <w:tr w14:paraId="3E9F01C0">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16F761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51</w:t>
            </w:r>
          </w:p>
        </w:tc>
        <w:tc>
          <w:tcPr>
            <w:tcW w:w="391" w:type="pct"/>
            <w:vMerge w:val="continue"/>
            <w:tcBorders>
              <w:top w:val="nil"/>
              <w:left w:val="single" w:color="auto" w:sz="4" w:space="0"/>
              <w:bottom w:val="single" w:color="auto" w:sz="4" w:space="0"/>
              <w:right w:val="single" w:color="auto" w:sz="4" w:space="0"/>
            </w:tcBorders>
            <w:vAlign w:val="center"/>
          </w:tcPr>
          <w:p w14:paraId="297E7C8D">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376A897">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29CF5F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强化网络安全保障能力</w:t>
            </w:r>
          </w:p>
        </w:tc>
        <w:tc>
          <w:tcPr>
            <w:tcW w:w="1578" w:type="pct"/>
            <w:vMerge w:val="continue"/>
            <w:tcBorders>
              <w:top w:val="nil"/>
              <w:left w:val="single" w:color="auto" w:sz="4" w:space="0"/>
              <w:bottom w:val="single" w:color="000000" w:sz="4" w:space="0"/>
              <w:right w:val="single" w:color="auto" w:sz="4" w:space="0"/>
            </w:tcBorders>
            <w:vAlign w:val="center"/>
          </w:tcPr>
          <w:p w14:paraId="2387DACF">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27B1B620">
            <w:pPr>
              <w:widowControl/>
              <w:spacing w:line="240" w:lineRule="auto"/>
              <w:ind w:firstLine="0" w:firstLineChars="0"/>
              <w:jc w:val="left"/>
              <w:rPr>
                <w:rFonts w:cs="Times New Roman"/>
                <w:color w:val="000000"/>
                <w:kern w:val="0"/>
                <w:sz w:val="28"/>
                <w:szCs w:val="28"/>
              </w:rPr>
            </w:pPr>
          </w:p>
        </w:tc>
      </w:tr>
      <w:tr w14:paraId="4D1DB3EF">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E4DC43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52</w:t>
            </w:r>
          </w:p>
        </w:tc>
        <w:tc>
          <w:tcPr>
            <w:tcW w:w="391" w:type="pct"/>
            <w:vMerge w:val="continue"/>
            <w:tcBorders>
              <w:top w:val="nil"/>
              <w:left w:val="single" w:color="auto" w:sz="4" w:space="0"/>
              <w:bottom w:val="single" w:color="auto" w:sz="4" w:space="0"/>
              <w:right w:val="single" w:color="auto" w:sz="4" w:space="0"/>
            </w:tcBorders>
            <w:vAlign w:val="center"/>
          </w:tcPr>
          <w:p w14:paraId="72201E58">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E8B0A9E">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F5901A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完善网络安全管理制度</w:t>
            </w:r>
          </w:p>
        </w:tc>
        <w:tc>
          <w:tcPr>
            <w:tcW w:w="1578" w:type="pct"/>
            <w:vMerge w:val="continue"/>
            <w:tcBorders>
              <w:top w:val="nil"/>
              <w:left w:val="single" w:color="auto" w:sz="4" w:space="0"/>
              <w:bottom w:val="single" w:color="000000" w:sz="4" w:space="0"/>
              <w:right w:val="single" w:color="auto" w:sz="4" w:space="0"/>
            </w:tcBorders>
            <w:vAlign w:val="center"/>
          </w:tcPr>
          <w:p w14:paraId="7F63373D">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7FED6C00">
            <w:pPr>
              <w:widowControl/>
              <w:spacing w:line="240" w:lineRule="auto"/>
              <w:ind w:firstLine="0" w:firstLineChars="0"/>
              <w:jc w:val="left"/>
              <w:rPr>
                <w:rFonts w:cs="Times New Roman"/>
                <w:color w:val="000000"/>
                <w:kern w:val="0"/>
                <w:sz w:val="28"/>
                <w:szCs w:val="28"/>
              </w:rPr>
            </w:pPr>
          </w:p>
        </w:tc>
      </w:tr>
      <w:tr w14:paraId="4B17060A">
        <w:tblPrEx>
          <w:tblCellMar>
            <w:top w:w="0" w:type="dxa"/>
            <w:left w:w="108" w:type="dxa"/>
            <w:bottom w:w="0" w:type="dxa"/>
            <w:right w:w="108" w:type="dxa"/>
          </w:tblCellMar>
        </w:tblPrEx>
        <w:trPr>
          <w:trHeight w:val="5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A83955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53</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4C8FBBB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（五）聚焦数字赋能，推进红色文化建设走在全市前列</w:t>
            </w: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0C1095C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加强红色资源供给配置</w:t>
            </w:r>
          </w:p>
        </w:tc>
        <w:tc>
          <w:tcPr>
            <w:tcW w:w="1578" w:type="pct"/>
            <w:vMerge w:val="restart"/>
            <w:tcBorders>
              <w:top w:val="nil"/>
              <w:left w:val="single" w:color="auto" w:sz="4" w:space="0"/>
              <w:bottom w:val="single" w:color="000000" w:sz="4" w:space="0"/>
              <w:right w:val="single" w:color="auto" w:sz="4" w:space="0"/>
            </w:tcBorders>
            <w:shd w:val="clear" w:color="auto" w:fill="auto"/>
            <w:noWrap/>
            <w:vAlign w:val="center"/>
          </w:tcPr>
          <w:p w14:paraId="1CC4297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牵头单位：县文广旅体局</w:t>
            </w:r>
          </w:p>
        </w:tc>
        <w:tc>
          <w:tcPr>
            <w:tcW w:w="1034" w:type="pct"/>
            <w:vMerge w:val="restart"/>
            <w:tcBorders>
              <w:top w:val="nil"/>
              <w:left w:val="single" w:color="auto" w:sz="4" w:space="0"/>
              <w:bottom w:val="single" w:color="000000" w:sz="4" w:space="0"/>
              <w:right w:val="single" w:color="auto" w:sz="4" w:space="0"/>
            </w:tcBorders>
            <w:shd w:val="clear" w:color="auto" w:fill="auto"/>
            <w:vAlign w:val="center"/>
          </w:tcPr>
          <w:p w14:paraId="476A511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79C9950B">
        <w:tblPrEx>
          <w:tblCellMar>
            <w:top w:w="0" w:type="dxa"/>
            <w:left w:w="108" w:type="dxa"/>
            <w:bottom w:w="0" w:type="dxa"/>
            <w:right w:w="108" w:type="dxa"/>
          </w:tblCellMar>
        </w:tblPrEx>
        <w:trPr>
          <w:trHeight w:val="5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7690F3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54</w:t>
            </w:r>
          </w:p>
        </w:tc>
        <w:tc>
          <w:tcPr>
            <w:tcW w:w="391" w:type="pct"/>
            <w:vMerge w:val="continue"/>
            <w:tcBorders>
              <w:top w:val="nil"/>
              <w:left w:val="single" w:color="auto" w:sz="4" w:space="0"/>
              <w:bottom w:val="single" w:color="auto" w:sz="4" w:space="0"/>
              <w:right w:val="single" w:color="auto" w:sz="4" w:space="0"/>
            </w:tcBorders>
            <w:vAlign w:val="center"/>
          </w:tcPr>
          <w:p w14:paraId="08B7CDB5">
            <w:pPr>
              <w:widowControl/>
              <w:spacing w:line="240" w:lineRule="auto"/>
              <w:ind w:firstLine="0" w:firstLineChars="0"/>
              <w:jc w:val="left"/>
              <w:rPr>
                <w:rFonts w:cs="Times New Roman"/>
                <w:color w:val="000000"/>
                <w:kern w:val="0"/>
                <w:sz w:val="28"/>
                <w:szCs w:val="28"/>
              </w:rPr>
            </w:pP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6AAB8A5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推进数字赋能红色文旅</w:t>
            </w:r>
          </w:p>
        </w:tc>
        <w:tc>
          <w:tcPr>
            <w:tcW w:w="1578" w:type="pct"/>
            <w:vMerge w:val="continue"/>
            <w:tcBorders>
              <w:top w:val="nil"/>
              <w:left w:val="single" w:color="auto" w:sz="4" w:space="0"/>
              <w:bottom w:val="single" w:color="000000" w:sz="4" w:space="0"/>
              <w:right w:val="single" w:color="auto" w:sz="4" w:space="0"/>
            </w:tcBorders>
            <w:vAlign w:val="center"/>
          </w:tcPr>
          <w:p w14:paraId="4F207626">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7E3BD31D">
            <w:pPr>
              <w:widowControl/>
              <w:spacing w:line="240" w:lineRule="auto"/>
              <w:ind w:firstLine="0" w:firstLineChars="0"/>
              <w:jc w:val="left"/>
              <w:rPr>
                <w:rFonts w:cs="Times New Roman"/>
                <w:color w:val="000000"/>
                <w:kern w:val="0"/>
                <w:sz w:val="28"/>
                <w:szCs w:val="28"/>
              </w:rPr>
            </w:pPr>
          </w:p>
        </w:tc>
      </w:tr>
      <w:tr w14:paraId="5F6765E6">
        <w:tblPrEx>
          <w:tblCellMar>
            <w:top w:w="0" w:type="dxa"/>
            <w:left w:w="108" w:type="dxa"/>
            <w:bottom w:w="0" w:type="dxa"/>
            <w:right w:w="108" w:type="dxa"/>
          </w:tblCellMar>
        </w:tblPrEx>
        <w:trPr>
          <w:trHeight w:val="5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2EE7F9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55</w:t>
            </w:r>
          </w:p>
        </w:tc>
        <w:tc>
          <w:tcPr>
            <w:tcW w:w="391" w:type="pct"/>
            <w:vMerge w:val="continue"/>
            <w:tcBorders>
              <w:top w:val="nil"/>
              <w:left w:val="single" w:color="auto" w:sz="4" w:space="0"/>
              <w:bottom w:val="single" w:color="auto" w:sz="4" w:space="0"/>
              <w:right w:val="single" w:color="auto" w:sz="4" w:space="0"/>
            </w:tcBorders>
            <w:vAlign w:val="center"/>
          </w:tcPr>
          <w:p w14:paraId="7B3DE35C">
            <w:pPr>
              <w:widowControl/>
              <w:spacing w:line="240" w:lineRule="auto"/>
              <w:ind w:firstLine="0" w:firstLineChars="0"/>
              <w:jc w:val="left"/>
              <w:rPr>
                <w:rFonts w:cs="Times New Roman"/>
                <w:color w:val="000000"/>
                <w:kern w:val="0"/>
                <w:sz w:val="28"/>
                <w:szCs w:val="28"/>
              </w:rPr>
            </w:pP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4828120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建设智慧旅游服务平台</w:t>
            </w:r>
          </w:p>
        </w:tc>
        <w:tc>
          <w:tcPr>
            <w:tcW w:w="1578" w:type="pct"/>
            <w:vMerge w:val="continue"/>
            <w:tcBorders>
              <w:top w:val="nil"/>
              <w:left w:val="single" w:color="auto" w:sz="4" w:space="0"/>
              <w:bottom w:val="single" w:color="000000" w:sz="4" w:space="0"/>
              <w:right w:val="single" w:color="auto" w:sz="4" w:space="0"/>
            </w:tcBorders>
            <w:vAlign w:val="center"/>
          </w:tcPr>
          <w:p w14:paraId="0457E978">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66548B19">
            <w:pPr>
              <w:widowControl/>
              <w:spacing w:line="240" w:lineRule="auto"/>
              <w:ind w:firstLine="0" w:firstLineChars="0"/>
              <w:jc w:val="left"/>
              <w:rPr>
                <w:rFonts w:cs="Times New Roman"/>
                <w:color w:val="000000"/>
                <w:kern w:val="0"/>
                <w:sz w:val="28"/>
                <w:szCs w:val="28"/>
              </w:rPr>
            </w:pPr>
          </w:p>
        </w:tc>
      </w:tr>
      <w:tr w14:paraId="34FD4805">
        <w:tblPrEx>
          <w:tblCellMar>
            <w:top w:w="0" w:type="dxa"/>
            <w:left w:w="108" w:type="dxa"/>
            <w:bottom w:w="0" w:type="dxa"/>
            <w:right w:w="108" w:type="dxa"/>
          </w:tblCellMar>
        </w:tblPrEx>
        <w:trPr>
          <w:trHeight w:val="5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44CC31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56</w:t>
            </w:r>
          </w:p>
        </w:tc>
        <w:tc>
          <w:tcPr>
            <w:tcW w:w="391" w:type="pct"/>
            <w:vMerge w:val="continue"/>
            <w:tcBorders>
              <w:top w:val="nil"/>
              <w:left w:val="single" w:color="auto" w:sz="4" w:space="0"/>
              <w:bottom w:val="single" w:color="auto" w:sz="4" w:space="0"/>
              <w:right w:val="single" w:color="auto" w:sz="4" w:space="0"/>
            </w:tcBorders>
            <w:vAlign w:val="center"/>
          </w:tcPr>
          <w:p w14:paraId="05158A12">
            <w:pPr>
              <w:widowControl/>
              <w:spacing w:line="240" w:lineRule="auto"/>
              <w:ind w:firstLine="0" w:firstLineChars="0"/>
              <w:jc w:val="left"/>
              <w:rPr>
                <w:rFonts w:cs="Times New Roman"/>
                <w:color w:val="000000"/>
                <w:kern w:val="0"/>
                <w:sz w:val="28"/>
                <w:szCs w:val="28"/>
              </w:rPr>
            </w:pP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0B34069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推动数据赋能产业经济</w:t>
            </w:r>
          </w:p>
        </w:tc>
        <w:tc>
          <w:tcPr>
            <w:tcW w:w="1578" w:type="pct"/>
            <w:tcBorders>
              <w:top w:val="nil"/>
              <w:left w:val="nil"/>
              <w:bottom w:val="single" w:color="auto" w:sz="4" w:space="0"/>
              <w:right w:val="single" w:color="auto" w:sz="4" w:space="0"/>
            </w:tcBorders>
            <w:shd w:val="clear" w:color="auto" w:fill="auto"/>
            <w:noWrap/>
            <w:vAlign w:val="center"/>
          </w:tcPr>
          <w:p w14:paraId="2EEE69B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牵头单位：县投资促进事务中心</w:t>
            </w:r>
          </w:p>
        </w:tc>
        <w:tc>
          <w:tcPr>
            <w:tcW w:w="1034" w:type="pct"/>
            <w:tcBorders>
              <w:top w:val="nil"/>
              <w:left w:val="nil"/>
              <w:bottom w:val="single" w:color="auto" w:sz="4" w:space="0"/>
              <w:right w:val="single" w:color="auto" w:sz="4" w:space="0"/>
            </w:tcBorders>
            <w:shd w:val="clear" w:color="auto" w:fill="auto"/>
            <w:vAlign w:val="center"/>
          </w:tcPr>
          <w:p w14:paraId="707C0F0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bl>
    <w:p w14:paraId="7B5ED240">
      <w:pPr>
        <w:widowControl/>
        <w:spacing w:line="240" w:lineRule="auto"/>
        <w:ind w:firstLine="0" w:firstLineChars="0"/>
        <w:jc w:val="left"/>
        <w:rPr>
          <w:rFonts w:cs="Times New Roman"/>
          <w:b/>
          <w:bCs/>
          <w:szCs w:val="28"/>
        </w:rPr>
      </w:pPr>
      <w:r>
        <w:rPr>
          <w:rFonts w:cs="Times New Roman"/>
          <w:b/>
          <w:bCs/>
          <w:szCs w:val="28"/>
        </w:rPr>
        <w:br w:type="page"/>
      </w:r>
    </w:p>
    <w:p w14:paraId="020741B7">
      <w:pPr>
        <w:spacing w:line="240" w:lineRule="auto"/>
        <w:ind w:firstLine="643"/>
        <w:rPr>
          <w:rFonts w:cs="Times New Roman"/>
          <w:b/>
          <w:bCs/>
          <w:szCs w:val="28"/>
        </w:rPr>
      </w:pPr>
    </w:p>
    <w:p w14:paraId="61AC726D">
      <w:pPr>
        <w:pStyle w:val="2"/>
        <w:numPr>
          <w:ilvl w:val="0"/>
          <w:numId w:val="0"/>
        </w:numPr>
        <w:ind w:left="640"/>
      </w:pPr>
      <w:bookmarkStart w:id="161" w:name="_Toc93501160"/>
      <w:r>
        <w:rPr>
          <w:rFonts w:hint="eastAsia"/>
        </w:rPr>
        <w:t>附件</w:t>
      </w:r>
      <w:r>
        <w:t xml:space="preserve">4 </w:t>
      </w:r>
      <w:r>
        <w:rPr>
          <w:rFonts w:hint="eastAsia"/>
        </w:rPr>
        <w:t>海丰县“十四五”规划现场调研座谈会意见响应情况表</w:t>
      </w:r>
      <w:bookmarkEnd w:id="161"/>
    </w:p>
    <w:tbl>
      <w:tblPr>
        <w:tblStyle w:val="3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3736"/>
        <w:gridCol w:w="5602"/>
        <w:gridCol w:w="3113"/>
      </w:tblGrid>
      <w:tr w14:paraId="554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9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bottom"/>
          </w:tcPr>
          <w:p w14:paraId="76964F67">
            <w:pPr>
              <w:widowControl/>
              <w:spacing w:line="240" w:lineRule="auto"/>
              <w:ind w:firstLine="0" w:firstLineChars="0"/>
              <w:jc w:val="center"/>
              <w:rPr>
                <w:rFonts w:ascii="黑体" w:hAnsi="黑体" w:eastAsia="黑体" w:cs="Times New Roman"/>
                <w:sz w:val="28"/>
                <w:szCs w:val="28"/>
              </w:rPr>
            </w:pPr>
            <w:bookmarkStart w:id="162" w:name="RANGE!B2"/>
            <w:r>
              <w:rPr>
                <w:rFonts w:hint="eastAsia" w:ascii="黑体" w:hAnsi="黑体" w:eastAsia="黑体" w:cs="Times New Roman"/>
                <w:sz w:val="28"/>
                <w:szCs w:val="28"/>
              </w:rPr>
              <w:t>序号</w:t>
            </w:r>
            <w:bookmarkEnd w:id="162"/>
          </w:p>
        </w:tc>
        <w:tc>
          <w:tcPr>
            <w:tcW w:w="373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14:paraId="40554AB7">
            <w:pPr>
              <w:widowControl/>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单位名称</w:t>
            </w:r>
          </w:p>
        </w:tc>
        <w:tc>
          <w:tcPr>
            <w:tcW w:w="560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bottom"/>
          </w:tcPr>
          <w:p w14:paraId="61869AB4">
            <w:pPr>
              <w:widowControl/>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意见建议</w:t>
            </w:r>
          </w:p>
        </w:tc>
        <w:tc>
          <w:tcPr>
            <w:tcW w:w="311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1A07B66">
            <w:pPr>
              <w:widowControl/>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响应意见</w:t>
            </w:r>
          </w:p>
        </w:tc>
      </w:tr>
      <w:tr w14:paraId="133F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AEB133">
            <w:pPr>
              <w:widowControl/>
              <w:spacing w:line="240" w:lineRule="auto"/>
              <w:ind w:firstLine="0" w:firstLineChars="0"/>
              <w:jc w:val="center"/>
              <w:rPr>
                <w:rFonts w:cs="Times New Roman"/>
                <w:sz w:val="28"/>
                <w:szCs w:val="28"/>
              </w:rPr>
            </w:pPr>
            <w:r>
              <w:rPr>
                <w:rFonts w:hint="eastAsia" w:cs="Times New Roman"/>
                <w:sz w:val="28"/>
                <w:szCs w:val="28"/>
              </w:rPr>
              <w:t>1</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B8009">
            <w:pPr>
              <w:widowControl/>
              <w:spacing w:line="240" w:lineRule="auto"/>
              <w:ind w:firstLine="0" w:firstLineChars="0"/>
              <w:jc w:val="center"/>
              <w:rPr>
                <w:rFonts w:cs="Times New Roman"/>
                <w:sz w:val="28"/>
                <w:szCs w:val="28"/>
              </w:rPr>
            </w:pPr>
            <w:r>
              <w:rPr>
                <w:rFonts w:hint="eastAsia" w:cs="Times New Roman"/>
                <w:sz w:val="28"/>
                <w:szCs w:val="28"/>
              </w:rPr>
              <w:t>县委政法委</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07A621DB">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D8069CC">
            <w:pPr>
              <w:widowControl/>
              <w:spacing w:line="240" w:lineRule="auto"/>
              <w:ind w:firstLine="0" w:firstLineChars="0"/>
              <w:jc w:val="center"/>
              <w:rPr>
                <w:rFonts w:cs="Times New Roman"/>
                <w:sz w:val="28"/>
                <w:szCs w:val="28"/>
              </w:rPr>
            </w:pPr>
            <w:r>
              <w:rPr>
                <w:rFonts w:hint="eastAsia" w:cs="Times New Roman"/>
                <w:sz w:val="28"/>
                <w:szCs w:val="28"/>
              </w:rPr>
              <w:t>/　</w:t>
            </w:r>
          </w:p>
        </w:tc>
      </w:tr>
      <w:tr w14:paraId="2DD4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E70ABF">
            <w:pPr>
              <w:widowControl/>
              <w:spacing w:line="240" w:lineRule="auto"/>
              <w:ind w:firstLine="0" w:firstLineChars="0"/>
              <w:jc w:val="center"/>
              <w:rPr>
                <w:rFonts w:cs="Times New Roman"/>
                <w:sz w:val="28"/>
                <w:szCs w:val="28"/>
              </w:rPr>
            </w:pPr>
            <w:r>
              <w:rPr>
                <w:rFonts w:hint="eastAsia" w:cs="Times New Roman"/>
                <w:sz w:val="28"/>
                <w:szCs w:val="28"/>
              </w:rPr>
              <w:t>2</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F5213">
            <w:pPr>
              <w:widowControl/>
              <w:spacing w:line="240" w:lineRule="auto"/>
              <w:ind w:firstLine="0" w:firstLineChars="0"/>
              <w:jc w:val="center"/>
              <w:rPr>
                <w:rFonts w:cs="Times New Roman"/>
                <w:sz w:val="28"/>
                <w:szCs w:val="28"/>
              </w:rPr>
            </w:pPr>
            <w:r>
              <w:rPr>
                <w:rFonts w:hint="eastAsia" w:cs="Times New Roman"/>
                <w:sz w:val="28"/>
                <w:szCs w:val="28"/>
              </w:rPr>
              <w:t>县公安局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3986AE94">
            <w:pPr>
              <w:widowControl/>
              <w:spacing w:line="240" w:lineRule="auto"/>
              <w:ind w:firstLine="0" w:firstLineChars="0"/>
              <w:jc w:val="center"/>
              <w:rPr>
                <w:rFonts w:cs="Times New Roman"/>
                <w:sz w:val="28"/>
                <w:szCs w:val="28"/>
              </w:rPr>
            </w:pPr>
            <w:r>
              <w:rPr>
                <w:rFonts w:hint="eastAsia" w:cs="Times New Roman"/>
                <w:sz w:val="28"/>
                <w:szCs w:val="28"/>
              </w:rPr>
              <w:t>建议按所提供工作任务调整</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31686FA">
            <w:pPr>
              <w:widowControl/>
              <w:spacing w:line="240" w:lineRule="auto"/>
              <w:ind w:firstLine="0" w:firstLineChars="0"/>
              <w:jc w:val="center"/>
              <w:rPr>
                <w:rFonts w:cs="Times New Roman"/>
                <w:sz w:val="28"/>
                <w:szCs w:val="28"/>
              </w:rPr>
            </w:pPr>
            <w:r>
              <w:rPr>
                <w:rFonts w:hint="eastAsia" w:cs="Times New Roman"/>
                <w:sz w:val="28"/>
                <w:szCs w:val="28"/>
              </w:rPr>
              <w:t>采纳，已按意见调整第3</w:t>
            </w:r>
            <w:r>
              <w:rPr>
                <w:rFonts w:cs="Times New Roman"/>
                <w:sz w:val="28"/>
                <w:szCs w:val="28"/>
              </w:rPr>
              <w:t>8</w:t>
            </w:r>
            <w:r>
              <w:rPr>
                <w:rFonts w:hint="eastAsia" w:cs="Times New Roman"/>
                <w:sz w:val="28"/>
                <w:szCs w:val="28"/>
              </w:rPr>
              <w:t>页“智慧警务”相关内容</w:t>
            </w:r>
          </w:p>
        </w:tc>
      </w:tr>
      <w:tr w14:paraId="18F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E2C558">
            <w:pPr>
              <w:widowControl/>
              <w:spacing w:line="240" w:lineRule="auto"/>
              <w:ind w:firstLine="0" w:firstLineChars="0"/>
              <w:jc w:val="center"/>
              <w:rPr>
                <w:rFonts w:cs="Times New Roman"/>
                <w:sz w:val="28"/>
                <w:szCs w:val="28"/>
              </w:rPr>
            </w:pPr>
            <w:r>
              <w:rPr>
                <w:rFonts w:hint="eastAsia" w:cs="Times New Roman"/>
                <w:sz w:val="28"/>
                <w:szCs w:val="28"/>
              </w:rPr>
              <w:t>3</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A2A1A">
            <w:pPr>
              <w:widowControl/>
              <w:spacing w:line="240" w:lineRule="auto"/>
              <w:ind w:firstLine="0" w:firstLineChars="0"/>
              <w:jc w:val="center"/>
              <w:rPr>
                <w:rFonts w:cs="Times New Roman"/>
                <w:sz w:val="28"/>
                <w:szCs w:val="28"/>
              </w:rPr>
            </w:pPr>
            <w:r>
              <w:rPr>
                <w:rFonts w:hint="eastAsia" w:cs="Times New Roman"/>
                <w:sz w:val="28"/>
                <w:szCs w:val="28"/>
              </w:rPr>
              <w:t>县住建局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17923E7A">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16672BAC">
            <w:pPr>
              <w:widowControl/>
              <w:spacing w:line="240" w:lineRule="auto"/>
              <w:ind w:firstLine="0" w:firstLineChars="0"/>
              <w:jc w:val="center"/>
              <w:rPr>
                <w:rFonts w:cs="Times New Roman"/>
                <w:sz w:val="28"/>
                <w:szCs w:val="28"/>
              </w:rPr>
            </w:pPr>
            <w:r>
              <w:rPr>
                <w:rFonts w:hint="eastAsia" w:cs="Times New Roman"/>
                <w:sz w:val="28"/>
                <w:szCs w:val="28"/>
              </w:rPr>
              <w:t>/　</w:t>
            </w:r>
          </w:p>
        </w:tc>
      </w:tr>
      <w:tr w14:paraId="14F3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8746E1">
            <w:pPr>
              <w:widowControl/>
              <w:spacing w:line="240" w:lineRule="auto"/>
              <w:ind w:firstLine="0" w:firstLineChars="0"/>
              <w:jc w:val="center"/>
              <w:rPr>
                <w:rFonts w:cs="Times New Roman"/>
                <w:sz w:val="28"/>
                <w:szCs w:val="28"/>
              </w:rPr>
            </w:pPr>
            <w:r>
              <w:rPr>
                <w:rFonts w:hint="eastAsia" w:cs="Times New Roman"/>
                <w:sz w:val="28"/>
                <w:szCs w:val="28"/>
              </w:rPr>
              <w:t>4</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803D0">
            <w:pPr>
              <w:widowControl/>
              <w:spacing w:line="240" w:lineRule="auto"/>
              <w:ind w:firstLine="0" w:firstLineChars="0"/>
              <w:jc w:val="center"/>
              <w:rPr>
                <w:rFonts w:cs="Times New Roman"/>
                <w:sz w:val="28"/>
                <w:szCs w:val="28"/>
              </w:rPr>
            </w:pPr>
            <w:r>
              <w:rPr>
                <w:rFonts w:hint="eastAsia" w:cs="Times New Roman"/>
                <w:sz w:val="28"/>
                <w:szCs w:val="28"/>
              </w:rPr>
              <w:t>县卫健局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03AD92E2">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1E85A4A5">
            <w:pPr>
              <w:widowControl/>
              <w:spacing w:line="240" w:lineRule="auto"/>
              <w:ind w:firstLine="0" w:firstLineChars="0"/>
              <w:jc w:val="center"/>
              <w:rPr>
                <w:rFonts w:cs="Times New Roman"/>
                <w:sz w:val="28"/>
                <w:szCs w:val="28"/>
              </w:rPr>
            </w:pPr>
            <w:r>
              <w:rPr>
                <w:rFonts w:hint="eastAsia" w:cs="Times New Roman"/>
                <w:sz w:val="28"/>
                <w:szCs w:val="28"/>
              </w:rPr>
              <w:t>/　</w:t>
            </w:r>
          </w:p>
        </w:tc>
      </w:tr>
      <w:tr w14:paraId="567E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BACFFD">
            <w:pPr>
              <w:widowControl/>
              <w:spacing w:line="240" w:lineRule="auto"/>
              <w:ind w:firstLine="0" w:firstLineChars="0"/>
              <w:jc w:val="center"/>
              <w:rPr>
                <w:rFonts w:cs="Times New Roman"/>
                <w:sz w:val="28"/>
                <w:szCs w:val="28"/>
              </w:rPr>
            </w:pPr>
            <w:r>
              <w:rPr>
                <w:rFonts w:hint="eastAsia" w:cs="Times New Roman"/>
                <w:sz w:val="28"/>
                <w:szCs w:val="28"/>
              </w:rPr>
              <w:t>5</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15A05">
            <w:pPr>
              <w:widowControl/>
              <w:spacing w:line="240" w:lineRule="auto"/>
              <w:ind w:firstLine="0" w:firstLineChars="0"/>
              <w:jc w:val="center"/>
              <w:rPr>
                <w:rFonts w:cs="Times New Roman"/>
                <w:sz w:val="28"/>
                <w:szCs w:val="28"/>
              </w:rPr>
            </w:pPr>
            <w:r>
              <w:rPr>
                <w:rFonts w:hint="eastAsia" w:cs="Times New Roman"/>
                <w:sz w:val="28"/>
                <w:szCs w:val="28"/>
              </w:rPr>
              <w:t>县文广旅体局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3D4ADF74">
            <w:pPr>
              <w:widowControl/>
              <w:spacing w:line="240" w:lineRule="auto"/>
              <w:ind w:firstLine="0" w:firstLineChars="0"/>
              <w:jc w:val="center"/>
              <w:rPr>
                <w:rFonts w:cs="Times New Roman"/>
                <w:sz w:val="28"/>
                <w:szCs w:val="28"/>
              </w:rPr>
            </w:pPr>
            <w:r>
              <w:rPr>
                <w:rFonts w:hint="eastAsia" w:cs="Times New Roman"/>
                <w:sz w:val="28"/>
                <w:szCs w:val="28"/>
              </w:rPr>
              <w:t>45页，“讲好澎湃故事…..“ 修正为：”讲好彭湃故事…“</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418545AF">
            <w:pPr>
              <w:widowControl/>
              <w:spacing w:line="240" w:lineRule="auto"/>
              <w:ind w:firstLine="0" w:firstLineChars="0"/>
              <w:jc w:val="center"/>
              <w:rPr>
                <w:rFonts w:cs="Times New Roman"/>
                <w:sz w:val="28"/>
                <w:szCs w:val="28"/>
              </w:rPr>
            </w:pPr>
            <w:r>
              <w:rPr>
                <w:rFonts w:hint="eastAsia" w:cs="Times New Roman"/>
                <w:sz w:val="28"/>
                <w:szCs w:val="28"/>
              </w:rPr>
              <w:t>采纳，已按意见调整第5</w:t>
            </w:r>
            <w:r>
              <w:rPr>
                <w:rFonts w:cs="Times New Roman"/>
                <w:sz w:val="28"/>
                <w:szCs w:val="28"/>
              </w:rPr>
              <w:t>1</w:t>
            </w:r>
            <w:r>
              <w:rPr>
                <w:rFonts w:hint="eastAsia" w:cs="Times New Roman"/>
                <w:sz w:val="28"/>
                <w:szCs w:val="28"/>
              </w:rPr>
              <w:t>页“加强红色资源供给配置”相关内容</w:t>
            </w:r>
          </w:p>
        </w:tc>
      </w:tr>
      <w:tr w14:paraId="022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78BED4">
            <w:pPr>
              <w:widowControl/>
              <w:spacing w:line="240" w:lineRule="auto"/>
              <w:ind w:firstLine="0" w:firstLineChars="0"/>
              <w:jc w:val="center"/>
              <w:rPr>
                <w:rFonts w:cs="Times New Roman"/>
                <w:sz w:val="28"/>
                <w:szCs w:val="28"/>
              </w:rPr>
            </w:pPr>
            <w:r>
              <w:rPr>
                <w:rFonts w:hint="eastAsia" w:cs="Times New Roman"/>
                <w:sz w:val="28"/>
                <w:szCs w:val="28"/>
              </w:rPr>
              <w:t>6</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6477F">
            <w:pPr>
              <w:widowControl/>
              <w:spacing w:line="240" w:lineRule="auto"/>
              <w:ind w:firstLine="0" w:firstLineChars="0"/>
              <w:jc w:val="center"/>
              <w:rPr>
                <w:rFonts w:cs="Times New Roman"/>
                <w:sz w:val="28"/>
                <w:szCs w:val="28"/>
              </w:rPr>
            </w:pPr>
            <w:r>
              <w:rPr>
                <w:rFonts w:hint="eastAsia" w:cs="Times New Roman"/>
                <w:sz w:val="28"/>
                <w:szCs w:val="28"/>
              </w:rPr>
              <w:t>县教育局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65FED9E5">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4B94CEEA">
            <w:pPr>
              <w:widowControl/>
              <w:spacing w:line="240" w:lineRule="auto"/>
              <w:ind w:firstLine="0" w:firstLineChars="0"/>
              <w:jc w:val="center"/>
              <w:rPr>
                <w:rFonts w:cs="Times New Roman"/>
                <w:sz w:val="28"/>
                <w:szCs w:val="28"/>
              </w:rPr>
            </w:pPr>
            <w:r>
              <w:rPr>
                <w:rFonts w:hint="eastAsia" w:cs="Times New Roman"/>
                <w:sz w:val="28"/>
                <w:szCs w:val="28"/>
              </w:rPr>
              <w:t>/　</w:t>
            </w:r>
          </w:p>
        </w:tc>
      </w:tr>
      <w:tr w14:paraId="33D7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B43AD1">
            <w:pPr>
              <w:widowControl/>
              <w:spacing w:line="240" w:lineRule="auto"/>
              <w:ind w:firstLine="0" w:firstLineChars="0"/>
              <w:jc w:val="center"/>
              <w:rPr>
                <w:rFonts w:cs="Times New Roman"/>
                <w:sz w:val="28"/>
                <w:szCs w:val="28"/>
              </w:rPr>
            </w:pPr>
            <w:r>
              <w:rPr>
                <w:rFonts w:hint="eastAsia" w:cs="Times New Roman"/>
                <w:sz w:val="28"/>
                <w:szCs w:val="28"/>
              </w:rPr>
              <w:t>7</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98BB6">
            <w:pPr>
              <w:widowControl/>
              <w:spacing w:line="240" w:lineRule="auto"/>
              <w:ind w:firstLine="0" w:firstLineChars="0"/>
              <w:jc w:val="center"/>
              <w:rPr>
                <w:rFonts w:cs="Times New Roman"/>
                <w:sz w:val="28"/>
                <w:szCs w:val="28"/>
              </w:rPr>
            </w:pPr>
            <w:r>
              <w:rPr>
                <w:rFonts w:hint="eastAsia" w:cs="Times New Roman"/>
                <w:sz w:val="28"/>
                <w:szCs w:val="28"/>
              </w:rPr>
              <w:t>县民政局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29C652C">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0B11CEF">
            <w:pPr>
              <w:widowControl/>
              <w:spacing w:line="240" w:lineRule="auto"/>
              <w:ind w:firstLine="0" w:firstLineChars="0"/>
              <w:jc w:val="center"/>
              <w:rPr>
                <w:rFonts w:cs="Times New Roman"/>
                <w:sz w:val="28"/>
                <w:szCs w:val="28"/>
              </w:rPr>
            </w:pPr>
            <w:r>
              <w:rPr>
                <w:rFonts w:hint="eastAsia" w:cs="Times New Roman"/>
                <w:sz w:val="28"/>
                <w:szCs w:val="28"/>
              </w:rPr>
              <w:t>/　</w:t>
            </w:r>
          </w:p>
        </w:tc>
      </w:tr>
      <w:tr w14:paraId="7100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301266">
            <w:pPr>
              <w:widowControl/>
              <w:spacing w:line="240" w:lineRule="auto"/>
              <w:ind w:firstLine="0" w:firstLineChars="0"/>
              <w:jc w:val="center"/>
              <w:rPr>
                <w:rFonts w:cs="Times New Roman"/>
                <w:sz w:val="28"/>
                <w:szCs w:val="28"/>
              </w:rPr>
            </w:pPr>
            <w:r>
              <w:rPr>
                <w:rFonts w:hint="eastAsia" w:cs="Times New Roman"/>
                <w:sz w:val="28"/>
                <w:szCs w:val="28"/>
              </w:rPr>
              <w:t>8</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8865D">
            <w:pPr>
              <w:widowControl/>
              <w:spacing w:line="240" w:lineRule="auto"/>
              <w:ind w:firstLine="0" w:firstLineChars="0"/>
              <w:jc w:val="center"/>
              <w:rPr>
                <w:rFonts w:cs="Times New Roman"/>
                <w:sz w:val="28"/>
                <w:szCs w:val="28"/>
              </w:rPr>
            </w:pPr>
            <w:r>
              <w:rPr>
                <w:rFonts w:hint="eastAsia" w:cs="Times New Roman"/>
                <w:sz w:val="28"/>
                <w:szCs w:val="28"/>
              </w:rPr>
              <w:t>县审计局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B0D480D">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4CEEEF24">
            <w:pPr>
              <w:widowControl/>
              <w:spacing w:line="240" w:lineRule="auto"/>
              <w:ind w:firstLine="0" w:firstLineChars="0"/>
              <w:jc w:val="center"/>
              <w:rPr>
                <w:rFonts w:cs="Times New Roman"/>
                <w:sz w:val="28"/>
                <w:szCs w:val="28"/>
              </w:rPr>
            </w:pPr>
            <w:r>
              <w:rPr>
                <w:rFonts w:hint="eastAsia" w:cs="Times New Roman"/>
                <w:sz w:val="28"/>
                <w:szCs w:val="28"/>
              </w:rPr>
              <w:t>/　　</w:t>
            </w:r>
          </w:p>
        </w:tc>
      </w:tr>
      <w:tr w14:paraId="7B2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57F087">
            <w:pPr>
              <w:widowControl/>
              <w:spacing w:line="240" w:lineRule="auto"/>
              <w:ind w:firstLine="0" w:firstLineChars="0"/>
              <w:jc w:val="center"/>
              <w:rPr>
                <w:rFonts w:cs="Times New Roman"/>
                <w:sz w:val="28"/>
                <w:szCs w:val="28"/>
              </w:rPr>
            </w:pPr>
            <w:r>
              <w:rPr>
                <w:rFonts w:hint="eastAsia" w:cs="Times New Roman"/>
                <w:sz w:val="28"/>
                <w:szCs w:val="28"/>
              </w:rPr>
              <w:t>9</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B5B94">
            <w:pPr>
              <w:widowControl/>
              <w:spacing w:line="240" w:lineRule="auto"/>
              <w:ind w:firstLine="0" w:firstLineChars="0"/>
              <w:jc w:val="center"/>
              <w:rPr>
                <w:rFonts w:cs="Times New Roman"/>
                <w:sz w:val="28"/>
                <w:szCs w:val="28"/>
              </w:rPr>
            </w:pPr>
            <w:r>
              <w:rPr>
                <w:rFonts w:hint="eastAsia" w:cs="Times New Roman"/>
                <w:sz w:val="28"/>
                <w:szCs w:val="28"/>
              </w:rPr>
              <w:t>县统计局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57DD7878">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51F6A74F">
            <w:pPr>
              <w:widowControl/>
              <w:spacing w:line="240" w:lineRule="auto"/>
              <w:ind w:firstLine="0" w:firstLineChars="0"/>
              <w:jc w:val="center"/>
              <w:rPr>
                <w:rFonts w:cs="Times New Roman"/>
                <w:sz w:val="28"/>
                <w:szCs w:val="28"/>
              </w:rPr>
            </w:pPr>
            <w:r>
              <w:rPr>
                <w:rFonts w:hint="eastAsia" w:cs="Times New Roman"/>
                <w:sz w:val="28"/>
                <w:szCs w:val="28"/>
              </w:rPr>
              <w:t>/　　</w:t>
            </w:r>
          </w:p>
        </w:tc>
      </w:tr>
      <w:tr w14:paraId="0C09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CBB792">
            <w:pPr>
              <w:widowControl/>
              <w:spacing w:line="240" w:lineRule="auto"/>
              <w:ind w:firstLine="0" w:firstLineChars="0"/>
              <w:jc w:val="center"/>
              <w:rPr>
                <w:rFonts w:cs="Times New Roman"/>
                <w:sz w:val="28"/>
                <w:szCs w:val="28"/>
              </w:rPr>
            </w:pPr>
            <w:r>
              <w:rPr>
                <w:rFonts w:hint="eastAsia" w:cs="Times New Roman"/>
                <w:sz w:val="28"/>
                <w:szCs w:val="28"/>
              </w:rPr>
              <w:t>10</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96289">
            <w:pPr>
              <w:widowControl/>
              <w:spacing w:line="240" w:lineRule="auto"/>
              <w:ind w:firstLine="0" w:firstLineChars="0"/>
              <w:jc w:val="center"/>
              <w:rPr>
                <w:rFonts w:cs="Times New Roman"/>
                <w:sz w:val="28"/>
                <w:szCs w:val="28"/>
              </w:rPr>
            </w:pPr>
            <w:r>
              <w:rPr>
                <w:rFonts w:hint="eastAsia" w:cs="Times New Roman"/>
                <w:sz w:val="28"/>
                <w:szCs w:val="28"/>
              </w:rPr>
              <w:t>县政务服务中心</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27360EF2">
            <w:pPr>
              <w:widowControl/>
              <w:spacing w:line="240" w:lineRule="auto"/>
              <w:ind w:firstLine="0" w:firstLineChars="0"/>
              <w:jc w:val="center"/>
              <w:rPr>
                <w:rFonts w:cs="Times New Roman"/>
                <w:sz w:val="28"/>
                <w:szCs w:val="28"/>
              </w:rPr>
            </w:pPr>
            <w:r>
              <w:rPr>
                <w:rFonts w:hint="eastAsia" w:cs="Times New Roman"/>
                <w:sz w:val="28"/>
                <w:szCs w:val="28"/>
              </w:rPr>
              <w:t xml:space="preserve">26页 </w:t>
            </w:r>
            <w:r>
              <w:rPr>
                <w:rFonts w:cs="Times New Roman"/>
                <w:sz w:val="28"/>
                <w:szCs w:val="28"/>
              </w:rPr>
              <w:t>“</w:t>
            </w:r>
            <w:r>
              <w:rPr>
                <w:rFonts w:hint="eastAsia" w:cs="Times New Roman"/>
                <w:sz w:val="28"/>
                <w:szCs w:val="28"/>
              </w:rPr>
              <w:t>（2）打造泛在化服务渠道</w:t>
            </w:r>
            <w:r>
              <w:rPr>
                <w:rFonts w:cs="Times New Roman"/>
                <w:sz w:val="28"/>
                <w:szCs w:val="28"/>
              </w:rPr>
              <w:t>”</w:t>
            </w:r>
          </w:p>
          <w:p w14:paraId="0555E9F4">
            <w:pPr>
              <w:widowControl/>
              <w:spacing w:line="240" w:lineRule="auto"/>
              <w:ind w:firstLine="0" w:firstLineChars="0"/>
              <w:jc w:val="center"/>
              <w:rPr>
                <w:rFonts w:hint="eastAsia" w:eastAsia="仿宋_GB2312" w:cs="Times New Roman"/>
                <w:sz w:val="28"/>
                <w:szCs w:val="28"/>
                <w:lang w:eastAsia="zh-CN"/>
              </w:rPr>
            </w:pPr>
          </w:p>
          <w:p w14:paraId="5471AAFD">
            <w:pPr>
              <w:widowControl/>
              <w:spacing w:line="240" w:lineRule="auto"/>
              <w:ind w:firstLine="0" w:firstLineChars="0"/>
              <w:jc w:val="center"/>
              <w:rPr>
                <w:rFonts w:cs="Times New Roman"/>
                <w:sz w:val="28"/>
                <w:szCs w:val="28"/>
              </w:rPr>
            </w:pPr>
            <w:r>
              <w:rPr>
                <w:rFonts w:hint="eastAsia" w:cs="Times New Roman"/>
                <w:sz w:val="28"/>
                <w:szCs w:val="28"/>
              </w:rPr>
              <w:t>修正为“推动政务服务事项100%进驻政务服务大厅，深化‘前台综合受理、后台分类办理、统一窗口出件’服务模式，实现‘全科无差别受理’一站式办结。推广统一申办受理平台，提升基层‘一门式’政务服务能力。推进镇政务服务中心设立跨部门综合窗口，形成以综合窗口为主、部门专业窗口为辅的综合服务模式。”</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0B7771D">
            <w:pPr>
              <w:widowControl/>
              <w:spacing w:line="240" w:lineRule="auto"/>
              <w:ind w:firstLine="0" w:firstLineChars="0"/>
              <w:jc w:val="center"/>
              <w:rPr>
                <w:rFonts w:cs="Times New Roman"/>
                <w:sz w:val="28"/>
                <w:szCs w:val="28"/>
              </w:rPr>
            </w:pPr>
            <w:r>
              <w:rPr>
                <w:rFonts w:hint="eastAsia" w:cs="Times New Roman"/>
                <w:sz w:val="28"/>
                <w:szCs w:val="28"/>
              </w:rPr>
              <w:t>采纳，已按意见修改第2</w:t>
            </w:r>
            <w:r>
              <w:rPr>
                <w:rFonts w:cs="Times New Roman"/>
                <w:sz w:val="28"/>
                <w:szCs w:val="28"/>
              </w:rPr>
              <w:t>9</w:t>
            </w:r>
            <w:r>
              <w:rPr>
                <w:rFonts w:hint="eastAsia" w:cs="Times New Roman"/>
                <w:sz w:val="28"/>
                <w:szCs w:val="28"/>
              </w:rPr>
              <w:t xml:space="preserve">页“优化政务服务‘六个通办’”相关内容。 </w:t>
            </w:r>
          </w:p>
        </w:tc>
      </w:tr>
      <w:tr w14:paraId="584C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D26301">
            <w:pPr>
              <w:widowControl/>
              <w:spacing w:line="240" w:lineRule="auto"/>
              <w:ind w:firstLine="0" w:firstLineChars="0"/>
              <w:jc w:val="center"/>
              <w:rPr>
                <w:rFonts w:cs="Times New Roman"/>
                <w:sz w:val="28"/>
                <w:szCs w:val="28"/>
              </w:rPr>
            </w:pPr>
            <w:r>
              <w:rPr>
                <w:rFonts w:hint="eastAsia" w:cs="Times New Roman"/>
                <w:sz w:val="28"/>
                <w:szCs w:val="28"/>
              </w:rPr>
              <w:t>11</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571F3">
            <w:pPr>
              <w:widowControl/>
              <w:spacing w:line="240" w:lineRule="auto"/>
              <w:ind w:firstLine="0" w:firstLineChars="0"/>
              <w:jc w:val="center"/>
              <w:rPr>
                <w:rFonts w:cs="Times New Roman"/>
                <w:sz w:val="28"/>
                <w:szCs w:val="28"/>
              </w:rPr>
            </w:pPr>
            <w:r>
              <w:rPr>
                <w:rFonts w:hint="eastAsia" w:cs="Times New Roman"/>
                <w:sz w:val="28"/>
                <w:szCs w:val="28"/>
              </w:rPr>
              <w:t>县发改局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5C264F9E">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EE7FA06">
            <w:pPr>
              <w:widowControl/>
              <w:spacing w:line="240" w:lineRule="auto"/>
              <w:ind w:firstLine="0" w:firstLineChars="0"/>
              <w:jc w:val="center"/>
              <w:rPr>
                <w:rFonts w:cs="Times New Roman"/>
                <w:sz w:val="28"/>
                <w:szCs w:val="28"/>
              </w:rPr>
            </w:pPr>
            <w:r>
              <w:rPr>
                <w:rFonts w:hint="eastAsia" w:cs="Times New Roman"/>
                <w:sz w:val="28"/>
                <w:szCs w:val="28"/>
              </w:rPr>
              <w:t>/　　　</w:t>
            </w:r>
          </w:p>
        </w:tc>
      </w:tr>
      <w:tr w14:paraId="5ACF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81A2BE">
            <w:pPr>
              <w:widowControl/>
              <w:spacing w:line="240" w:lineRule="auto"/>
              <w:ind w:firstLine="0" w:firstLineChars="0"/>
              <w:jc w:val="center"/>
              <w:rPr>
                <w:rFonts w:cs="Times New Roman"/>
                <w:sz w:val="28"/>
                <w:szCs w:val="28"/>
              </w:rPr>
            </w:pPr>
            <w:r>
              <w:rPr>
                <w:rFonts w:hint="eastAsia" w:cs="Times New Roman"/>
                <w:sz w:val="28"/>
                <w:szCs w:val="28"/>
              </w:rPr>
              <w:t>12</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3B79F">
            <w:pPr>
              <w:widowControl/>
              <w:spacing w:line="240" w:lineRule="auto"/>
              <w:ind w:firstLine="0" w:firstLineChars="0"/>
              <w:jc w:val="center"/>
              <w:rPr>
                <w:rFonts w:cs="Times New Roman"/>
                <w:sz w:val="28"/>
                <w:szCs w:val="28"/>
              </w:rPr>
            </w:pPr>
            <w:r>
              <w:rPr>
                <w:rFonts w:hint="eastAsia" w:cs="Times New Roman"/>
                <w:sz w:val="28"/>
                <w:szCs w:val="28"/>
              </w:rPr>
              <w:t>县财政局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0D8A3960">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139B8876">
            <w:pPr>
              <w:widowControl/>
              <w:spacing w:line="240" w:lineRule="auto"/>
              <w:ind w:firstLine="0" w:firstLineChars="0"/>
              <w:jc w:val="center"/>
              <w:rPr>
                <w:rFonts w:cs="Times New Roman"/>
                <w:sz w:val="28"/>
                <w:szCs w:val="28"/>
              </w:rPr>
            </w:pPr>
            <w:r>
              <w:rPr>
                <w:rFonts w:hint="eastAsia" w:cs="Times New Roman"/>
                <w:sz w:val="28"/>
                <w:szCs w:val="28"/>
              </w:rPr>
              <w:t>/　　　</w:t>
            </w:r>
          </w:p>
        </w:tc>
      </w:tr>
      <w:tr w14:paraId="219D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3D83C4">
            <w:pPr>
              <w:widowControl/>
              <w:spacing w:line="240" w:lineRule="auto"/>
              <w:ind w:firstLine="0" w:firstLineChars="0"/>
              <w:jc w:val="center"/>
              <w:rPr>
                <w:rFonts w:cs="Times New Roman"/>
                <w:sz w:val="28"/>
                <w:szCs w:val="28"/>
              </w:rPr>
            </w:pPr>
            <w:r>
              <w:rPr>
                <w:rFonts w:hint="eastAsia" w:cs="Times New Roman"/>
                <w:sz w:val="28"/>
                <w:szCs w:val="28"/>
              </w:rPr>
              <w:t>13</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9FD72">
            <w:pPr>
              <w:widowControl/>
              <w:spacing w:line="240" w:lineRule="auto"/>
              <w:ind w:firstLine="0" w:firstLineChars="0"/>
              <w:jc w:val="center"/>
              <w:rPr>
                <w:rFonts w:cs="Times New Roman"/>
                <w:sz w:val="28"/>
                <w:szCs w:val="28"/>
              </w:rPr>
            </w:pPr>
            <w:r>
              <w:rPr>
                <w:rFonts w:hint="eastAsia" w:cs="Times New Roman"/>
                <w:sz w:val="28"/>
                <w:szCs w:val="28"/>
              </w:rPr>
              <w:t>县市监局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3C9D7B95">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36页，（1）完善多元化监管方式修正为：围绕“测、报、防、查”市场监管全链条，深入推进‘互联网+监管’应用，推进‘双随机、一公开’监管，全面保障人民食品、药品、特种设备和产品质量安全。大力推广使用‘信用汕尾’平台，推进信用分级分类监管，健全以信用为基础的新型监管模式。</w:t>
            </w:r>
          </w:p>
          <w:p w14:paraId="4D0ECD0F">
            <w:pPr>
              <w:widowControl/>
              <w:spacing w:line="240" w:lineRule="auto"/>
              <w:ind w:firstLine="0" w:firstLineChars="0"/>
              <w:jc w:val="center"/>
              <w:rPr>
                <w:rFonts w:cs="Times New Roman"/>
                <w:sz w:val="28"/>
                <w:szCs w:val="28"/>
              </w:rPr>
            </w:pPr>
            <w:r>
              <w:rPr>
                <w:rFonts w:hint="eastAsia" w:cs="Times New Roman"/>
                <w:sz w:val="28"/>
                <w:szCs w:val="28"/>
              </w:rPr>
              <w:t>（2）完善知识产权保护能力 修正为：“依托省市统一部署计划，以数据为核心，扩展知识产权数据资源规模和渠道，完善知识产权‘保护-运营-服务’全链条数字化建设，强化数据资源管理和应用创新。充分利用信息技术手段，进一步深化知识产权维权援助工作。</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75C2E05A">
            <w:pPr>
              <w:widowControl/>
              <w:spacing w:line="240" w:lineRule="auto"/>
              <w:ind w:firstLine="0" w:firstLineChars="0"/>
              <w:jc w:val="center"/>
              <w:rPr>
                <w:rFonts w:cs="Times New Roman"/>
                <w:sz w:val="28"/>
                <w:szCs w:val="28"/>
              </w:rPr>
            </w:pPr>
            <w:r>
              <w:rPr>
                <w:rFonts w:hint="eastAsia" w:cs="Times New Roman"/>
                <w:sz w:val="28"/>
                <w:szCs w:val="28"/>
              </w:rPr>
              <w:t>采纳，已按意见调整第4</w:t>
            </w:r>
            <w:r>
              <w:rPr>
                <w:rFonts w:cs="Times New Roman"/>
                <w:sz w:val="28"/>
                <w:szCs w:val="28"/>
              </w:rPr>
              <w:t>1</w:t>
            </w:r>
            <w:r>
              <w:rPr>
                <w:rFonts w:hint="eastAsia" w:cs="Times New Roman"/>
                <w:sz w:val="28"/>
                <w:szCs w:val="28"/>
              </w:rPr>
              <w:t>页“完善多元化监管方式”与“完善知识产权保护能力”相关内容。</w:t>
            </w:r>
          </w:p>
        </w:tc>
      </w:tr>
      <w:tr w14:paraId="6829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388C4F">
            <w:pPr>
              <w:widowControl/>
              <w:spacing w:line="240" w:lineRule="auto"/>
              <w:ind w:firstLine="0" w:firstLineChars="0"/>
              <w:jc w:val="center"/>
              <w:rPr>
                <w:rFonts w:cs="Times New Roman"/>
                <w:sz w:val="28"/>
                <w:szCs w:val="28"/>
              </w:rPr>
            </w:pPr>
            <w:r>
              <w:rPr>
                <w:rFonts w:hint="eastAsia" w:cs="Times New Roman"/>
                <w:sz w:val="28"/>
                <w:szCs w:val="28"/>
              </w:rPr>
              <w:t>14</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B6F6D">
            <w:pPr>
              <w:widowControl/>
              <w:spacing w:line="240" w:lineRule="auto"/>
              <w:ind w:firstLine="0" w:firstLineChars="0"/>
              <w:jc w:val="center"/>
              <w:rPr>
                <w:rFonts w:cs="Times New Roman"/>
                <w:sz w:val="28"/>
                <w:szCs w:val="28"/>
              </w:rPr>
            </w:pPr>
            <w:r>
              <w:rPr>
                <w:rFonts w:hint="eastAsia" w:cs="Times New Roman"/>
                <w:sz w:val="28"/>
                <w:szCs w:val="28"/>
              </w:rPr>
              <w:t>县科工局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7FF7BA1">
            <w:pPr>
              <w:widowControl/>
              <w:spacing w:line="240" w:lineRule="auto"/>
              <w:ind w:firstLine="0" w:firstLineChars="0"/>
              <w:jc w:val="center"/>
              <w:rPr>
                <w:rFonts w:cs="Times New Roman"/>
                <w:sz w:val="28"/>
                <w:szCs w:val="28"/>
              </w:rPr>
            </w:pPr>
            <w:r>
              <w:rPr>
                <w:rFonts w:hint="eastAsia" w:cs="Times New Roman"/>
                <w:sz w:val="28"/>
                <w:szCs w:val="28"/>
              </w:rPr>
              <w:t>“明珠数谷”项目尚未落地，招商引资，投资促进等相关职能已由县科工局划到县投资促进事务中心，建议责任单位改为县投资促进事务中心。</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5820D244">
            <w:pPr>
              <w:widowControl/>
              <w:spacing w:line="240" w:lineRule="auto"/>
              <w:ind w:firstLine="0" w:firstLineChars="0"/>
              <w:jc w:val="center"/>
              <w:rPr>
                <w:rFonts w:cs="Times New Roman"/>
                <w:sz w:val="28"/>
                <w:szCs w:val="28"/>
              </w:rPr>
            </w:pPr>
            <w:r>
              <w:rPr>
                <w:rFonts w:hint="eastAsia" w:cs="Times New Roman"/>
                <w:sz w:val="28"/>
                <w:szCs w:val="28"/>
              </w:rPr>
              <w:t>采纳　</w:t>
            </w:r>
          </w:p>
        </w:tc>
      </w:tr>
      <w:tr w14:paraId="62C7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2C46EE">
            <w:pPr>
              <w:widowControl/>
              <w:spacing w:line="240" w:lineRule="auto"/>
              <w:ind w:firstLine="0" w:firstLineChars="0"/>
              <w:jc w:val="center"/>
              <w:rPr>
                <w:rFonts w:cs="Times New Roman"/>
                <w:sz w:val="28"/>
                <w:szCs w:val="28"/>
              </w:rPr>
            </w:pPr>
            <w:r>
              <w:rPr>
                <w:rFonts w:hint="eastAsia" w:cs="Times New Roman"/>
                <w:sz w:val="28"/>
                <w:szCs w:val="28"/>
              </w:rPr>
              <w:t>15</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BC1DA">
            <w:pPr>
              <w:widowControl/>
              <w:spacing w:line="240" w:lineRule="auto"/>
              <w:ind w:firstLine="0" w:firstLineChars="0"/>
              <w:jc w:val="center"/>
              <w:rPr>
                <w:rFonts w:cs="Times New Roman"/>
                <w:sz w:val="28"/>
                <w:szCs w:val="28"/>
              </w:rPr>
            </w:pPr>
            <w:r>
              <w:rPr>
                <w:rFonts w:hint="eastAsia" w:cs="Times New Roman"/>
                <w:sz w:val="28"/>
                <w:szCs w:val="28"/>
              </w:rPr>
              <w:t>县退役军人事务局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9479CCB">
            <w:pPr>
              <w:widowControl/>
              <w:spacing w:line="240" w:lineRule="auto"/>
              <w:ind w:firstLine="0" w:firstLineChars="0"/>
              <w:jc w:val="center"/>
              <w:rPr>
                <w:rFonts w:cs="Times New Roman"/>
                <w:sz w:val="28"/>
                <w:szCs w:val="28"/>
              </w:rPr>
            </w:pPr>
            <w:r>
              <w:rPr>
                <w:rFonts w:hint="eastAsia" w:cs="Times New Roman"/>
                <w:sz w:val="28"/>
                <w:szCs w:val="28"/>
              </w:rPr>
              <w:t>　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F100E09">
            <w:pPr>
              <w:widowControl/>
              <w:spacing w:line="240" w:lineRule="auto"/>
              <w:ind w:firstLine="0" w:firstLineChars="0"/>
              <w:jc w:val="center"/>
              <w:rPr>
                <w:rFonts w:cs="Times New Roman"/>
                <w:sz w:val="28"/>
                <w:szCs w:val="28"/>
              </w:rPr>
            </w:pPr>
            <w:r>
              <w:rPr>
                <w:rFonts w:hint="eastAsia" w:cs="Times New Roman"/>
                <w:sz w:val="28"/>
                <w:szCs w:val="28"/>
              </w:rPr>
              <w:t>/　</w:t>
            </w:r>
          </w:p>
        </w:tc>
      </w:tr>
      <w:tr w14:paraId="2D31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CBD05C">
            <w:pPr>
              <w:widowControl/>
              <w:spacing w:line="240" w:lineRule="auto"/>
              <w:ind w:firstLine="0" w:firstLineChars="0"/>
              <w:jc w:val="center"/>
              <w:rPr>
                <w:rFonts w:cs="Times New Roman"/>
                <w:sz w:val="28"/>
                <w:szCs w:val="28"/>
              </w:rPr>
            </w:pPr>
            <w:r>
              <w:rPr>
                <w:rFonts w:hint="eastAsia" w:cs="Times New Roman"/>
                <w:sz w:val="28"/>
                <w:szCs w:val="28"/>
              </w:rPr>
              <w:t>16</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3767A">
            <w:pPr>
              <w:widowControl/>
              <w:spacing w:line="240" w:lineRule="auto"/>
              <w:ind w:firstLine="0" w:firstLineChars="0"/>
              <w:jc w:val="center"/>
              <w:rPr>
                <w:rFonts w:cs="Times New Roman"/>
                <w:sz w:val="28"/>
                <w:szCs w:val="28"/>
              </w:rPr>
            </w:pPr>
            <w:r>
              <w:rPr>
                <w:rFonts w:hint="eastAsia" w:cs="Times New Roman"/>
                <w:sz w:val="28"/>
                <w:szCs w:val="28"/>
              </w:rPr>
              <w:t>县税务局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6769F1EA">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第7页，1.“在办理纳税方面，推进网上办税，推行新办企业涉税事项集成办理，单位纳税人及个体经营企业业务时长同比缩短15小时及3小时”修正为：在纳税服务方面，推进网上办税，推行新办纳税人涉税事项集成办理服务，单位纳税人及个体经营工商户业务办理时长同比缩短3小时及2小时。</w:t>
            </w:r>
          </w:p>
          <w:p w14:paraId="479A5C56">
            <w:pPr>
              <w:widowControl/>
              <w:spacing w:line="240" w:lineRule="auto"/>
              <w:ind w:firstLine="0" w:firstLineChars="0"/>
              <w:jc w:val="center"/>
              <w:rPr>
                <w:rFonts w:cs="Times New Roman"/>
                <w:sz w:val="28"/>
                <w:szCs w:val="28"/>
              </w:rPr>
            </w:pPr>
            <w:r>
              <w:rPr>
                <w:rFonts w:hint="eastAsia" w:cs="Times New Roman"/>
                <w:sz w:val="28"/>
                <w:szCs w:val="28"/>
              </w:rPr>
              <w:t>2.“在简化出口退（免）税方面，实现“当天申报、当天办结””修正为：优化出口退（免）税办理服务，出口退税正常申报业务平均办理时间缩短至1.2个工作日，提速70%</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D894D0A">
            <w:pPr>
              <w:widowControl/>
              <w:spacing w:line="240" w:lineRule="auto"/>
              <w:ind w:firstLine="0" w:firstLineChars="0"/>
              <w:jc w:val="center"/>
              <w:rPr>
                <w:rFonts w:cs="Times New Roman"/>
                <w:sz w:val="28"/>
                <w:szCs w:val="28"/>
              </w:rPr>
            </w:pPr>
            <w:r>
              <w:rPr>
                <w:rFonts w:hint="eastAsia" w:cs="Times New Roman"/>
                <w:sz w:val="28"/>
                <w:szCs w:val="28"/>
              </w:rPr>
              <w:t>采纳，已按意见建议修改第8页“便民惠企服务亮点突出”相关内容。</w:t>
            </w:r>
          </w:p>
        </w:tc>
      </w:tr>
      <w:tr w14:paraId="7E01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2D5A61">
            <w:pPr>
              <w:widowControl/>
              <w:spacing w:line="240" w:lineRule="auto"/>
              <w:ind w:firstLine="0" w:firstLineChars="0"/>
              <w:jc w:val="center"/>
              <w:rPr>
                <w:rFonts w:cs="Times New Roman"/>
                <w:sz w:val="28"/>
                <w:szCs w:val="28"/>
              </w:rPr>
            </w:pPr>
            <w:r>
              <w:rPr>
                <w:rFonts w:hint="eastAsia" w:cs="Times New Roman"/>
                <w:sz w:val="28"/>
                <w:szCs w:val="28"/>
              </w:rPr>
              <w:t>17</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D22E3">
            <w:pPr>
              <w:widowControl/>
              <w:spacing w:line="240" w:lineRule="auto"/>
              <w:ind w:firstLine="0" w:firstLineChars="0"/>
              <w:jc w:val="center"/>
              <w:rPr>
                <w:rFonts w:cs="Times New Roman"/>
                <w:sz w:val="28"/>
                <w:szCs w:val="28"/>
              </w:rPr>
            </w:pPr>
            <w:r>
              <w:rPr>
                <w:rFonts w:hint="eastAsia" w:cs="Times New Roman"/>
                <w:sz w:val="28"/>
                <w:szCs w:val="28"/>
              </w:rPr>
              <w:t>县医保局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9A85DB8">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08983B1">
            <w:pPr>
              <w:widowControl/>
              <w:spacing w:line="240" w:lineRule="auto"/>
              <w:ind w:firstLine="0" w:firstLineChars="0"/>
              <w:jc w:val="center"/>
              <w:rPr>
                <w:rFonts w:cs="Times New Roman"/>
                <w:sz w:val="28"/>
                <w:szCs w:val="28"/>
              </w:rPr>
            </w:pPr>
            <w:r>
              <w:rPr>
                <w:rFonts w:hint="eastAsia" w:cs="Times New Roman"/>
                <w:sz w:val="28"/>
                <w:szCs w:val="28"/>
              </w:rPr>
              <w:t>/　</w:t>
            </w:r>
          </w:p>
        </w:tc>
      </w:tr>
      <w:tr w14:paraId="72AE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A987DD">
            <w:pPr>
              <w:widowControl/>
              <w:spacing w:line="240" w:lineRule="auto"/>
              <w:ind w:firstLine="0" w:firstLineChars="0"/>
              <w:jc w:val="center"/>
              <w:rPr>
                <w:rFonts w:cs="Times New Roman"/>
                <w:sz w:val="28"/>
                <w:szCs w:val="28"/>
              </w:rPr>
            </w:pPr>
            <w:r>
              <w:rPr>
                <w:rFonts w:hint="eastAsia" w:cs="Times New Roman"/>
                <w:sz w:val="28"/>
                <w:szCs w:val="28"/>
              </w:rPr>
              <w:t>18</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DF6BE">
            <w:pPr>
              <w:widowControl/>
              <w:spacing w:line="240" w:lineRule="auto"/>
              <w:ind w:firstLine="0" w:firstLineChars="0"/>
              <w:jc w:val="center"/>
              <w:rPr>
                <w:rFonts w:cs="Times New Roman"/>
                <w:sz w:val="28"/>
                <w:szCs w:val="28"/>
              </w:rPr>
            </w:pPr>
            <w:r>
              <w:rPr>
                <w:rFonts w:hint="eastAsia" w:cs="Times New Roman"/>
                <w:sz w:val="28"/>
                <w:szCs w:val="28"/>
              </w:rPr>
              <w:t>县农业农村局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05F6BE30">
            <w:pPr>
              <w:widowControl/>
              <w:spacing w:line="240" w:lineRule="auto"/>
              <w:ind w:firstLine="0" w:firstLineChars="0"/>
              <w:jc w:val="center"/>
              <w:rPr>
                <w:rFonts w:cs="Times New Roman"/>
                <w:sz w:val="28"/>
                <w:szCs w:val="28"/>
              </w:rPr>
            </w:pPr>
            <w:r>
              <w:rPr>
                <w:rFonts w:hint="eastAsia" w:cs="Times New Roman"/>
                <w:sz w:val="28"/>
                <w:szCs w:val="28"/>
              </w:rPr>
              <w:t>46页5“推进一村一品建设”，修正为：5.推进数字农业基础建设　加强涉农信息资源整合，建设“三农”发展数据库，逐步推动精准作业、智能控制、远程诊断、遥感监测、灾害预警、地理信息服务及物联网等现代信息技术在农业现代化建设中的应用。推动电子商务进农村、电子政务连农民、信息技术兴农业。建设完善网上农资农产品交易平台，发展农产品定制开发和直销运营的新模式。推进“互联网+”农产品出村进城工程，加快推进信息技术在农业产业链全过程的广泛应用，畅通农产品营销渠道。推进信息进村入户工程，全面完成信息进村入户工程县级运营中心和益农信息社建设工作。到2025年，海丰数字农业发展基础基本建立，有力支撑数字乡村战略实施。</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74334986">
            <w:pPr>
              <w:widowControl/>
              <w:spacing w:line="240" w:lineRule="auto"/>
              <w:ind w:firstLine="0" w:firstLineChars="0"/>
              <w:jc w:val="center"/>
              <w:rPr>
                <w:rFonts w:cs="Times New Roman"/>
                <w:sz w:val="28"/>
                <w:szCs w:val="28"/>
              </w:rPr>
            </w:pPr>
            <w:r>
              <w:rPr>
                <w:rFonts w:hint="eastAsia" w:cs="Times New Roman"/>
                <w:sz w:val="28"/>
                <w:szCs w:val="28"/>
              </w:rPr>
              <w:t>采纳，已根据意见修改，详见第3</w:t>
            </w:r>
            <w:r>
              <w:rPr>
                <w:rFonts w:cs="Times New Roman"/>
                <w:sz w:val="28"/>
                <w:szCs w:val="28"/>
              </w:rPr>
              <w:t>5</w:t>
            </w:r>
            <w:r>
              <w:rPr>
                <w:rFonts w:hint="eastAsia" w:cs="Times New Roman"/>
                <w:sz w:val="28"/>
                <w:szCs w:val="28"/>
              </w:rPr>
              <w:t>页，同时将内容调整至“优化均等普惠的公共服务”章节中。</w:t>
            </w:r>
          </w:p>
        </w:tc>
      </w:tr>
      <w:tr w14:paraId="66CD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885C0F">
            <w:pPr>
              <w:widowControl/>
              <w:spacing w:line="240" w:lineRule="auto"/>
              <w:ind w:firstLine="0" w:firstLineChars="0"/>
              <w:jc w:val="center"/>
              <w:rPr>
                <w:rFonts w:cs="Times New Roman"/>
                <w:sz w:val="28"/>
                <w:szCs w:val="28"/>
              </w:rPr>
            </w:pPr>
            <w:r>
              <w:rPr>
                <w:rFonts w:hint="eastAsia" w:cs="Times New Roman"/>
                <w:sz w:val="28"/>
                <w:szCs w:val="28"/>
              </w:rPr>
              <w:t>19</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489EE">
            <w:pPr>
              <w:widowControl/>
              <w:spacing w:line="240" w:lineRule="auto"/>
              <w:ind w:firstLine="0" w:firstLineChars="0"/>
              <w:jc w:val="center"/>
              <w:rPr>
                <w:rFonts w:cs="Times New Roman"/>
                <w:sz w:val="28"/>
                <w:szCs w:val="28"/>
              </w:rPr>
            </w:pPr>
            <w:r>
              <w:rPr>
                <w:rFonts w:hint="eastAsia" w:cs="Times New Roman"/>
                <w:sz w:val="28"/>
                <w:szCs w:val="28"/>
              </w:rPr>
              <w:t>县人社局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73ACD09">
            <w:pPr>
              <w:widowControl/>
              <w:spacing w:line="240" w:lineRule="auto"/>
              <w:ind w:firstLine="0" w:firstLineChars="0"/>
              <w:jc w:val="center"/>
              <w:rPr>
                <w:rFonts w:cs="Times New Roman"/>
                <w:sz w:val="28"/>
                <w:szCs w:val="28"/>
              </w:rPr>
            </w:pPr>
            <w:r>
              <w:rPr>
                <w:rFonts w:hint="eastAsia" w:cs="Times New Roman"/>
                <w:sz w:val="28"/>
                <w:szCs w:val="28"/>
              </w:rPr>
              <w:t>29页，智慧人社中2.”依托乡镇（街道）社会救助综合服务平台，推进异地受理社会救助申请。修正为：依托乡镇（街道）人社业务综合服务平台，推进异地受理人社业务申请。</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423E8DDC">
            <w:pPr>
              <w:widowControl/>
              <w:spacing w:line="240" w:lineRule="auto"/>
              <w:ind w:firstLine="0" w:firstLineChars="0"/>
              <w:jc w:val="center"/>
              <w:rPr>
                <w:rFonts w:cs="Times New Roman"/>
                <w:sz w:val="28"/>
                <w:szCs w:val="28"/>
              </w:rPr>
            </w:pPr>
            <w:r>
              <w:rPr>
                <w:rFonts w:hint="eastAsia" w:cs="Times New Roman"/>
                <w:sz w:val="28"/>
                <w:szCs w:val="28"/>
              </w:rPr>
              <w:t>采纳，已按意见建议修改第3</w:t>
            </w:r>
            <w:r>
              <w:rPr>
                <w:rFonts w:cs="Times New Roman"/>
                <w:sz w:val="28"/>
                <w:szCs w:val="28"/>
              </w:rPr>
              <w:t>5</w:t>
            </w:r>
            <w:r>
              <w:rPr>
                <w:rFonts w:hint="eastAsia" w:cs="Times New Roman"/>
                <w:sz w:val="28"/>
                <w:szCs w:val="28"/>
              </w:rPr>
              <w:t>也“推进智慧人社应用”相关内容。</w:t>
            </w:r>
          </w:p>
        </w:tc>
      </w:tr>
      <w:tr w14:paraId="071F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C9D7CF">
            <w:pPr>
              <w:widowControl/>
              <w:spacing w:line="240" w:lineRule="auto"/>
              <w:ind w:firstLine="0" w:firstLineChars="0"/>
              <w:jc w:val="center"/>
              <w:rPr>
                <w:rFonts w:cs="Times New Roman"/>
                <w:sz w:val="28"/>
                <w:szCs w:val="28"/>
              </w:rPr>
            </w:pPr>
            <w:r>
              <w:rPr>
                <w:rFonts w:hint="eastAsia" w:cs="Times New Roman"/>
                <w:sz w:val="28"/>
                <w:szCs w:val="28"/>
              </w:rPr>
              <w:t>20</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E0134">
            <w:pPr>
              <w:widowControl/>
              <w:spacing w:line="240" w:lineRule="auto"/>
              <w:ind w:firstLine="0" w:firstLineChars="0"/>
              <w:jc w:val="center"/>
              <w:rPr>
                <w:rFonts w:cs="Times New Roman"/>
                <w:sz w:val="28"/>
                <w:szCs w:val="28"/>
              </w:rPr>
            </w:pPr>
            <w:r>
              <w:rPr>
                <w:rFonts w:hint="eastAsia" w:cs="Times New Roman"/>
                <w:sz w:val="28"/>
                <w:szCs w:val="28"/>
              </w:rPr>
              <w:t>汕尾市公共资源交易中心海丰分中心</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38D3E730">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1B4279E4">
            <w:pPr>
              <w:widowControl/>
              <w:spacing w:line="240" w:lineRule="auto"/>
              <w:ind w:firstLine="0" w:firstLineChars="0"/>
              <w:jc w:val="center"/>
              <w:rPr>
                <w:rFonts w:cs="Times New Roman"/>
                <w:sz w:val="28"/>
                <w:szCs w:val="28"/>
              </w:rPr>
            </w:pPr>
            <w:r>
              <w:rPr>
                <w:rFonts w:hint="eastAsia" w:cs="Times New Roman"/>
                <w:sz w:val="28"/>
                <w:szCs w:val="28"/>
              </w:rPr>
              <w:t>/　　　</w:t>
            </w:r>
          </w:p>
        </w:tc>
      </w:tr>
      <w:tr w14:paraId="6B6C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B552B8">
            <w:pPr>
              <w:widowControl/>
              <w:spacing w:line="240" w:lineRule="auto"/>
              <w:ind w:firstLine="0" w:firstLineChars="0"/>
              <w:jc w:val="center"/>
              <w:rPr>
                <w:rFonts w:cs="Times New Roman"/>
                <w:sz w:val="28"/>
                <w:szCs w:val="28"/>
              </w:rPr>
            </w:pPr>
            <w:r>
              <w:rPr>
                <w:rFonts w:hint="eastAsia" w:cs="Times New Roman"/>
                <w:sz w:val="28"/>
                <w:szCs w:val="28"/>
              </w:rPr>
              <w:t>21</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D72FF">
            <w:pPr>
              <w:widowControl/>
              <w:spacing w:line="240" w:lineRule="auto"/>
              <w:ind w:firstLine="0" w:firstLineChars="0"/>
              <w:jc w:val="center"/>
              <w:rPr>
                <w:rFonts w:cs="Times New Roman"/>
                <w:sz w:val="28"/>
                <w:szCs w:val="28"/>
              </w:rPr>
            </w:pPr>
            <w:r>
              <w:rPr>
                <w:rFonts w:hint="eastAsia" w:cs="Times New Roman"/>
                <w:sz w:val="28"/>
                <w:szCs w:val="28"/>
              </w:rPr>
              <w:t>县林业局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B6E3CA7">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848459A">
            <w:pPr>
              <w:widowControl/>
              <w:spacing w:line="240" w:lineRule="auto"/>
              <w:ind w:firstLine="0" w:firstLineChars="0"/>
              <w:jc w:val="center"/>
              <w:rPr>
                <w:rFonts w:cs="Times New Roman"/>
                <w:sz w:val="28"/>
                <w:szCs w:val="28"/>
              </w:rPr>
            </w:pPr>
            <w:r>
              <w:rPr>
                <w:rFonts w:hint="eastAsia" w:cs="Times New Roman"/>
                <w:sz w:val="28"/>
                <w:szCs w:val="28"/>
              </w:rPr>
              <w:t>/　　　</w:t>
            </w:r>
          </w:p>
        </w:tc>
      </w:tr>
      <w:tr w14:paraId="7869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26C708">
            <w:pPr>
              <w:widowControl/>
              <w:spacing w:line="240" w:lineRule="auto"/>
              <w:ind w:firstLine="0" w:firstLineChars="0"/>
              <w:jc w:val="center"/>
              <w:rPr>
                <w:rFonts w:cs="Times New Roman"/>
                <w:sz w:val="28"/>
                <w:szCs w:val="28"/>
              </w:rPr>
            </w:pPr>
            <w:r>
              <w:rPr>
                <w:rFonts w:hint="eastAsia" w:cs="Times New Roman"/>
                <w:sz w:val="28"/>
                <w:szCs w:val="28"/>
              </w:rPr>
              <w:t>22</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C3946">
            <w:pPr>
              <w:widowControl/>
              <w:spacing w:line="240" w:lineRule="auto"/>
              <w:ind w:firstLine="0" w:firstLineChars="0"/>
              <w:jc w:val="center"/>
              <w:rPr>
                <w:rFonts w:cs="Times New Roman"/>
                <w:sz w:val="28"/>
                <w:szCs w:val="28"/>
              </w:rPr>
            </w:pPr>
            <w:r>
              <w:rPr>
                <w:rFonts w:hint="eastAsia" w:cs="Times New Roman"/>
                <w:sz w:val="28"/>
                <w:szCs w:val="28"/>
              </w:rPr>
              <w:t>县水务局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C8504CB">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 xml:space="preserve"> P 38 页：智慧水利，修正：1.按照上级水利部门和县政府的工作部署，与有关单位共同关于水利的5G网络，水质监测仪、雷达、水位计等智能设备应用。</w:t>
            </w:r>
          </w:p>
          <w:p w14:paraId="303286B7">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2.依托上级水利部门的“互联网+河（库）长制”系统，健全河湖长制工作机制，</w:t>
            </w:r>
          </w:p>
          <w:p w14:paraId="50604B88">
            <w:pPr>
              <w:widowControl/>
              <w:spacing w:line="240" w:lineRule="auto"/>
              <w:ind w:firstLine="0" w:firstLineChars="0"/>
              <w:jc w:val="center"/>
              <w:rPr>
                <w:rFonts w:cs="Times New Roman"/>
                <w:sz w:val="28"/>
                <w:szCs w:val="28"/>
              </w:rPr>
            </w:pPr>
            <w:r>
              <w:rPr>
                <w:rFonts w:hint="eastAsia" w:cs="Times New Roman"/>
                <w:sz w:val="28"/>
                <w:szCs w:val="28"/>
              </w:rPr>
              <w:t>3.按照上级水利部门和县政府的工作部署，有序海丰县智慧水利融合工程项目，总投资约2亿元，计划分三期实施。　</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306ED6CC">
            <w:pPr>
              <w:widowControl/>
              <w:spacing w:line="240" w:lineRule="auto"/>
              <w:ind w:firstLine="0" w:firstLineChars="0"/>
              <w:jc w:val="center"/>
              <w:rPr>
                <w:rFonts w:cs="Times New Roman"/>
                <w:sz w:val="28"/>
                <w:szCs w:val="28"/>
              </w:rPr>
            </w:pPr>
            <w:r>
              <w:rPr>
                <w:rFonts w:hint="eastAsia" w:cs="Times New Roman"/>
                <w:sz w:val="28"/>
                <w:szCs w:val="28"/>
              </w:rPr>
              <w:t>采纳，已按意见修改第4</w:t>
            </w:r>
            <w:r>
              <w:rPr>
                <w:rFonts w:cs="Times New Roman"/>
                <w:sz w:val="28"/>
                <w:szCs w:val="28"/>
              </w:rPr>
              <w:t>2</w:t>
            </w:r>
            <w:r>
              <w:rPr>
                <w:rFonts w:hint="eastAsia" w:cs="Times New Roman"/>
                <w:sz w:val="28"/>
                <w:szCs w:val="28"/>
              </w:rPr>
              <w:t>页“推进智慧水利应用”相关内容</w:t>
            </w:r>
          </w:p>
        </w:tc>
      </w:tr>
      <w:tr w14:paraId="5554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4E6C19">
            <w:pPr>
              <w:widowControl/>
              <w:spacing w:line="240" w:lineRule="auto"/>
              <w:ind w:firstLine="0" w:firstLineChars="0"/>
              <w:jc w:val="center"/>
              <w:rPr>
                <w:rFonts w:cs="Times New Roman"/>
                <w:sz w:val="28"/>
                <w:szCs w:val="28"/>
              </w:rPr>
            </w:pPr>
            <w:r>
              <w:rPr>
                <w:rFonts w:hint="eastAsia" w:cs="Times New Roman"/>
                <w:sz w:val="28"/>
                <w:szCs w:val="28"/>
              </w:rPr>
              <w:t>23</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20B89">
            <w:pPr>
              <w:widowControl/>
              <w:spacing w:line="240" w:lineRule="auto"/>
              <w:ind w:firstLine="0" w:firstLineChars="0"/>
              <w:jc w:val="center"/>
              <w:rPr>
                <w:rFonts w:cs="Times New Roman"/>
                <w:sz w:val="28"/>
                <w:szCs w:val="28"/>
              </w:rPr>
            </w:pPr>
            <w:r>
              <w:rPr>
                <w:rFonts w:hint="eastAsia" w:cs="Times New Roman"/>
                <w:sz w:val="28"/>
                <w:szCs w:val="28"/>
              </w:rPr>
              <w:t>县应急管理局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1BD913AC">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515ED11B">
            <w:pPr>
              <w:widowControl/>
              <w:spacing w:line="240" w:lineRule="auto"/>
              <w:ind w:firstLine="0" w:firstLineChars="0"/>
              <w:jc w:val="center"/>
              <w:rPr>
                <w:rFonts w:cs="Times New Roman"/>
                <w:sz w:val="28"/>
                <w:szCs w:val="28"/>
              </w:rPr>
            </w:pPr>
            <w:r>
              <w:rPr>
                <w:rFonts w:hint="eastAsia" w:cs="Times New Roman"/>
                <w:sz w:val="28"/>
                <w:szCs w:val="28"/>
              </w:rPr>
              <w:t>/　　　</w:t>
            </w:r>
          </w:p>
        </w:tc>
      </w:tr>
      <w:tr w14:paraId="2D9A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B9464D">
            <w:pPr>
              <w:widowControl/>
              <w:spacing w:line="240" w:lineRule="auto"/>
              <w:ind w:firstLine="0" w:firstLineChars="0"/>
              <w:jc w:val="center"/>
              <w:rPr>
                <w:rFonts w:cs="Times New Roman"/>
                <w:sz w:val="28"/>
                <w:szCs w:val="28"/>
              </w:rPr>
            </w:pPr>
            <w:r>
              <w:rPr>
                <w:rFonts w:hint="eastAsia" w:cs="Times New Roman"/>
                <w:sz w:val="28"/>
                <w:szCs w:val="28"/>
              </w:rPr>
              <w:t>24</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AD4B8">
            <w:pPr>
              <w:widowControl/>
              <w:spacing w:line="240" w:lineRule="auto"/>
              <w:ind w:firstLine="0" w:firstLineChars="0"/>
              <w:jc w:val="center"/>
              <w:rPr>
                <w:rFonts w:cs="Times New Roman"/>
                <w:sz w:val="28"/>
                <w:szCs w:val="28"/>
              </w:rPr>
            </w:pPr>
            <w:r>
              <w:rPr>
                <w:rFonts w:hint="eastAsia" w:cs="Times New Roman"/>
                <w:sz w:val="28"/>
                <w:szCs w:val="28"/>
              </w:rPr>
              <w:t>县司法局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66B0A74">
            <w:pPr>
              <w:widowControl/>
              <w:spacing w:line="240" w:lineRule="auto"/>
              <w:ind w:firstLine="0" w:firstLineChars="0"/>
              <w:jc w:val="center"/>
              <w:rPr>
                <w:rFonts w:cs="Times New Roman"/>
                <w:sz w:val="28"/>
                <w:szCs w:val="28"/>
              </w:rPr>
            </w:pPr>
            <w:r>
              <w:rPr>
                <w:rFonts w:hint="eastAsia" w:cs="Times New Roman"/>
                <w:sz w:val="28"/>
                <w:szCs w:val="28"/>
              </w:rPr>
              <w:t>建议增加行政执法信息平台和行政执法监督网络平台（简称“两平台”）建设规划</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23B82A5">
            <w:pPr>
              <w:widowControl/>
              <w:spacing w:line="240" w:lineRule="auto"/>
              <w:ind w:firstLine="0" w:firstLineChars="0"/>
              <w:jc w:val="center"/>
              <w:rPr>
                <w:rFonts w:cs="Times New Roman"/>
                <w:sz w:val="28"/>
                <w:szCs w:val="28"/>
              </w:rPr>
            </w:pPr>
            <w:r>
              <w:rPr>
                <w:rFonts w:hint="eastAsia" w:cs="Times New Roman"/>
                <w:sz w:val="28"/>
                <w:szCs w:val="28"/>
              </w:rPr>
              <w:t>　</w:t>
            </w:r>
          </w:p>
        </w:tc>
      </w:tr>
      <w:tr w14:paraId="22B5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3EC79A">
            <w:pPr>
              <w:widowControl/>
              <w:spacing w:line="240" w:lineRule="auto"/>
              <w:ind w:firstLine="0" w:firstLineChars="0"/>
              <w:jc w:val="center"/>
              <w:rPr>
                <w:rFonts w:cs="Times New Roman"/>
                <w:sz w:val="28"/>
                <w:szCs w:val="28"/>
              </w:rPr>
            </w:pPr>
            <w:r>
              <w:rPr>
                <w:rFonts w:hint="eastAsia" w:cs="Times New Roman"/>
                <w:sz w:val="28"/>
                <w:szCs w:val="28"/>
              </w:rPr>
              <w:t>25</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18766">
            <w:pPr>
              <w:widowControl/>
              <w:spacing w:line="240" w:lineRule="auto"/>
              <w:ind w:firstLine="0" w:firstLineChars="0"/>
              <w:jc w:val="center"/>
              <w:rPr>
                <w:rFonts w:cs="Times New Roman"/>
                <w:sz w:val="28"/>
                <w:szCs w:val="28"/>
              </w:rPr>
            </w:pPr>
            <w:r>
              <w:rPr>
                <w:rFonts w:hint="eastAsia" w:cs="Times New Roman"/>
                <w:sz w:val="28"/>
                <w:szCs w:val="28"/>
              </w:rPr>
              <w:t>县消防救援大队</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5CD5D2CE">
            <w:pPr>
              <w:widowControl/>
              <w:spacing w:line="240" w:lineRule="auto"/>
              <w:ind w:firstLine="0" w:firstLineChars="0"/>
              <w:jc w:val="center"/>
              <w:rPr>
                <w:rFonts w:cs="Times New Roman"/>
                <w:sz w:val="28"/>
                <w:szCs w:val="28"/>
              </w:rPr>
            </w:pPr>
            <w:r>
              <w:rPr>
                <w:rFonts w:hint="eastAsia" w:cs="Times New Roman"/>
                <w:sz w:val="28"/>
                <w:szCs w:val="28"/>
              </w:rPr>
              <w:t>35页，”智慧消防“内容修正为：”依托省市消防信息化新型架构，构建我县智慧化消防创新性作战体系，升级改造海丰县消防救援大队指挥中心，连接城市道路交通、气象、地震等工作平台，加快推进物联网及5G通信技术应用，通过“三步走”实现全县所有重点单位、歌舞娱乐场所、物业小区的城市远程监控安装全覆盖，实现信息实时汇聚，动态分析、自动预警。依托市“民情地图”消防主题，充分汇聚整合各类关键要素数据，实现消防救援人员、消防车辆、消防装备、消防水源等各类资源的实时智能化调度，及时发现灾情风险，尽早消除灾情隐患。“</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46D805A">
            <w:pPr>
              <w:widowControl/>
              <w:spacing w:line="240" w:lineRule="auto"/>
              <w:ind w:firstLine="0" w:firstLineChars="0"/>
              <w:jc w:val="center"/>
              <w:rPr>
                <w:rFonts w:cs="Times New Roman"/>
                <w:sz w:val="28"/>
                <w:szCs w:val="28"/>
              </w:rPr>
            </w:pPr>
            <w:r>
              <w:rPr>
                <w:rFonts w:hint="eastAsia" w:cs="Times New Roman"/>
                <w:sz w:val="28"/>
                <w:szCs w:val="28"/>
              </w:rPr>
              <w:t>采纳，已按意修改第4</w:t>
            </w:r>
            <w:r>
              <w:rPr>
                <w:rFonts w:cs="Times New Roman"/>
                <w:sz w:val="28"/>
                <w:szCs w:val="28"/>
              </w:rPr>
              <w:t>0</w:t>
            </w:r>
            <w:r>
              <w:rPr>
                <w:rFonts w:hint="eastAsia" w:cs="Times New Roman"/>
                <w:sz w:val="28"/>
                <w:szCs w:val="28"/>
              </w:rPr>
              <w:t>页“推进智慧消防建设”相关内容。</w:t>
            </w:r>
          </w:p>
        </w:tc>
      </w:tr>
      <w:tr w14:paraId="63E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9A78DE">
            <w:pPr>
              <w:widowControl/>
              <w:spacing w:line="240" w:lineRule="auto"/>
              <w:ind w:firstLine="0" w:firstLineChars="0"/>
              <w:jc w:val="center"/>
              <w:rPr>
                <w:rFonts w:cs="Times New Roman"/>
                <w:sz w:val="28"/>
                <w:szCs w:val="28"/>
              </w:rPr>
            </w:pPr>
            <w:r>
              <w:rPr>
                <w:rFonts w:hint="eastAsia" w:cs="Times New Roman"/>
                <w:sz w:val="28"/>
                <w:szCs w:val="28"/>
              </w:rPr>
              <w:t>26</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0D109">
            <w:pPr>
              <w:widowControl/>
              <w:spacing w:line="240" w:lineRule="auto"/>
              <w:ind w:firstLine="0" w:firstLineChars="0"/>
              <w:jc w:val="center"/>
              <w:rPr>
                <w:rFonts w:cs="Times New Roman"/>
                <w:sz w:val="28"/>
                <w:szCs w:val="28"/>
              </w:rPr>
            </w:pPr>
            <w:r>
              <w:rPr>
                <w:rFonts w:hint="eastAsia" w:cs="Times New Roman"/>
                <w:sz w:val="28"/>
                <w:szCs w:val="28"/>
              </w:rPr>
              <w:t>县气象局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62A5EF3">
            <w:pPr>
              <w:widowControl/>
              <w:spacing w:line="240" w:lineRule="auto"/>
              <w:ind w:firstLine="0" w:firstLineChars="0"/>
              <w:jc w:val="center"/>
              <w:rPr>
                <w:rFonts w:cs="Times New Roman"/>
                <w:sz w:val="28"/>
                <w:szCs w:val="28"/>
              </w:rPr>
            </w:pPr>
            <w:r>
              <w:rPr>
                <w:rFonts w:hint="eastAsia" w:cs="Times New Roman"/>
                <w:sz w:val="28"/>
                <w:szCs w:val="28"/>
              </w:rPr>
              <w:t>3页，智慧气象中，“推进自动气象站组网建设，提升气象监测预报预警服务能力”，修正为：“推进气象雷达和气象自动站组网建设，提升气象监测预报预警服务能力”</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503595CD">
            <w:pPr>
              <w:widowControl/>
              <w:spacing w:line="240" w:lineRule="auto"/>
              <w:ind w:firstLine="0" w:firstLineChars="0"/>
              <w:jc w:val="center"/>
              <w:rPr>
                <w:rFonts w:cs="Times New Roman"/>
                <w:sz w:val="28"/>
                <w:szCs w:val="28"/>
              </w:rPr>
            </w:pPr>
            <w:r>
              <w:rPr>
                <w:rFonts w:hint="eastAsia" w:cs="Times New Roman"/>
                <w:sz w:val="28"/>
                <w:szCs w:val="28"/>
              </w:rPr>
              <w:t>采纳，已按意见修改第4</w:t>
            </w:r>
            <w:r>
              <w:rPr>
                <w:rFonts w:cs="Times New Roman"/>
                <w:sz w:val="28"/>
                <w:szCs w:val="28"/>
              </w:rPr>
              <w:t>3</w:t>
            </w:r>
            <w:r>
              <w:rPr>
                <w:rFonts w:hint="eastAsia" w:cs="Times New Roman"/>
                <w:sz w:val="28"/>
                <w:szCs w:val="28"/>
              </w:rPr>
              <w:t>也“推进智慧气象应用”相关内容。</w:t>
            </w:r>
          </w:p>
        </w:tc>
      </w:tr>
      <w:tr w14:paraId="16D9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7EB676">
            <w:pPr>
              <w:widowControl/>
              <w:spacing w:line="240" w:lineRule="auto"/>
              <w:ind w:firstLine="0" w:firstLineChars="0"/>
              <w:jc w:val="center"/>
              <w:rPr>
                <w:rFonts w:cs="Times New Roman"/>
                <w:sz w:val="28"/>
                <w:szCs w:val="28"/>
              </w:rPr>
            </w:pPr>
            <w:r>
              <w:rPr>
                <w:rFonts w:hint="eastAsia" w:cs="Times New Roman"/>
                <w:sz w:val="28"/>
                <w:szCs w:val="28"/>
              </w:rPr>
              <w:t>27</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56402">
            <w:pPr>
              <w:widowControl/>
              <w:spacing w:line="240" w:lineRule="auto"/>
              <w:ind w:firstLine="0" w:firstLineChars="0"/>
              <w:jc w:val="center"/>
              <w:rPr>
                <w:rFonts w:cs="Times New Roman"/>
                <w:sz w:val="28"/>
                <w:szCs w:val="28"/>
              </w:rPr>
            </w:pPr>
            <w:r>
              <w:rPr>
                <w:rFonts w:hint="eastAsia" w:cs="Times New Roman"/>
                <w:sz w:val="28"/>
                <w:szCs w:val="28"/>
              </w:rPr>
              <w:t>汕尾市生态环境局海丰分局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11C4FF4E">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335B5902">
            <w:pPr>
              <w:widowControl/>
              <w:spacing w:line="240" w:lineRule="auto"/>
              <w:ind w:firstLine="0" w:firstLineChars="0"/>
              <w:jc w:val="center"/>
              <w:rPr>
                <w:rFonts w:cs="Times New Roman"/>
                <w:sz w:val="28"/>
                <w:szCs w:val="28"/>
              </w:rPr>
            </w:pPr>
            <w:r>
              <w:rPr>
                <w:rFonts w:hint="eastAsia" w:cs="Times New Roman"/>
                <w:sz w:val="28"/>
                <w:szCs w:val="28"/>
              </w:rPr>
              <w:t>/　　　</w:t>
            </w:r>
          </w:p>
        </w:tc>
      </w:tr>
      <w:tr w14:paraId="1ED9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89E7D0">
            <w:pPr>
              <w:widowControl/>
              <w:spacing w:line="240" w:lineRule="auto"/>
              <w:ind w:firstLine="0" w:firstLineChars="0"/>
              <w:jc w:val="center"/>
              <w:rPr>
                <w:rFonts w:cs="Times New Roman"/>
                <w:sz w:val="28"/>
                <w:szCs w:val="28"/>
              </w:rPr>
            </w:pPr>
            <w:r>
              <w:rPr>
                <w:rFonts w:hint="eastAsia" w:cs="Times New Roman"/>
                <w:sz w:val="28"/>
                <w:szCs w:val="28"/>
              </w:rPr>
              <w:t>28</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5D8D7">
            <w:pPr>
              <w:widowControl/>
              <w:spacing w:line="240" w:lineRule="auto"/>
              <w:ind w:firstLine="0" w:firstLineChars="0"/>
              <w:jc w:val="center"/>
              <w:rPr>
                <w:rFonts w:cs="Times New Roman"/>
                <w:sz w:val="28"/>
                <w:szCs w:val="28"/>
              </w:rPr>
            </w:pPr>
            <w:r>
              <w:rPr>
                <w:rFonts w:hint="eastAsia" w:cs="Times New Roman"/>
                <w:sz w:val="28"/>
                <w:szCs w:val="28"/>
              </w:rPr>
              <w:t>县自然资源局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5D4F4B84">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31页，（4）推动“互联网+不动产登记”。</w:t>
            </w:r>
          </w:p>
          <w:p w14:paraId="425AD9C1">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1.“....实行不动产交易...” 修正 “优化不动产交易”，</w:t>
            </w:r>
          </w:p>
          <w:p w14:paraId="117BE664">
            <w:pPr>
              <w:widowControl/>
              <w:spacing w:line="240" w:lineRule="auto"/>
              <w:ind w:firstLine="0" w:firstLineChars="0"/>
              <w:jc w:val="center"/>
              <w:rPr>
                <w:rFonts w:cs="Times New Roman"/>
                <w:sz w:val="28"/>
                <w:szCs w:val="28"/>
              </w:rPr>
            </w:pPr>
            <w:r>
              <w:rPr>
                <w:rFonts w:hint="eastAsia" w:cs="Times New Roman"/>
                <w:sz w:val="28"/>
                <w:szCs w:val="28"/>
              </w:rPr>
              <w:t>2.“推进不动产登记一窗受理便民窗口向基层延伸，增强基层群众获得感和幸福感”，删除</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265D8DA">
            <w:pPr>
              <w:widowControl/>
              <w:spacing w:line="240" w:lineRule="auto"/>
              <w:ind w:firstLine="0" w:firstLineChars="0"/>
              <w:jc w:val="center"/>
              <w:rPr>
                <w:rFonts w:cs="Times New Roman"/>
                <w:sz w:val="28"/>
                <w:szCs w:val="28"/>
              </w:rPr>
            </w:pPr>
            <w:r>
              <w:rPr>
                <w:rFonts w:hint="eastAsia" w:cs="Times New Roman"/>
                <w:sz w:val="28"/>
                <w:szCs w:val="28"/>
              </w:rPr>
              <w:t>采纳，已按意见修改第3</w:t>
            </w:r>
            <w:r>
              <w:rPr>
                <w:rFonts w:cs="Times New Roman"/>
                <w:sz w:val="28"/>
                <w:szCs w:val="28"/>
              </w:rPr>
              <w:t>2</w:t>
            </w:r>
            <w:r>
              <w:rPr>
                <w:rFonts w:hint="eastAsia" w:cs="Times New Roman"/>
                <w:sz w:val="28"/>
                <w:szCs w:val="28"/>
              </w:rPr>
              <w:t>页“推进‘互联网+不动产’应用”相关内容。</w:t>
            </w:r>
          </w:p>
        </w:tc>
      </w:tr>
      <w:tr w14:paraId="71F8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6D0017">
            <w:pPr>
              <w:widowControl/>
              <w:spacing w:line="240" w:lineRule="auto"/>
              <w:ind w:firstLine="0" w:firstLineChars="0"/>
              <w:jc w:val="center"/>
              <w:rPr>
                <w:rFonts w:cs="Times New Roman"/>
                <w:sz w:val="28"/>
                <w:szCs w:val="28"/>
              </w:rPr>
            </w:pPr>
            <w:r>
              <w:rPr>
                <w:rFonts w:hint="eastAsia" w:cs="Times New Roman"/>
                <w:sz w:val="28"/>
                <w:szCs w:val="28"/>
              </w:rPr>
              <w:t>29</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85074">
            <w:pPr>
              <w:widowControl/>
              <w:spacing w:line="240" w:lineRule="auto"/>
              <w:ind w:firstLine="0" w:firstLineChars="0"/>
              <w:jc w:val="center"/>
              <w:rPr>
                <w:rFonts w:cs="Times New Roman"/>
                <w:sz w:val="28"/>
                <w:szCs w:val="28"/>
              </w:rPr>
            </w:pPr>
            <w:r>
              <w:rPr>
                <w:rFonts w:hint="eastAsia" w:cs="Times New Roman"/>
                <w:sz w:val="28"/>
                <w:szCs w:val="28"/>
              </w:rPr>
              <w:t>县交通运输局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120699B">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3DBDE2D3">
            <w:pPr>
              <w:widowControl/>
              <w:spacing w:line="240" w:lineRule="auto"/>
              <w:ind w:firstLine="0" w:firstLineChars="0"/>
              <w:jc w:val="center"/>
              <w:rPr>
                <w:rFonts w:cs="Times New Roman"/>
                <w:sz w:val="28"/>
                <w:szCs w:val="28"/>
              </w:rPr>
            </w:pPr>
            <w:r>
              <w:rPr>
                <w:rFonts w:hint="eastAsia" w:cs="Times New Roman"/>
                <w:sz w:val="28"/>
                <w:szCs w:val="28"/>
              </w:rPr>
              <w:t>/　　　</w:t>
            </w:r>
          </w:p>
        </w:tc>
      </w:tr>
      <w:tr w14:paraId="7CF4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3CF111">
            <w:pPr>
              <w:widowControl/>
              <w:spacing w:line="240" w:lineRule="auto"/>
              <w:ind w:firstLine="0" w:firstLineChars="0"/>
              <w:jc w:val="center"/>
              <w:rPr>
                <w:rFonts w:cs="Times New Roman"/>
                <w:sz w:val="28"/>
                <w:szCs w:val="28"/>
              </w:rPr>
            </w:pPr>
            <w:r>
              <w:rPr>
                <w:rFonts w:hint="eastAsia" w:cs="Times New Roman"/>
                <w:sz w:val="28"/>
                <w:szCs w:val="28"/>
              </w:rPr>
              <w:t>30</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74CA3">
            <w:pPr>
              <w:widowControl/>
              <w:spacing w:line="240" w:lineRule="auto"/>
              <w:ind w:firstLine="0" w:firstLineChars="0"/>
              <w:jc w:val="center"/>
              <w:rPr>
                <w:rFonts w:cs="Times New Roman"/>
                <w:sz w:val="28"/>
                <w:szCs w:val="28"/>
              </w:rPr>
            </w:pPr>
            <w:r>
              <w:rPr>
                <w:rFonts w:hint="eastAsia" w:cs="Times New Roman"/>
                <w:sz w:val="28"/>
                <w:szCs w:val="28"/>
              </w:rPr>
              <w:t>县信访中心</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293EA56">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FC9B6D8">
            <w:pPr>
              <w:widowControl/>
              <w:spacing w:line="240" w:lineRule="auto"/>
              <w:ind w:firstLine="0" w:firstLineChars="0"/>
              <w:jc w:val="center"/>
              <w:rPr>
                <w:rFonts w:cs="Times New Roman"/>
                <w:sz w:val="28"/>
                <w:szCs w:val="28"/>
              </w:rPr>
            </w:pPr>
            <w:r>
              <w:rPr>
                <w:rFonts w:hint="eastAsia" w:cs="Times New Roman"/>
                <w:sz w:val="28"/>
                <w:szCs w:val="28"/>
              </w:rPr>
              <w:t>/　　　</w:t>
            </w:r>
          </w:p>
        </w:tc>
      </w:tr>
    </w:tbl>
    <w:p w14:paraId="426FBD68">
      <w:pPr>
        <w:ind w:firstLine="0" w:firstLineChars="0"/>
        <w:jc w:val="left"/>
      </w:pPr>
    </w:p>
    <w:sectPr>
      <w:pgSz w:w="16838" w:h="11906" w:orient="landscape"/>
      <w:pgMar w:top="1797" w:right="1440" w:bottom="1797" w:left="144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24EE">
    <w:pPr>
      <w:pStyle w:val="21"/>
      <w:spacing w:before="120" w:after="120"/>
      <w:ind w:firstLine="360"/>
      <w:jc w:val="center"/>
    </w:pPr>
  </w:p>
  <w:p w14:paraId="7E891935">
    <w:pPr>
      <w:pStyle w:val="21"/>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F16C">
    <w:pPr>
      <w:pStyle w:val="21"/>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4880">
    <w:pPr>
      <w:pStyle w:val="21"/>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0551">
    <w:pPr>
      <w:pStyle w:val="21"/>
      <w:spacing w:before="120" w:after="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99403013"/>
                          </w:sdtPr>
                          <w:sdtContent>
                            <w:p w14:paraId="57D13589">
                              <w:pPr>
                                <w:pStyle w:val="21"/>
                                <w:spacing w:before="120" w:after="120"/>
                                <w:ind w:firstLine="360"/>
                                <w:jc w:val="center"/>
                              </w:pPr>
                              <w:r>
                                <w:fldChar w:fldCharType="begin"/>
                              </w:r>
                              <w:r>
                                <w:instrText xml:space="preserve">PAGE   \* MERGEFORMAT</w:instrText>
                              </w:r>
                              <w:r>
                                <w:fldChar w:fldCharType="separate"/>
                              </w:r>
                              <w:r>
                                <w:rPr>
                                  <w:lang w:val="zh-CN"/>
                                </w:rPr>
                                <w:t>4</w:t>
                              </w:r>
                              <w:r>
                                <w:fldChar w:fldCharType="end"/>
                              </w:r>
                            </w:p>
                          </w:sdtContent>
                        </w:sdt>
                        <w:p w14:paraId="0CAAAA58">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399403013"/>
                    </w:sdtPr>
                    <w:sdtContent>
                      <w:p w14:paraId="57D13589">
                        <w:pPr>
                          <w:pStyle w:val="21"/>
                          <w:spacing w:before="120" w:after="120"/>
                          <w:ind w:firstLine="360"/>
                          <w:jc w:val="center"/>
                        </w:pPr>
                        <w:r>
                          <w:fldChar w:fldCharType="begin"/>
                        </w:r>
                        <w:r>
                          <w:instrText xml:space="preserve">PAGE   \* MERGEFORMAT</w:instrText>
                        </w:r>
                        <w:r>
                          <w:fldChar w:fldCharType="separate"/>
                        </w:r>
                        <w:r>
                          <w:rPr>
                            <w:lang w:val="zh-CN"/>
                          </w:rPr>
                          <w:t>4</w:t>
                        </w:r>
                        <w:r>
                          <w:fldChar w:fldCharType="end"/>
                        </w:r>
                      </w:p>
                    </w:sdtContent>
                  </w:sdt>
                  <w:p w14:paraId="0CAAAA58">
                    <w:pPr>
                      <w:ind w:firstLine="64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55373"/>
    </w:sdtPr>
    <w:sdtContent>
      <w:p w14:paraId="69161D28">
        <w:pPr>
          <w:pStyle w:val="21"/>
          <w:spacing w:before="120" w:after="120"/>
          <w:ind w:firstLine="360"/>
          <w:jc w:val="center"/>
        </w:pPr>
        <w:r>
          <w:fldChar w:fldCharType="begin"/>
        </w:r>
        <w:r>
          <w:instrText xml:space="preserve">PAGE   \* MERGEFORMAT</w:instrText>
        </w:r>
        <w:r>
          <w:fldChar w:fldCharType="separate"/>
        </w:r>
        <w:r>
          <w:rPr>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A855">
    <w:pPr>
      <w:spacing w:before="120" w:after="120"/>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AA5A">
    <w:pPr>
      <w:pStyle w:val="22"/>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DDFA">
    <w:pPr>
      <w:pStyle w:val="22"/>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05630"/>
    <w:multiLevelType w:val="multilevel"/>
    <w:tmpl w:val="54405630"/>
    <w:lvl w:ilvl="0" w:tentative="0">
      <w:start w:val="1"/>
      <w:numFmt w:val="decimal"/>
      <w:lvlText w:val="%1."/>
      <w:lvlJc w:val="left"/>
      <w:pPr>
        <w:ind w:left="1060" w:hanging="420"/>
      </w:pPr>
      <w:rPr>
        <w:b/>
        <w:bC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11C4C5E"/>
    <w:multiLevelType w:val="multilevel"/>
    <w:tmpl w:val="611C4C5E"/>
    <w:lvl w:ilvl="0" w:tentative="0">
      <w:start w:val="1"/>
      <w:numFmt w:val="chineseCountingThousand"/>
      <w:pStyle w:val="2"/>
      <w:suff w:val="nothing"/>
      <w:lvlText w:val="%1、"/>
      <w:lvlJc w:val="left"/>
      <w:pPr>
        <w:ind w:left="425" w:hanging="425"/>
      </w:pPr>
      <w:rPr>
        <w:rFonts w:hint="default" w:ascii="Times New Roman" w:hAnsi="Times New Roman" w:eastAsia="黑体"/>
        <w:b w:val="0"/>
        <w:i w:val="0"/>
      </w:rPr>
    </w:lvl>
    <w:lvl w:ilvl="1" w:tentative="0">
      <w:start w:val="1"/>
      <w:numFmt w:val="chineseCountingThousand"/>
      <w:pStyle w:val="3"/>
      <w:suff w:val="nothing"/>
      <w:lvlText w:val="（%2）"/>
      <w:lvlJc w:val="left"/>
      <w:pPr>
        <w:ind w:left="1276" w:hanging="567"/>
      </w:pPr>
      <w:rPr>
        <w:rFonts w:hint="default" w:ascii="Times New Roman" w:hAnsi="Times New Roman" w:eastAsia="楷体_GB2312"/>
        <w:b w:val="0"/>
        <w:i w:val="0"/>
      </w:rPr>
    </w:lvl>
    <w:lvl w:ilvl="2" w:tentative="0">
      <w:start w:val="1"/>
      <w:numFmt w:val="decimal"/>
      <w:pStyle w:val="4"/>
      <w:suff w:val="nothing"/>
      <w:lvlText w:val="%3."/>
      <w:lvlJc w:val="left"/>
      <w:pPr>
        <w:ind w:left="1418" w:hanging="567"/>
      </w:pPr>
      <w:rPr>
        <w:rFonts w:hint="default" w:ascii="Times New Roman" w:hAnsi="Times New Roman" w:eastAsia="仿宋_GB2312"/>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attachedTemplate r:id="rId1"/>
  <w:documentProtection w:enforcement="0"/>
  <w:defaultTabStop w:val="420"/>
  <w:drawingGridHorizontalSpacing w:val="160"/>
  <w:drawingGridVerticalSpacing w:val="43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1D"/>
    <w:rsid w:val="00001A90"/>
    <w:rsid w:val="000020BF"/>
    <w:rsid w:val="00002D8B"/>
    <w:rsid w:val="00003A3B"/>
    <w:rsid w:val="00007EFD"/>
    <w:rsid w:val="00012212"/>
    <w:rsid w:val="00017331"/>
    <w:rsid w:val="000209D9"/>
    <w:rsid w:val="00020EA5"/>
    <w:rsid w:val="00021CA0"/>
    <w:rsid w:val="00023E13"/>
    <w:rsid w:val="000242D9"/>
    <w:rsid w:val="00025463"/>
    <w:rsid w:val="00025B1B"/>
    <w:rsid w:val="000347F7"/>
    <w:rsid w:val="00034E7D"/>
    <w:rsid w:val="000425CB"/>
    <w:rsid w:val="00042D5A"/>
    <w:rsid w:val="00043235"/>
    <w:rsid w:val="00047B78"/>
    <w:rsid w:val="000510D3"/>
    <w:rsid w:val="0005237B"/>
    <w:rsid w:val="00054C8A"/>
    <w:rsid w:val="00056152"/>
    <w:rsid w:val="0005669E"/>
    <w:rsid w:val="00057425"/>
    <w:rsid w:val="00057569"/>
    <w:rsid w:val="00061A0E"/>
    <w:rsid w:val="000635D7"/>
    <w:rsid w:val="00064B53"/>
    <w:rsid w:val="00064F06"/>
    <w:rsid w:val="00065448"/>
    <w:rsid w:val="00065695"/>
    <w:rsid w:val="0006656F"/>
    <w:rsid w:val="0006678C"/>
    <w:rsid w:val="00066B05"/>
    <w:rsid w:val="00071594"/>
    <w:rsid w:val="000729DC"/>
    <w:rsid w:val="0007358E"/>
    <w:rsid w:val="00075746"/>
    <w:rsid w:val="00080E9E"/>
    <w:rsid w:val="000819D5"/>
    <w:rsid w:val="000906B5"/>
    <w:rsid w:val="0009168C"/>
    <w:rsid w:val="00091ABB"/>
    <w:rsid w:val="00091CEB"/>
    <w:rsid w:val="0009509B"/>
    <w:rsid w:val="00095F0D"/>
    <w:rsid w:val="00096C88"/>
    <w:rsid w:val="000A0C98"/>
    <w:rsid w:val="000A13EE"/>
    <w:rsid w:val="000A234E"/>
    <w:rsid w:val="000A387C"/>
    <w:rsid w:val="000A7630"/>
    <w:rsid w:val="000B191A"/>
    <w:rsid w:val="000B1922"/>
    <w:rsid w:val="000B2241"/>
    <w:rsid w:val="000B4299"/>
    <w:rsid w:val="000B7049"/>
    <w:rsid w:val="000B72C7"/>
    <w:rsid w:val="000C41FF"/>
    <w:rsid w:val="000D01A4"/>
    <w:rsid w:val="000D1D74"/>
    <w:rsid w:val="000D2A85"/>
    <w:rsid w:val="000D2E4A"/>
    <w:rsid w:val="000D3B69"/>
    <w:rsid w:val="000D3DC1"/>
    <w:rsid w:val="000D47FB"/>
    <w:rsid w:val="000D5699"/>
    <w:rsid w:val="000F7470"/>
    <w:rsid w:val="00100980"/>
    <w:rsid w:val="00100E8C"/>
    <w:rsid w:val="00101326"/>
    <w:rsid w:val="00101B02"/>
    <w:rsid w:val="00104D84"/>
    <w:rsid w:val="00106ECA"/>
    <w:rsid w:val="00112823"/>
    <w:rsid w:val="00112F6D"/>
    <w:rsid w:val="001150CC"/>
    <w:rsid w:val="00120897"/>
    <w:rsid w:val="00120E1E"/>
    <w:rsid w:val="001212B6"/>
    <w:rsid w:val="001255C4"/>
    <w:rsid w:val="00125A26"/>
    <w:rsid w:val="00127C96"/>
    <w:rsid w:val="00134204"/>
    <w:rsid w:val="00134A83"/>
    <w:rsid w:val="0013526F"/>
    <w:rsid w:val="001362A9"/>
    <w:rsid w:val="00142618"/>
    <w:rsid w:val="001432DD"/>
    <w:rsid w:val="001439CD"/>
    <w:rsid w:val="00144D7A"/>
    <w:rsid w:val="0014514D"/>
    <w:rsid w:val="001458BE"/>
    <w:rsid w:val="001531EA"/>
    <w:rsid w:val="0015393F"/>
    <w:rsid w:val="0016070E"/>
    <w:rsid w:val="001609EA"/>
    <w:rsid w:val="00163009"/>
    <w:rsid w:val="001635B8"/>
    <w:rsid w:val="00163A1E"/>
    <w:rsid w:val="00164607"/>
    <w:rsid w:val="00165B6E"/>
    <w:rsid w:val="00174379"/>
    <w:rsid w:val="0017599E"/>
    <w:rsid w:val="00175BAF"/>
    <w:rsid w:val="00175CC7"/>
    <w:rsid w:val="00176BA5"/>
    <w:rsid w:val="00182D07"/>
    <w:rsid w:val="00185A00"/>
    <w:rsid w:val="00186F66"/>
    <w:rsid w:val="00190527"/>
    <w:rsid w:val="001914A1"/>
    <w:rsid w:val="0019161C"/>
    <w:rsid w:val="00194794"/>
    <w:rsid w:val="001947DB"/>
    <w:rsid w:val="0019526E"/>
    <w:rsid w:val="00195C28"/>
    <w:rsid w:val="001965EF"/>
    <w:rsid w:val="001973D3"/>
    <w:rsid w:val="001A47E8"/>
    <w:rsid w:val="001A4DAB"/>
    <w:rsid w:val="001B0F83"/>
    <w:rsid w:val="001B35B3"/>
    <w:rsid w:val="001B35CA"/>
    <w:rsid w:val="001B4AB8"/>
    <w:rsid w:val="001B757A"/>
    <w:rsid w:val="001B7876"/>
    <w:rsid w:val="001C0DD6"/>
    <w:rsid w:val="001C10E1"/>
    <w:rsid w:val="001C21E2"/>
    <w:rsid w:val="001C26B9"/>
    <w:rsid w:val="001C2A53"/>
    <w:rsid w:val="001C2FF4"/>
    <w:rsid w:val="001C53EA"/>
    <w:rsid w:val="001D195F"/>
    <w:rsid w:val="001D2D11"/>
    <w:rsid w:val="001D4CF7"/>
    <w:rsid w:val="001D5330"/>
    <w:rsid w:val="001D7799"/>
    <w:rsid w:val="001E20BB"/>
    <w:rsid w:val="001E39EC"/>
    <w:rsid w:val="001E3E8C"/>
    <w:rsid w:val="001E4776"/>
    <w:rsid w:val="001F443A"/>
    <w:rsid w:val="001F486D"/>
    <w:rsid w:val="001F59A0"/>
    <w:rsid w:val="001F5DEC"/>
    <w:rsid w:val="001F6065"/>
    <w:rsid w:val="001F6249"/>
    <w:rsid w:val="001F7D8E"/>
    <w:rsid w:val="00201643"/>
    <w:rsid w:val="0020237E"/>
    <w:rsid w:val="00204287"/>
    <w:rsid w:val="002056C2"/>
    <w:rsid w:val="0020796B"/>
    <w:rsid w:val="002107B2"/>
    <w:rsid w:val="002110D4"/>
    <w:rsid w:val="00211E2F"/>
    <w:rsid w:val="00211E3A"/>
    <w:rsid w:val="002134F1"/>
    <w:rsid w:val="0021569A"/>
    <w:rsid w:val="00215B4F"/>
    <w:rsid w:val="00220BFE"/>
    <w:rsid w:val="0022155F"/>
    <w:rsid w:val="00221783"/>
    <w:rsid w:val="00224CDD"/>
    <w:rsid w:val="00225BA8"/>
    <w:rsid w:val="00225BC3"/>
    <w:rsid w:val="00226680"/>
    <w:rsid w:val="00234D27"/>
    <w:rsid w:val="00236EE3"/>
    <w:rsid w:val="00242AAC"/>
    <w:rsid w:val="00246633"/>
    <w:rsid w:val="0024706B"/>
    <w:rsid w:val="00250623"/>
    <w:rsid w:val="0025121C"/>
    <w:rsid w:val="002519D9"/>
    <w:rsid w:val="002530DE"/>
    <w:rsid w:val="00255639"/>
    <w:rsid w:val="00260EB0"/>
    <w:rsid w:val="002616BE"/>
    <w:rsid w:val="00263D31"/>
    <w:rsid w:val="00264861"/>
    <w:rsid w:val="0026646D"/>
    <w:rsid w:val="0026748F"/>
    <w:rsid w:val="002711A3"/>
    <w:rsid w:val="00273005"/>
    <w:rsid w:val="002743D7"/>
    <w:rsid w:val="00274AD4"/>
    <w:rsid w:val="0027538F"/>
    <w:rsid w:val="00280FF5"/>
    <w:rsid w:val="00282047"/>
    <w:rsid w:val="00282C22"/>
    <w:rsid w:val="00282E7C"/>
    <w:rsid w:val="002844E9"/>
    <w:rsid w:val="002878C6"/>
    <w:rsid w:val="00287CAE"/>
    <w:rsid w:val="002908AB"/>
    <w:rsid w:val="0029379E"/>
    <w:rsid w:val="0029427A"/>
    <w:rsid w:val="00294A44"/>
    <w:rsid w:val="002959A6"/>
    <w:rsid w:val="002A0105"/>
    <w:rsid w:val="002A05A8"/>
    <w:rsid w:val="002A1A70"/>
    <w:rsid w:val="002A342D"/>
    <w:rsid w:val="002A4BA9"/>
    <w:rsid w:val="002A7D36"/>
    <w:rsid w:val="002B1E4E"/>
    <w:rsid w:val="002B224A"/>
    <w:rsid w:val="002C0C7B"/>
    <w:rsid w:val="002C0CE5"/>
    <w:rsid w:val="002C226B"/>
    <w:rsid w:val="002D1C99"/>
    <w:rsid w:val="002D505C"/>
    <w:rsid w:val="002E05F8"/>
    <w:rsid w:val="002E3102"/>
    <w:rsid w:val="002E4220"/>
    <w:rsid w:val="002E46F6"/>
    <w:rsid w:val="002F0F0A"/>
    <w:rsid w:val="002F12D3"/>
    <w:rsid w:val="002F22C6"/>
    <w:rsid w:val="002F449E"/>
    <w:rsid w:val="00304C12"/>
    <w:rsid w:val="00305BCC"/>
    <w:rsid w:val="003072D4"/>
    <w:rsid w:val="00311158"/>
    <w:rsid w:val="00312B24"/>
    <w:rsid w:val="003142E0"/>
    <w:rsid w:val="0032169A"/>
    <w:rsid w:val="00322591"/>
    <w:rsid w:val="00323E58"/>
    <w:rsid w:val="00323EFA"/>
    <w:rsid w:val="0032527D"/>
    <w:rsid w:val="00325938"/>
    <w:rsid w:val="00333BB9"/>
    <w:rsid w:val="00336831"/>
    <w:rsid w:val="00337E41"/>
    <w:rsid w:val="003400A2"/>
    <w:rsid w:val="003418EB"/>
    <w:rsid w:val="0034270B"/>
    <w:rsid w:val="003475CE"/>
    <w:rsid w:val="00347C98"/>
    <w:rsid w:val="00352054"/>
    <w:rsid w:val="003524FF"/>
    <w:rsid w:val="00353A41"/>
    <w:rsid w:val="0035467A"/>
    <w:rsid w:val="00354D36"/>
    <w:rsid w:val="003615FC"/>
    <w:rsid w:val="00362DE4"/>
    <w:rsid w:val="00363F3B"/>
    <w:rsid w:val="00364172"/>
    <w:rsid w:val="00367817"/>
    <w:rsid w:val="00374345"/>
    <w:rsid w:val="00375B43"/>
    <w:rsid w:val="00376D39"/>
    <w:rsid w:val="00380965"/>
    <w:rsid w:val="00381B27"/>
    <w:rsid w:val="00383947"/>
    <w:rsid w:val="00384755"/>
    <w:rsid w:val="00384B19"/>
    <w:rsid w:val="00386203"/>
    <w:rsid w:val="00392520"/>
    <w:rsid w:val="003936D8"/>
    <w:rsid w:val="00393FEA"/>
    <w:rsid w:val="00394FE0"/>
    <w:rsid w:val="00395E8F"/>
    <w:rsid w:val="0039772F"/>
    <w:rsid w:val="003B12A9"/>
    <w:rsid w:val="003B16CB"/>
    <w:rsid w:val="003B474C"/>
    <w:rsid w:val="003B707D"/>
    <w:rsid w:val="003B7505"/>
    <w:rsid w:val="003C0703"/>
    <w:rsid w:val="003C1A72"/>
    <w:rsid w:val="003C22A3"/>
    <w:rsid w:val="003C4FF0"/>
    <w:rsid w:val="003C7DCB"/>
    <w:rsid w:val="003D158F"/>
    <w:rsid w:val="003D175B"/>
    <w:rsid w:val="003D269C"/>
    <w:rsid w:val="003D4488"/>
    <w:rsid w:val="003D4630"/>
    <w:rsid w:val="003D5089"/>
    <w:rsid w:val="003D79E8"/>
    <w:rsid w:val="003E3877"/>
    <w:rsid w:val="003E41B3"/>
    <w:rsid w:val="003E7262"/>
    <w:rsid w:val="003F0BC4"/>
    <w:rsid w:val="003F11D8"/>
    <w:rsid w:val="003F143B"/>
    <w:rsid w:val="003F1B3B"/>
    <w:rsid w:val="003F75EC"/>
    <w:rsid w:val="00402EF1"/>
    <w:rsid w:val="0040308C"/>
    <w:rsid w:val="004035FD"/>
    <w:rsid w:val="0040422A"/>
    <w:rsid w:val="004050DE"/>
    <w:rsid w:val="004071E0"/>
    <w:rsid w:val="00407520"/>
    <w:rsid w:val="004100EF"/>
    <w:rsid w:val="00411E9E"/>
    <w:rsid w:val="004149F5"/>
    <w:rsid w:val="004158C9"/>
    <w:rsid w:val="004170AE"/>
    <w:rsid w:val="00417554"/>
    <w:rsid w:val="00417557"/>
    <w:rsid w:val="00424963"/>
    <w:rsid w:val="004249C1"/>
    <w:rsid w:val="00432796"/>
    <w:rsid w:val="00434695"/>
    <w:rsid w:val="00434AFD"/>
    <w:rsid w:val="00436BC8"/>
    <w:rsid w:val="00441329"/>
    <w:rsid w:val="00441972"/>
    <w:rsid w:val="00442A22"/>
    <w:rsid w:val="00442A39"/>
    <w:rsid w:val="00443BED"/>
    <w:rsid w:val="004443EA"/>
    <w:rsid w:val="00445805"/>
    <w:rsid w:val="00445EAB"/>
    <w:rsid w:val="00447B64"/>
    <w:rsid w:val="0045692D"/>
    <w:rsid w:val="004612CC"/>
    <w:rsid w:val="00462906"/>
    <w:rsid w:val="004643C5"/>
    <w:rsid w:val="00464AD3"/>
    <w:rsid w:val="00465983"/>
    <w:rsid w:val="004679F6"/>
    <w:rsid w:val="00471302"/>
    <w:rsid w:val="00472DE7"/>
    <w:rsid w:val="004737EA"/>
    <w:rsid w:val="004805C7"/>
    <w:rsid w:val="00480629"/>
    <w:rsid w:val="00482DBB"/>
    <w:rsid w:val="00483657"/>
    <w:rsid w:val="004852A9"/>
    <w:rsid w:val="0048678E"/>
    <w:rsid w:val="00486BA3"/>
    <w:rsid w:val="00486EA0"/>
    <w:rsid w:val="00487286"/>
    <w:rsid w:val="0049026B"/>
    <w:rsid w:val="004A1151"/>
    <w:rsid w:val="004A1348"/>
    <w:rsid w:val="004A3298"/>
    <w:rsid w:val="004A39C6"/>
    <w:rsid w:val="004A581B"/>
    <w:rsid w:val="004A5893"/>
    <w:rsid w:val="004A6CAA"/>
    <w:rsid w:val="004A73BB"/>
    <w:rsid w:val="004B1943"/>
    <w:rsid w:val="004B3B3A"/>
    <w:rsid w:val="004B6257"/>
    <w:rsid w:val="004B7780"/>
    <w:rsid w:val="004C25BD"/>
    <w:rsid w:val="004C2B88"/>
    <w:rsid w:val="004C3432"/>
    <w:rsid w:val="004C36D6"/>
    <w:rsid w:val="004C512B"/>
    <w:rsid w:val="004C6D04"/>
    <w:rsid w:val="004C7499"/>
    <w:rsid w:val="004C7AEB"/>
    <w:rsid w:val="004D32F9"/>
    <w:rsid w:val="004D34C2"/>
    <w:rsid w:val="004D4EDC"/>
    <w:rsid w:val="004E55A6"/>
    <w:rsid w:val="004E5BAF"/>
    <w:rsid w:val="004F2702"/>
    <w:rsid w:val="004F32DD"/>
    <w:rsid w:val="004F496F"/>
    <w:rsid w:val="004F5B56"/>
    <w:rsid w:val="004F5D33"/>
    <w:rsid w:val="004F6197"/>
    <w:rsid w:val="004F7258"/>
    <w:rsid w:val="004F764B"/>
    <w:rsid w:val="00504456"/>
    <w:rsid w:val="00504959"/>
    <w:rsid w:val="00505040"/>
    <w:rsid w:val="005061C1"/>
    <w:rsid w:val="005124DB"/>
    <w:rsid w:val="00514980"/>
    <w:rsid w:val="00514F72"/>
    <w:rsid w:val="005153E7"/>
    <w:rsid w:val="00516117"/>
    <w:rsid w:val="00517C2B"/>
    <w:rsid w:val="00520A67"/>
    <w:rsid w:val="0052365E"/>
    <w:rsid w:val="00527E5B"/>
    <w:rsid w:val="00535A92"/>
    <w:rsid w:val="005428EB"/>
    <w:rsid w:val="00542B67"/>
    <w:rsid w:val="005430C2"/>
    <w:rsid w:val="005455E7"/>
    <w:rsid w:val="0054699F"/>
    <w:rsid w:val="0054728B"/>
    <w:rsid w:val="00547419"/>
    <w:rsid w:val="00547AFC"/>
    <w:rsid w:val="00550FA8"/>
    <w:rsid w:val="00551ED2"/>
    <w:rsid w:val="00552278"/>
    <w:rsid w:val="00554F8F"/>
    <w:rsid w:val="00560F8B"/>
    <w:rsid w:val="00563453"/>
    <w:rsid w:val="00563D57"/>
    <w:rsid w:val="005659D6"/>
    <w:rsid w:val="0057225E"/>
    <w:rsid w:val="0057374A"/>
    <w:rsid w:val="00574267"/>
    <w:rsid w:val="0057535A"/>
    <w:rsid w:val="005775DE"/>
    <w:rsid w:val="00580457"/>
    <w:rsid w:val="00582461"/>
    <w:rsid w:val="005966A3"/>
    <w:rsid w:val="00597D03"/>
    <w:rsid w:val="005A0575"/>
    <w:rsid w:val="005A17F5"/>
    <w:rsid w:val="005A2B3B"/>
    <w:rsid w:val="005A374F"/>
    <w:rsid w:val="005A4B7F"/>
    <w:rsid w:val="005A5207"/>
    <w:rsid w:val="005B3363"/>
    <w:rsid w:val="005B3667"/>
    <w:rsid w:val="005B42D3"/>
    <w:rsid w:val="005B55C3"/>
    <w:rsid w:val="005C000E"/>
    <w:rsid w:val="005C6059"/>
    <w:rsid w:val="005D0C6E"/>
    <w:rsid w:val="005D1AC9"/>
    <w:rsid w:val="005D3795"/>
    <w:rsid w:val="005D61A5"/>
    <w:rsid w:val="005D6A01"/>
    <w:rsid w:val="005D7E56"/>
    <w:rsid w:val="005E08AD"/>
    <w:rsid w:val="005E0C44"/>
    <w:rsid w:val="005E1717"/>
    <w:rsid w:val="005E3A59"/>
    <w:rsid w:val="005E4049"/>
    <w:rsid w:val="005E4C03"/>
    <w:rsid w:val="005E6999"/>
    <w:rsid w:val="005E74F0"/>
    <w:rsid w:val="005E754B"/>
    <w:rsid w:val="005E7842"/>
    <w:rsid w:val="005F1211"/>
    <w:rsid w:val="005F407D"/>
    <w:rsid w:val="005F5673"/>
    <w:rsid w:val="00605E5C"/>
    <w:rsid w:val="00605F32"/>
    <w:rsid w:val="0060635C"/>
    <w:rsid w:val="00610376"/>
    <w:rsid w:val="00612843"/>
    <w:rsid w:val="006149F6"/>
    <w:rsid w:val="00614A72"/>
    <w:rsid w:val="0061580F"/>
    <w:rsid w:val="00623EB8"/>
    <w:rsid w:val="0062551C"/>
    <w:rsid w:val="00625B79"/>
    <w:rsid w:val="00631605"/>
    <w:rsid w:val="00633447"/>
    <w:rsid w:val="006348BA"/>
    <w:rsid w:val="006348CF"/>
    <w:rsid w:val="00634A01"/>
    <w:rsid w:val="0063556C"/>
    <w:rsid w:val="00635C9D"/>
    <w:rsid w:val="00643EBF"/>
    <w:rsid w:val="00644001"/>
    <w:rsid w:val="00646547"/>
    <w:rsid w:val="006521B2"/>
    <w:rsid w:val="00653C51"/>
    <w:rsid w:val="00656993"/>
    <w:rsid w:val="00656994"/>
    <w:rsid w:val="00661B37"/>
    <w:rsid w:val="00662583"/>
    <w:rsid w:val="006635F6"/>
    <w:rsid w:val="00664173"/>
    <w:rsid w:val="006641C1"/>
    <w:rsid w:val="006671A1"/>
    <w:rsid w:val="0067183F"/>
    <w:rsid w:val="00671C1B"/>
    <w:rsid w:val="006758DF"/>
    <w:rsid w:val="00676B58"/>
    <w:rsid w:val="006770AC"/>
    <w:rsid w:val="00680AFF"/>
    <w:rsid w:val="006815C8"/>
    <w:rsid w:val="00681F76"/>
    <w:rsid w:val="00682A43"/>
    <w:rsid w:val="00684A34"/>
    <w:rsid w:val="006853BA"/>
    <w:rsid w:val="00690465"/>
    <w:rsid w:val="006913E4"/>
    <w:rsid w:val="006927B8"/>
    <w:rsid w:val="00697076"/>
    <w:rsid w:val="006A4DEC"/>
    <w:rsid w:val="006A53DD"/>
    <w:rsid w:val="006A5890"/>
    <w:rsid w:val="006A6935"/>
    <w:rsid w:val="006B01A9"/>
    <w:rsid w:val="006B0FB4"/>
    <w:rsid w:val="006B237D"/>
    <w:rsid w:val="006B2E70"/>
    <w:rsid w:val="006B369A"/>
    <w:rsid w:val="006B3B72"/>
    <w:rsid w:val="006B4023"/>
    <w:rsid w:val="006B4AD1"/>
    <w:rsid w:val="006B54D7"/>
    <w:rsid w:val="006B60C7"/>
    <w:rsid w:val="006B70B2"/>
    <w:rsid w:val="006C0975"/>
    <w:rsid w:val="006C0B75"/>
    <w:rsid w:val="006C2039"/>
    <w:rsid w:val="006C4B5B"/>
    <w:rsid w:val="006D211D"/>
    <w:rsid w:val="006D5881"/>
    <w:rsid w:val="006E0615"/>
    <w:rsid w:val="006F11CF"/>
    <w:rsid w:val="006F2218"/>
    <w:rsid w:val="006F2A35"/>
    <w:rsid w:val="006F333D"/>
    <w:rsid w:val="006F3D62"/>
    <w:rsid w:val="006F714D"/>
    <w:rsid w:val="00700EF3"/>
    <w:rsid w:val="00703F7F"/>
    <w:rsid w:val="00705E39"/>
    <w:rsid w:val="00710B5A"/>
    <w:rsid w:val="00710BF3"/>
    <w:rsid w:val="00717AC0"/>
    <w:rsid w:val="00722170"/>
    <w:rsid w:val="007228B2"/>
    <w:rsid w:val="007231C0"/>
    <w:rsid w:val="00725BA5"/>
    <w:rsid w:val="00726769"/>
    <w:rsid w:val="00726AB8"/>
    <w:rsid w:val="00731944"/>
    <w:rsid w:val="00733A49"/>
    <w:rsid w:val="00733E96"/>
    <w:rsid w:val="00737230"/>
    <w:rsid w:val="00741410"/>
    <w:rsid w:val="007423E7"/>
    <w:rsid w:val="0074511C"/>
    <w:rsid w:val="0074568E"/>
    <w:rsid w:val="00746179"/>
    <w:rsid w:val="00756749"/>
    <w:rsid w:val="00757EBA"/>
    <w:rsid w:val="00760946"/>
    <w:rsid w:val="00761EE0"/>
    <w:rsid w:val="0076377B"/>
    <w:rsid w:val="00766B6A"/>
    <w:rsid w:val="007672E1"/>
    <w:rsid w:val="00770B8D"/>
    <w:rsid w:val="00775767"/>
    <w:rsid w:val="00776C5B"/>
    <w:rsid w:val="00776CA7"/>
    <w:rsid w:val="007800BE"/>
    <w:rsid w:val="00781B6C"/>
    <w:rsid w:val="00784755"/>
    <w:rsid w:val="007849D6"/>
    <w:rsid w:val="00784DE2"/>
    <w:rsid w:val="00786452"/>
    <w:rsid w:val="00787AA1"/>
    <w:rsid w:val="0079199F"/>
    <w:rsid w:val="00791F2B"/>
    <w:rsid w:val="00792832"/>
    <w:rsid w:val="007931D4"/>
    <w:rsid w:val="00794322"/>
    <w:rsid w:val="00795021"/>
    <w:rsid w:val="0079540F"/>
    <w:rsid w:val="0079590A"/>
    <w:rsid w:val="00796307"/>
    <w:rsid w:val="007A002B"/>
    <w:rsid w:val="007A218A"/>
    <w:rsid w:val="007A3709"/>
    <w:rsid w:val="007A4DB3"/>
    <w:rsid w:val="007A4E9C"/>
    <w:rsid w:val="007A552A"/>
    <w:rsid w:val="007A63DC"/>
    <w:rsid w:val="007A6B1D"/>
    <w:rsid w:val="007A6F0F"/>
    <w:rsid w:val="007B0633"/>
    <w:rsid w:val="007B100B"/>
    <w:rsid w:val="007B25CB"/>
    <w:rsid w:val="007B2DE9"/>
    <w:rsid w:val="007B3D23"/>
    <w:rsid w:val="007B55C7"/>
    <w:rsid w:val="007B5AAD"/>
    <w:rsid w:val="007B5E09"/>
    <w:rsid w:val="007B5EFA"/>
    <w:rsid w:val="007B5EFE"/>
    <w:rsid w:val="007C37F2"/>
    <w:rsid w:val="007C4D35"/>
    <w:rsid w:val="007C6354"/>
    <w:rsid w:val="007C6D78"/>
    <w:rsid w:val="007C7921"/>
    <w:rsid w:val="007D368B"/>
    <w:rsid w:val="007D4930"/>
    <w:rsid w:val="007D50A6"/>
    <w:rsid w:val="007D778B"/>
    <w:rsid w:val="007E02CF"/>
    <w:rsid w:val="007E0932"/>
    <w:rsid w:val="007E0D5A"/>
    <w:rsid w:val="007E43F4"/>
    <w:rsid w:val="007E5759"/>
    <w:rsid w:val="007E5FE2"/>
    <w:rsid w:val="007E72AD"/>
    <w:rsid w:val="007F178B"/>
    <w:rsid w:val="007F3EB4"/>
    <w:rsid w:val="007F46EE"/>
    <w:rsid w:val="007F5B04"/>
    <w:rsid w:val="007F7DF0"/>
    <w:rsid w:val="00800283"/>
    <w:rsid w:val="0080153E"/>
    <w:rsid w:val="008029B0"/>
    <w:rsid w:val="00803E65"/>
    <w:rsid w:val="00807954"/>
    <w:rsid w:val="00807CE8"/>
    <w:rsid w:val="008147B1"/>
    <w:rsid w:val="00814D36"/>
    <w:rsid w:val="008164CD"/>
    <w:rsid w:val="00823A1D"/>
    <w:rsid w:val="00826CFE"/>
    <w:rsid w:val="00827303"/>
    <w:rsid w:val="00831EEF"/>
    <w:rsid w:val="00833854"/>
    <w:rsid w:val="008354A0"/>
    <w:rsid w:val="00835FC2"/>
    <w:rsid w:val="00836FED"/>
    <w:rsid w:val="0083781D"/>
    <w:rsid w:val="00837EE8"/>
    <w:rsid w:val="008409E8"/>
    <w:rsid w:val="00842A0A"/>
    <w:rsid w:val="008501E0"/>
    <w:rsid w:val="008516A9"/>
    <w:rsid w:val="00851932"/>
    <w:rsid w:val="00856E9E"/>
    <w:rsid w:val="00857625"/>
    <w:rsid w:val="008577A6"/>
    <w:rsid w:val="00857F05"/>
    <w:rsid w:val="00866B8A"/>
    <w:rsid w:val="00866CE0"/>
    <w:rsid w:val="00867100"/>
    <w:rsid w:val="00867FBA"/>
    <w:rsid w:val="008706E0"/>
    <w:rsid w:val="00872EAC"/>
    <w:rsid w:val="0087402F"/>
    <w:rsid w:val="0087676F"/>
    <w:rsid w:val="0087682C"/>
    <w:rsid w:val="00880FF7"/>
    <w:rsid w:val="00882332"/>
    <w:rsid w:val="0088312B"/>
    <w:rsid w:val="00883E31"/>
    <w:rsid w:val="008848F2"/>
    <w:rsid w:val="00886482"/>
    <w:rsid w:val="00890185"/>
    <w:rsid w:val="008907A9"/>
    <w:rsid w:val="00893EB0"/>
    <w:rsid w:val="008951EC"/>
    <w:rsid w:val="00895CE3"/>
    <w:rsid w:val="008970D3"/>
    <w:rsid w:val="008972EF"/>
    <w:rsid w:val="008A5C69"/>
    <w:rsid w:val="008A67C5"/>
    <w:rsid w:val="008A720E"/>
    <w:rsid w:val="008B5C9E"/>
    <w:rsid w:val="008B620E"/>
    <w:rsid w:val="008C083A"/>
    <w:rsid w:val="008C0CF7"/>
    <w:rsid w:val="008C532E"/>
    <w:rsid w:val="008C595E"/>
    <w:rsid w:val="008D03E5"/>
    <w:rsid w:val="008D399F"/>
    <w:rsid w:val="008D50F1"/>
    <w:rsid w:val="008D5A36"/>
    <w:rsid w:val="008D5BA3"/>
    <w:rsid w:val="008D6265"/>
    <w:rsid w:val="008E0CDE"/>
    <w:rsid w:val="008E4B37"/>
    <w:rsid w:val="008F0AE8"/>
    <w:rsid w:val="008F1737"/>
    <w:rsid w:val="008F2DDA"/>
    <w:rsid w:val="008F2EFF"/>
    <w:rsid w:val="008F5016"/>
    <w:rsid w:val="00900E72"/>
    <w:rsid w:val="00901DBE"/>
    <w:rsid w:val="00902A0E"/>
    <w:rsid w:val="00906D6D"/>
    <w:rsid w:val="00910909"/>
    <w:rsid w:val="009112CB"/>
    <w:rsid w:val="0091205C"/>
    <w:rsid w:val="00912C8C"/>
    <w:rsid w:val="009142AD"/>
    <w:rsid w:val="009154F0"/>
    <w:rsid w:val="009200E9"/>
    <w:rsid w:val="009234B1"/>
    <w:rsid w:val="00923626"/>
    <w:rsid w:val="00924347"/>
    <w:rsid w:val="00926A9E"/>
    <w:rsid w:val="00927B31"/>
    <w:rsid w:val="00933B8D"/>
    <w:rsid w:val="00933E51"/>
    <w:rsid w:val="00935229"/>
    <w:rsid w:val="009356E7"/>
    <w:rsid w:val="0094080B"/>
    <w:rsid w:val="009417B9"/>
    <w:rsid w:val="00942432"/>
    <w:rsid w:val="00943AED"/>
    <w:rsid w:val="00944BAA"/>
    <w:rsid w:val="00945B55"/>
    <w:rsid w:val="00945D83"/>
    <w:rsid w:val="00946A57"/>
    <w:rsid w:val="0095060F"/>
    <w:rsid w:val="00952EBA"/>
    <w:rsid w:val="009558B9"/>
    <w:rsid w:val="009572F2"/>
    <w:rsid w:val="009579B3"/>
    <w:rsid w:val="009603F4"/>
    <w:rsid w:val="00962DA3"/>
    <w:rsid w:val="00966751"/>
    <w:rsid w:val="00966A2A"/>
    <w:rsid w:val="00977A41"/>
    <w:rsid w:val="009817AD"/>
    <w:rsid w:val="009834C8"/>
    <w:rsid w:val="00983F65"/>
    <w:rsid w:val="00986068"/>
    <w:rsid w:val="0098745D"/>
    <w:rsid w:val="00987BE2"/>
    <w:rsid w:val="00994E18"/>
    <w:rsid w:val="009956DE"/>
    <w:rsid w:val="009A1002"/>
    <w:rsid w:val="009A122F"/>
    <w:rsid w:val="009A293C"/>
    <w:rsid w:val="009A6C54"/>
    <w:rsid w:val="009A6DE4"/>
    <w:rsid w:val="009A71BF"/>
    <w:rsid w:val="009B1FAA"/>
    <w:rsid w:val="009B2D3B"/>
    <w:rsid w:val="009B41E2"/>
    <w:rsid w:val="009B4656"/>
    <w:rsid w:val="009C09AE"/>
    <w:rsid w:val="009C14BD"/>
    <w:rsid w:val="009C18B4"/>
    <w:rsid w:val="009C4155"/>
    <w:rsid w:val="009C4442"/>
    <w:rsid w:val="009C67FE"/>
    <w:rsid w:val="009C6C11"/>
    <w:rsid w:val="009C73D0"/>
    <w:rsid w:val="009C7497"/>
    <w:rsid w:val="009C7C13"/>
    <w:rsid w:val="009D64F3"/>
    <w:rsid w:val="009E1953"/>
    <w:rsid w:val="009E1DFB"/>
    <w:rsid w:val="009E269B"/>
    <w:rsid w:val="009E51D5"/>
    <w:rsid w:val="009F2ABD"/>
    <w:rsid w:val="009F2CEA"/>
    <w:rsid w:val="009F5E61"/>
    <w:rsid w:val="009F7031"/>
    <w:rsid w:val="009F730B"/>
    <w:rsid w:val="00A00AC8"/>
    <w:rsid w:val="00A02FC9"/>
    <w:rsid w:val="00A070D1"/>
    <w:rsid w:val="00A11010"/>
    <w:rsid w:val="00A1566D"/>
    <w:rsid w:val="00A1720D"/>
    <w:rsid w:val="00A20C50"/>
    <w:rsid w:val="00A24D31"/>
    <w:rsid w:val="00A24F9B"/>
    <w:rsid w:val="00A26309"/>
    <w:rsid w:val="00A2783B"/>
    <w:rsid w:val="00A303A8"/>
    <w:rsid w:val="00A3081D"/>
    <w:rsid w:val="00A3139A"/>
    <w:rsid w:val="00A31921"/>
    <w:rsid w:val="00A31FA5"/>
    <w:rsid w:val="00A32244"/>
    <w:rsid w:val="00A324F1"/>
    <w:rsid w:val="00A33ACC"/>
    <w:rsid w:val="00A343D1"/>
    <w:rsid w:val="00A370F4"/>
    <w:rsid w:val="00A40EB7"/>
    <w:rsid w:val="00A416D0"/>
    <w:rsid w:val="00A41C95"/>
    <w:rsid w:val="00A431B8"/>
    <w:rsid w:val="00A4470B"/>
    <w:rsid w:val="00A46AF8"/>
    <w:rsid w:val="00A47E62"/>
    <w:rsid w:val="00A52F26"/>
    <w:rsid w:val="00A5602B"/>
    <w:rsid w:val="00A61072"/>
    <w:rsid w:val="00A64A33"/>
    <w:rsid w:val="00A64F5A"/>
    <w:rsid w:val="00A65F36"/>
    <w:rsid w:val="00A663E9"/>
    <w:rsid w:val="00A70F71"/>
    <w:rsid w:val="00A72059"/>
    <w:rsid w:val="00A76529"/>
    <w:rsid w:val="00A77F0C"/>
    <w:rsid w:val="00A81603"/>
    <w:rsid w:val="00A8440B"/>
    <w:rsid w:val="00A846C2"/>
    <w:rsid w:val="00A84CAF"/>
    <w:rsid w:val="00A85F77"/>
    <w:rsid w:val="00A868A7"/>
    <w:rsid w:val="00A9488A"/>
    <w:rsid w:val="00AA3F8D"/>
    <w:rsid w:val="00AA43E3"/>
    <w:rsid w:val="00AA45E0"/>
    <w:rsid w:val="00AA5A13"/>
    <w:rsid w:val="00AA76DE"/>
    <w:rsid w:val="00AA7D02"/>
    <w:rsid w:val="00AA7DE3"/>
    <w:rsid w:val="00AB007E"/>
    <w:rsid w:val="00AB044B"/>
    <w:rsid w:val="00AB1C57"/>
    <w:rsid w:val="00AB3226"/>
    <w:rsid w:val="00AB4273"/>
    <w:rsid w:val="00AB7FB8"/>
    <w:rsid w:val="00AC1195"/>
    <w:rsid w:val="00AC303B"/>
    <w:rsid w:val="00AC504A"/>
    <w:rsid w:val="00AC51E3"/>
    <w:rsid w:val="00AD02CD"/>
    <w:rsid w:val="00AD1F55"/>
    <w:rsid w:val="00AD34CD"/>
    <w:rsid w:val="00AD4E67"/>
    <w:rsid w:val="00AD58A3"/>
    <w:rsid w:val="00AE2FCB"/>
    <w:rsid w:val="00AE41CA"/>
    <w:rsid w:val="00AE42CB"/>
    <w:rsid w:val="00AE42FD"/>
    <w:rsid w:val="00AE6D06"/>
    <w:rsid w:val="00AF19F7"/>
    <w:rsid w:val="00AF2ED3"/>
    <w:rsid w:val="00AF308B"/>
    <w:rsid w:val="00AF34CE"/>
    <w:rsid w:val="00AF4B1F"/>
    <w:rsid w:val="00AF5673"/>
    <w:rsid w:val="00AF57B3"/>
    <w:rsid w:val="00AF58E4"/>
    <w:rsid w:val="00B00514"/>
    <w:rsid w:val="00B02A00"/>
    <w:rsid w:val="00B04E24"/>
    <w:rsid w:val="00B069ED"/>
    <w:rsid w:val="00B10293"/>
    <w:rsid w:val="00B11B58"/>
    <w:rsid w:val="00B122D1"/>
    <w:rsid w:val="00B16307"/>
    <w:rsid w:val="00B17046"/>
    <w:rsid w:val="00B204A0"/>
    <w:rsid w:val="00B20ABA"/>
    <w:rsid w:val="00B21B63"/>
    <w:rsid w:val="00B22DFC"/>
    <w:rsid w:val="00B22F8B"/>
    <w:rsid w:val="00B23A49"/>
    <w:rsid w:val="00B32EFB"/>
    <w:rsid w:val="00B32FEB"/>
    <w:rsid w:val="00B3305C"/>
    <w:rsid w:val="00B33381"/>
    <w:rsid w:val="00B357D0"/>
    <w:rsid w:val="00B35DAD"/>
    <w:rsid w:val="00B363C9"/>
    <w:rsid w:val="00B36EE1"/>
    <w:rsid w:val="00B37EBC"/>
    <w:rsid w:val="00B40704"/>
    <w:rsid w:val="00B40E12"/>
    <w:rsid w:val="00B411EA"/>
    <w:rsid w:val="00B414C2"/>
    <w:rsid w:val="00B505CC"/>
    <w:rsid w:val="00B511CD"/>
    <w:rsid w:val="00B51684"/>
    <w:rsid w:val="00B51F1D"/>
    <w:rsid w:val="00B52C8B"/>
    <w:rsid w:val="00B545E1"/>
    <w:rsid w:val="00B56384"/>
    <w:rsid w:val="00B57229"/>
    <w:rsid w:val="00B617B8"/>
    <w:rsid w:val="00B64280"/>
    <w:rsid w:val="00B73BD6"/>
    <w:rsid w:val="00B7518C"/>
    <w:rsid w:val="00B75B97"/>
    <w:rsid w:val="00B77E2E"/>
    <w:rsid w:val="00B81017"/>
    <w:rsid w:val="00B85D52"/>
    <w:rsid w:val="00B86805"/>
    <w:rsid w:val="00B8791D"/>
    <w:rsid w:val="00B87A3A"/>
    <w:rsid w:val="00B959CC"/>
    <w:rsid w:val="00B95F8C"/>
    <w:rsid w:val="00B972C0"/>
    <w:rsid w:val="00BA12A2"/>
    <w:rsid w:val="00BA13EB"/>
    <w:rsid w:val="00BA1DEC"/>
    <w:rsid w:val="00BA4259"/>
    <w:rsid w:val="00BA505F"/>
    <w:rsid w:val="00BB2564"/>
    <w:rsid w:val="00BB30A7"/>
    <w:rsid w:val="00BB3333"/>
    <w:rsid w:val="00BB6A8E"/>
    <w:rsid w:val="00BC0715"/>
    <w:rsid w:val="00BC0E4F"/>
    <w:rsid w:val="00BC4025"/>
    <w:rsid w:val="00BC407E"/>
    <w:rsid w:val="00BC4DC7"/>
    <w:rsid w:val="00BC6592"/>
    <w:rsid w:val="00BD0480"/>
    <w:rsid w:val="00BD4871"/>
    <w:rsid w:val="00BD577A"/>
    <w:rsid w:val="00BD6B72"/>
    <w:rsid w:val="00BE400F"/>
    <w:rsid w:val="00BE4E8C"/>
    <w:rsid w:val="00BE58AA"/>
    <w:rsid w:val="00BE613C"/>
    <w:rsid w:val="00BE6907"/>
    <w:rsid w:val="00BE7072"/>
    <w:rsid w:val="00BF446E"/>
    <w:rsid w:val="00BF69C4"/>
    <w:rsid w:val="00C02A71"/>
    <w:rsid w:val="00C0612D"/>
    <w:rsid w:val="00C0728E"/>
    <w:rsid w:val="00C13A31"/>
    <w:rsid w:val="00C14F60"/>
    <w:rsid w:val="00C15220"/>
    <w:rsid w:val="00C15D5B"/>
    <w:rsid w:val="00C17991"/>
    <w:rsid w:val="00C22AB6"/>
    <w:rsid w:val="00C26A80"/>
    <w:rsid w:val="00C30CDE"/>
    <w:rsid w:val="00C36F0E"/>
    <w:rsid w:val="00C37881"/>
    <w:rsid w:val="00C40825"/>
    <w:rsid w:val="00C41CE7"/>
    <w:rsid w:val="00C43BE8"/>
    <w:rsid w:val="00C4577D"/>
    <w:rsid w:val="00C45EBA"/>
    <w:rsid w:val="00C5134C"/>
    <w:rsid w:val="00C53B2A"/>
    <w:rsid w:val="00C5439C"/>
    <w:rsid w:val="00C551F3"/>
    <w:rsid w:val="00C554A1"/>
    <w:rsid w:val="00C557BF"/>
    <w:rsid w:val="00C571E4"/>
    <w:rsid w:val="00C6038A"/>
    <w:rsid w:val="00C63989"/>
    <w:rsid w:val="00C63AC1"/>
    <w:rsid w:val="00C663EE"/>
    <w:rsid w:val="00C66E87"/>
    <w:rsid w:val="00C706C9"/>
    <w:rsid w:val="00C737B4"/>
    <w:rsid w:val="00C73984"/>
    <w:rsid w:val="00C7456D"/>
    <w:rsid w:val="00C75C6C"/>
    <w:rsid w:val="00C76E08"/>
    <w:rsid w:val="00C77A7B"/>
    <w:rsid w:val="00C77FC8"/>
    <w:rsid w:val="00C805ED"/>
    <w:rsid w:val="00C825BF"/>
    <w:rsid w:val="00C8277C"/>
    <w:rsid w:val="00C8286A"/>
    <w:rsid w:val="00C83BB2"/>
    <w:rsid w:val="00C846A4"/>
    <w:rsid w:val="00C87313"/>
    <w:rsid w:val="00C90913"/>
    <w:rsid w:val="00C90CAB"/>
    <w:rsid w:val="00C9132B"/>
    <w:rsid w:val="00C92D6D"/>
    <w:rsid w:val="00C94497"/>
    <w:rsid w:val="00C9486B"/>
    <w:rsid w:val="00C94EB5"/>
    <w:rsid w:val="00CA00ED"/>
    <w:rsid w:val="00CA5F6B"/>
    <w:rsid w:val="00CB088C"/>
    <w:rsid w:val="00CB1A6F"/>
    <w:rsid w:val="00CB42AE"/>
    <w:rsid w:val="00CB7AE2"/>
    <w:rsid w:val="00CC09EA"/>
    <w:rsid w:val="00CC0F89"/>
    <w:rsid w:val="00CC4EAA"/>
    <w:rsid w:val="00CC5161"/>
    <w:rsid w:val="00CC626B"/>
    <w:rsid w:val="00CC6332"/>
    <w:rsid w:val="00CC6F42"/>
    <w:rsid w:val="00CD024E"/>
    <w:rsid w:val="00CD0265"/>
    <w:rsid w:val="00CD1E89"/>
    <w:rsid w:val="00CD266A"/>
    <w:rsid w:val="00CD38E8"/>
    <w:rsid w:val="00CD3F84"/>
    <w:rsid w:val="00CD47EF"/>
    <w:rsid w:val="00CD6DD1"/>
    <w:rsid w:val="00CD72E3"/>
    <w:rsid w:val="00CE0C88"/>
    <w:rsid w:val="00CE0DE9"/>
    <w:rsid w:val="00CE24B7"/>
    <w:rsid w:val="00CE6E03"/>
    <w:rsid w:val="00CF0050"/>
    <w:rsid w:val="00CF066C"/>
    <w:rsid w:val="00CF1808"/>
    <w:rsid w:val="00CF1E7C"/>
    <w:rsid w:val="00CF259C"/>
    <w:rsid w:val="00CF29D1"/>
    <w:rsid w:val="00CF4959"/>
    <w:rsid w:val="00CF55FF"/>
    <w:rsid w:val="00D00FAE"/>
    <w:rsid w:val="00D01B89"/>
    <w:rsid w:val="00D054A4"/>
    <w:rsid w:val="00D10FDF"/>
    <w:rsid w:val="00D159D2"/>
    <w:rsid w:val="00D162AD"/>
    <w:rsid w:val="00D16C50"/>
    <w:rsid w:val="00D177E7"/>
    <w:rsid w:val="00D17F99"/>
    <w:rsid w:val="00D2139F"/>
    <w:rsid w:val="00D24355"/>
    <w:rsid w:val="00D25282"/>
    <w:rsid w:val="00D324F9"/>
    <w:rsid w:val="00D33456"/>
    <w:rsid w:val="00D34AA8"/>
    <w:rsid w:val="00D37CAA"/>
    <w:rsid w:val="00D40F5F"/>
    <w:rsid w:val="00D417E3"/>
    <w:rsid w:val="00D42091"/>
    <w:rsid w:val="00D440DA"/>
    <w:rsid w:val="00D449F6"/>
    <w:rsid w:val="00D46A16"/>
    <w:rsid w:val="00D472ED"/>
    <w:rsid w:val="00D51C97"/>
    <w:rsid w:val="00D522B5"/>
    <w:rsid w:val="00D56188"/>
    <w:rsid w:val="00D5791E"/>
    <w:rsid w:val="00D60F97"/>
    <w:rsid w:val="00D65F97"/>
    <w:rsid w:val="00D6613E"/>
    <w:rsid w:val="00D67607"/>
    <w:rsid w:val="00D67C49"/>
    <w:rsid w:val="00D71023"/>
    <w:rsid w:val="00D73C88"/>
    <w:rsid w:val="00D74D52"/>
    <w:rsid w:val="00D764F4"/>
    <w:rsid w:val="00D80A28"/>
    <w:rsid w:val="00D81BB1"/>
    <w:rsid w:val="00D84518"/>
    <w:rsid w:val="00D84B9F"/>
    <w:rsid w:val="00D86347"/>
    <w:rsid w:val="00D916CF"/>
    <w:rsid w:val="00D9286A"/>
    <w:rsid w:val="00D9750A"/>
    <w:rsid w:val="00DA1033"/>
    <w:rsid w:val="00DA1091"/>
    <w:rsid w:val="00DA1262"/>
    <w:rsid w:val="00DA194B"/>
    <w:rsid w:val="00DA5F5A"/>
    <w:rsid w:val="00DA60A6"/>
    <w:rsid w:val="00DA6721"/>
    <w:rsid w:val="00DA6CE7"/>
    <w:rsid w:val="00DA7D00"/>
    <w:rsid w:val="00DA7F79"/>
    <w:rsid w:val="00DB0D87"/>
    <w:rsid w:val="00DB1A3E"/>
    <w:rsid w:val="00DB6663"/>
    <w:rsid w:val="00DC33CC"/>
    <w:rsid w:val="00DC3A96"/>
    <w:rsid w:val="00DD0CE2"/>
    <w:rsid w:val="00DD288E"/>
    <w:rsid w:val="00DD2A5F"/>
    <w:rsid w:val="00DD77F7"/>
    <w:rsid w:val="00DE083B"/>
    <w:rsid w:val="00DE4CB2"/>
    <w:rsid w:val="00DF0586"/>
    <w:rsid w:val="00DF3E9C"/>
    <w:rsid w:val="00DF5DE1"/>
    <w:rsid w:val="00DF5FA3"/>
    <w:rsid w:val="00E00993"/>
    <w:rsid w:val="00E02934"/>
    <w:rsid w:val="00E02A91"/>
    <w:rsid w:val="00E056FA"/>
    <w:rsid w:val="00E10207"/>
    <w:rsid w:val="00E14AEF"/>
    <w:rsid w:val="00E168EA"/>
    <w:rsid w:val="00E16BC3"/>
    <w:rsid w:val="00E1736E"/>
    <w:rsid w:val="00E22F87"/>
    <w:rsid w:val="00E238CF"/>
    <w:rsid w:val="00E253DF"/>
    <w:rsid w:val="00E3142D"/>
    <w:rsid w:val="00E35D8A"/>
    <w:rsid w:val="00E3741D"/>
    <w:rsid w:val="00E430A2"/>
    <w:rsid w:val="00E44AD6"/>
    <w:rsid w:val="00E46AE9"/>
    <w:rsid w:val="00E55D8A"/>
    <w:rsid w:val="00E6060C"/>
    <w:rsid w:val="00E60A55"/>
    <w:rsid w:val="00E60A6E"/>
    <w:rsid w:val="00E63959"/>
    <w:rsid w:val="00E6448C"/>
    <w:rsid w:val="00E6486F"/>
    <w:rsid w:val="00E66B21"/>
    <w:rsid w:val="00E71275"/>
    <w:rsid w:val="00E74214"/>
    <w:rsid w:val="00E80ACA"/>
    <w:rsid w:val="00E87552"/>
    <w:rsid w:val="00E925F1"/>
    <w:rsid w:val="00E96C32"/>
    <w:rsid w:val="00E96C51"/>
    <w:rsid w:val="00EA0FB7"/>
    <w:rsid w:val="00EA40EB"/>
    <w:rsid w:val="00EA4560"/>
    <w:rsid w:val="00EA475E"/>
    <w:rsid w:val="00EB029B"/>
    <w:rsid w:val="00EB0AFC"/>
    <w:rsid w:val="00EB1134"/>
    <w:rsid w:val="00EB1543"/>
    <w:rsid w:val="00EB1987"/>
    <w:rsid w:val="00EB7C53"/>
    <w:rsid w:val="00EC06A7"/>
    <w:rsid w:val="00EC0E25"/>
    <w:rsid w:val="00EC12C6"/>
    <w:rsid w:val="00EC1733"/>
    <w:rsid w:val="00EC2A06"/>
    <w:rsid w:val="00EC598D"/>
    <w:rsid w:val="00EC659D"/>
    <w:rsid w:val="00ED138B"/>
    <w:rsid w:val="00ED406A"/>
    <w:rsid w:val="00ED5B8F"/>
    <w:rsid w:val="00ED6C8E"/>
    <w:rsid w:val="00ED7D11"/>
    <w:rsid w:val="00EE0668"/>
    <w:rsid w:val="00EE17B9"/>
    <w:rsid w:val="00EE1A47"/>
    <w:rsid w:val="00EE6E5B"/>
    <w:rsid w:val="00EE7054"/>
    <w:rsid w:val="00EF25B1"/>
    <w:rsid w:val="00EF2CB6"/>
    <w:rsid w:val="00EF53FC"/>
    <w:rsid w:val="00F0006C"/>
    <w:rsid w:val="00F01EE4"/>
    <w:rsid w:val="00F027CA"/>
    <w:rsid w:val="00F06418"/>
    <w:rsid w:val="00F1292E"/>
    <w:rsid w:val="00F14EDC"/>
    <w:rsid w:val="00F174C6"/>
    <w:rsid w:val="00F22816"/>
    <w:rsid w:val="00F22A66"/>
    <w:rsid w:val="00F22F8B"/>
    <w:rsid w:val="00F2377C"/>
    <w:rsid w:val="00F26F01"/>
    <w:rsid w:val="00F27023"/>
    <w:rsid w:val="00F3411E"/>
    <w:rsid w:val="00F350F6"/>
    <w:rsid w:val="00F36871"/>
    <w:rsid w:val="00F36E86"/>
    <w:rsid w:val="00F43A2F"/>
    <w:rsid w:val="00F444D6"/>
    <w:rsid w:val="00F454A8"/>
    <w:rsid w:val="00F46330"/>
    <w:rsid w:val="00F51588"/>
    <w:rsid w:val="00F51F37"/>
    <w:rsid w:val="00F528DE"/>
    <w:rsid w:val="00F541D6"/>
    <w:rsid w:val="00F5478C"/>
    <w:rsid w:val="00F556AD"/>
    <w:rsid w:val="00F56962"/>
    <w:rsid w:val="00F56EC0"/>
    <w:rsid w:val="00F608EC"/>
    <w:rsid w:val="00F61B40"/>
    <w:rsid w:val="00F62B36"/>
    <w:rsid w:val="00F64CBE"/>
    <w:rsid w:val="00F6527F"/>
    <w:rsid w:val="00F72535"/>
    <w:rsid w:val="00F74B23"/>
    <w:rsid w:val="00F76CE3"/>
    <w:rsid w:val="00F77893"/>
    <w:rsid w:val="00F81147"/>
    <w:rsid w:val="00F827DB"/>
    <w:rsid w:val="00F8781F"/>
    <w:rsid w:val="00F87858"/>
    <w:rsid w:val="00F87C9F"/>
    <w:rsid w:val="00F87F55"/>
    <w:rsid w:val="00F938DD"/>
    <w:rsid w:val="00F94A58"/>
    <w:rsid w:val="00FA7153"/>
    <w:rsid w:val="00FA7F26"/>
    <w:rsid w:val="00FB1FF7"/>
    <w:rsid w:val="00FB2E33"/>
    <w:rsid w:val="00FB4B8F"/>
    <w:rsid w:val="00FB635A"/>
    <w:rsid w:val="00FB7418"/>
    <w:rsid w:val="00FB74B5"/>
    <w:rsid w:val="00FC111A"/>
    <w:rsid w:val="00FC2624"/>
    <w:rsid w:val="00FC283B"/>
    <w:rsid w:val="00FC37AB"/>
    <w:rsid w:val="00FD06A6"/>
    <w:rsid w:val="00FD4956"/>
    <w:rsid w:val="00FD7271"/>
    <w:rsid w:val="00FE3070"/>
    <w:rsid w:val="00FE374C"/>
    <w:rsid w:val="00FE5D17"/>
    <w:rsid w:val="00FF0B05"/>
    <w:rsid w:val="00FF0B52"/>
    <w:rsid w:val="00FF293F"/>
    <w:rsid w:val="00FF4912"/>
    <w:rsid w:val="00FF7846"/>
    <w:rsid w:val="00FF7DA9"/>
    <w:rsid w:val="1BFF4B62"/>
    <w:rsid w:val="24295D63"/>
    <w:rsid w:val="2DF85D48"/>
    <w:rsid w:val="37FE4E28"/>
    <w:rsid w:val="5BFE0932"/>
    <w:rsid w:val="5D0E7D03"/>
    <w:rsid w:val="5DDF4629"/>
    <w:rsid w:val="5F942566"/>
    <w:rsid w:val="75FFA811"/>
    <w:rsid w:val="777F4602"/>
    <w:rsid w:val="7F007319"/>
    <w:rsid w:val="7F754798"/>
    <w:rsid w:val="7FD21C90"/>
    <w:rsid w:val="CDCF4D54"/>
    <w:rsid w:val="DF7F8E3F"/>
    <w:rsid w:val="F56FC8C4"/>
    <w:rsid w:val="FE47B637"/>
    <w:rsid w:val="FF349FD3"/>
    <w:rsid w:val="FF6E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36"/>
    <w:qFormat/>
    <w:uiPriority w:val="9"/>
    <w:pPr>
      <w:numPr>
        <w:ilvl w:val="0"/>
        <w:numId w:val="1"/>
      </w:numPr>
      <w:ind w:firstLine="0" w:firstLineChars="0"/>
      <w:outlineLvl w:val="0"/>
    </w:pPr>
    <w:rPr>
      <w:rFonts w:eastAsia="黑体"/>
      <w:bCs/>
      <w:kern w:val="44"/>
      <w:sz w:val="44"/>
      <w:szCs w:val="44"/>
    </w:rPr>
  </w:style>
  <w:style w:type="paragraph" w:styleId="3">
    <w:name w:val="heading 2"/>
    <w:basedOn w:val="1"/>
    <w:next w:val="1"/>
    <w:link w:val="37"/>
    <w:unhideWhenUsed/>
    <w:qFormat/>
    <w:uiPriority w:val="9"/>
    <w:pPr>
      <w:numPr>
        <w:ilvl w:val="1"/>
        <w:numId w:val="1"/>
      </w:numPr>
      <w:ind w:firstLine="0" w:firstLineChars="0"/>
      <w:outlineLvl w:val="1"/>
    </w:pPr>
    <w:rPr>
      <w:rFonts w:eastAsia="楷体_GB2312" w:asciiTheme="majorHAnsi" w:hAnsiTheme="majorHAnsi" w:cstheme="majorBidi"/>
      <w:bCs/>
      <w:sz w:val="36"/>
      <w:szCs w:val="32"/>
    </w:rPr>
  </w:style>
  <w:style w:type="paragraph" w:styleId="4">
    <w:name w:val="heading 3"/>
    <w:basedOn w:val="1"/>
    <w:next w:val="1"/>
    <w:link w:val="38"/>
    <w:unhideWhenUsed/>
    <w:qFormat/>
    <w:uiPriority w:val="9"/>
    <w:pPr>
      <w:numPr>
        <w:ilvl w:val="2"/>
        <w:numId w:val="1"/>
      </w:numPr>
      <w:ind w:left="0" w:firstLine="200"/>
      <w:outlineLvl w:val="2"/>
    </w:pPr>
    <w:rPr>
      <w:b/>
      <w:bCs/>
      <w:szCs w:val="32"/>
    </w:rPr>
  </w:style>
  <w:style w:type="paragraph" w:styleId="5">
    <w:name w:val="heading 4"/>
    <w:basedOn w:val="1"/>
    <w:next w:val="1"/>
    <w:link w:val="3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0"/>
    <w:unhideWhenUsed/>
    <w:qFormat/>
    <w:uiPriority w:val="9"/>
    <w:pPr>
      <w:keepNext/>
      <w:keepLines/>
      <w:spacing w:before="280" w:after="290" w:line="376" w:lineRule="auto"/>
      <w:outlineLvl w:val="4"/>
    </w:pPr>
    <w:rPr>
      <w:rFonts w:ascii="仿宋_GB2312" w:hAnsi="等线" w:cs="Times New Roman"/>
      <w:b/>
      <w:bCs/>
      <w:sz w:val="28"/>
      <w:szCs w:val="28"/>
    </w:rPr>
  </w:style>
  <w:style w:type="paragraph" w:styleId="7">
    <w:name w:val="heading 6"/>
    <w:basedOn w:val="1"/>
    <w:next w:val="1"/>
    <w:link w:val="41"/>
    <w:unhideWhenUsed/>
    <w:qFormat/>
    <w:uiPriority w:val="9"/>
    <w:pPr>
      <w:keepNext/>
      <w:keepLines/>
      <w:tabs>
        <w:tab w:val="left" w:pos="360"/>
      </w:tabs>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2"/>
    <w:unhideWhenUsed/>
    <w:qFormat/>
    <w:uiPriority w:val="9"/>
    <w:pPr>
      <w:keepNext/>
      <w:keepLines/>
      <w:tabs>
        <w:tab w:val="left" w:pos="360"/>
      </w:tabs>
      <w:spacing w:before="240" w:after="64" w:line="320" w:lineRule="auto"/>
      <w:outlineLvl w:val="6"/>
    </w:pPr>
    <w:rPr>
      <w:rFonts w:ascii="仿宋_GB2312" w:hAnsi="等线" w:cs="Times New Roman"/>
      <w:b/>
      <w:bCs/>
      <w:szCs w:val="24"/>
    </w:rPr>
  </w:style>
  <w:style w:type="paragraph" w:styleId="9">
    <w:name w:val="heading 8"/>
    <w:basedOn w:val="1"/>
    <w:next w:val="1"/>
    <w:link w:val="43"/>
    <w:unhideWhenUsed/>
    <w:qFormat/>
    <w:uiPriority w:val="9"/>
    <w:pPr>
      <w:keepNext/>
      <w:keepLines/>
      <w:tabs>
        <w:tab w:val="left" w:pos="360"/>
      </w:tabs>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44"/>
    <w:unhideWhenUsed/>
    <w:qFormat/>
    <w:uiPriority w:val="9"/>
    <w:pPr>
      <w:keepNext/>
      <w:keepLines/>
      <w:spacing w:before="240" w:after="64" w:line="320" w:lineRule="auto"/>
      <w:outlineLvl w:val="8"/>
    </w:pPr>
    <w:rPr>
      <w:rFonts w:asciiTheme="majorHAnsi" w:hAnsiTheme="majorHAnsi" w:eastAsiaTheme="majorEastAsia" w:cstheme="majorBidi"/>
      <w:szCs w:val="28"/>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pPr>
    <w:rPr>
      <w:rFonts w:eastAsiaTheme="minorHAnsi"/>
      <w:sz w:val="18"/>
      <w:szCs w:val="18"/>
    </w:rPr>
  </w:style>
  <w:style w:type="paragraph" w:styleId="12">
    <w:name w:val="Normal Indent"/>
    <w:basedOn w:val="1"/>
    <w:qFormat/>
    <w:uiPriority w:val="0"/>
    <w:pPr>
      <w:ind w:firstLine="420"/>
    </w:pPr>
    <w:rPr>
      <w:rFonts w:ascii="仿宋_GB2312" w:hAnsi="Calibri" w:cs="Times New Roman"/>
      <w:szCs w:val="24"/>
    </w:rPr>
  </w:style>
  <w:style w:type="paragraph" w:styleId="13">
    <w:name w:val="caption"/>
    <w:basedOn w:val="1"/>
    <w:next w:val="1"/>
    <w:link w:val="55"/>
    <w:qFormat/>
    <w:uiPriority w:val="0"/>
    <w:pPr>
      <w:spacing w:line="240" w:lineRule="auto"/>
      <w:jc w:val="center"/>
    </w:pPr>
    <w:rPr>
      <w:rFonts w:ascii="黑体" w:hAnsi="黑体" w:eastAsia="黑体"/>
      <w:sz w:val="21"/>
      <w:szCs w:val="24"/>
    </w:rPr>
  </w:style>
  <w:style w:type="paragraph" w:styleId="14">
    <w:name w:val="annotation text"/>
    <w:basedOn w:val="1"/>
    <w:link w:val="56"/>
    <w:unhideWhenUsed/>
    <w:qFormat/>
    <w:uiPriority w:val="99"/>
    <w:pPr>
      <w:spacing w:line="240" w:lineRule="auto"/>
      <w:ind w:firstLine="640"/>
    </w:pPr>
    <w:rPr>
      <w:rFonts w:ascii="仿宋_GB2312" w:hAnsi="仿宋_GB2312" w:cs="Times New Roman"/>
      <w:szCs w:val="28"/>
    </w:rPr>
  </w:style>
  <w:style w:type="paragraph" w:styleId="15">
    <w:name w:val="Body Text"/>
    <w:basedOn w:val="1"/>
    <w:link w:val="68"/>
    <w:unhideWhenUsed/>
    <w:qFormat/>
    <w:uiPriority w:val="1"/>
    <w:pPr>
      <w:spacing w:after="120" w:line="240" w:lineRule="auto"/>
    </w:pPr>
    <w:rPr>
      <w:rFonts w:ascii="等线" w:hAnsi="等线" w:eastAsia="等线" w:cs="Times New Roman"/>
      <w:sz w:val="21"/>
    </w:rPr>
  </w:style>
  <w:style w:type="paragraph" w:styleId="16">
    <w:name w:val="toc 5"/>
    <w:basedOn w:val="1"/>
    <w:next w:val="1"/>
    <w:unhideWhenUsed/>
    <w:qFormat/>
    <w:uiPriority w:val="39"/>
    <w:pPr>
      <w:ind w:left="960"/>
    </w:pPr>
    <w:rPr>
      <w:rFonts w:eastAsiaTheme="minorHAnsi"/>
      <w:sz w:val="18"/>
      <w:szCs w:val="18"/>
    </w:rPr>
  </w:style>
  <w:style w:type="paragraph" w:styleId="17">
    <w:name w:val="toc 3"/>
    <w:basedOn w:val="1"/>
    <w:next w:val="1"/>
    <w:unhideWhenUsed/>
    <w:qFormat/>
    <w:uiPriority w:val="39"/>
    <w:pPr>
      <w:ind w:left="480"/>
    </w:pPr>
    <w:rPr>
      <w:rFonts w:eastAsiaTheme="minorHAnsi"/>
      <w:i/>
      <w:iCs/>
      <w:sz w:val="20"/>
      <w:szCs w:val="20"/>
    </w:rPr>
  </w:style>
  <w:style w:type="paragraph" w:styleId="18">
    <w:name w:val="toc 8"/>
    <w:basedOn w:val="1"/>
    <w:next w:val="1"/>
    <w:unhideWhenUsed/>
    <w:qFormat/>
    <w:uiPriority w:val="39"/>
    <w:pPr>
      <w:ind w:left="1680"/>
    </w:pPr>
    <w:rPr>
      <w:rFonts w:eastAsiaTheme="minorHAnsi"/>
      <w:sz w:val="18"/>
      <w:szCs w:val="18"/>
    </w:rPr>
  </w:style>
  <w:style w:type="paragraph" w:styleId="19">
    <w:name w:val="Date"/>
    <w:basedOn w:val="1"/>
    <w:next w:val="1"/>
    <w:link w:val="45"/>
    <w:unhideWhenUsed/>
    <w:qFormat/>
    <w:uiPriority w:val="99"/>
    <w:pPr>
      <w:ind w:left="100" w:leftChars="2500"/>
    </w:pPr>
  </w:style>
  <w:style w:type="paragraph" w:styleId="20">
    <w:name w:val="Balloon Text"/>
    <w:basedOn w:val="1"/>
    <w:link w:val="61"/>
    <w:semiHidden/>
    <w:unhideWhenUsed/>
    <w:qFormat/>
    <w:uiPriority w:val="99"/>
    <w:pPr>
      <w:spacing w:line="240" w:lineRule="auto"/>
    </w:pPr>
    <w:rPr>
      <w:sz w:val="18"/>
      <w:szCs w:val="18"/>
    </w:rPr>
  </w:style>
  <w:style w:type="paragraph" w:styleId="21">
    <w:name w:val="footer"/>
    <w:basedOn w:val="1"/>
    <w:link w:val="47"/>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296"/>
      </w:tabs>
      <w:spacing w:before="120" w:after="120"/>
    </w:pPr>
    <w:rPr>
      <w:rFonts w:ascii="楷体_GB2312" w:hAnsi="楷体_GB2312" w:eastAsia="黑体"/>
      <w:b/>
      <w:bCs/>
      <w:caps/>
      <w:szCs w:val="32"/>
    </w:rPr>
  </w:style>
  <w:style w:type="paragraph" w:styleId="24">
    <w:name w:val="toc 4"/>
    <w:basedOn w:val="1"/>
    <w:next w:val="1"/>
    <w:unhideWhenUsed/>
    <w:qFormat/>
    <w:uiPriority w:val="39"/>
    <w:pPr>
      <w:ind w:left="720"/>
    </w:pPr>
    <w:rPr>
      <w:rFonts w:eastAsiaTheme="minorHAnsi"/>
      <w:sz w:val="18"/>
      <w:szCs w:val="18"/>
    </w:rPr>
  </w:style>
  <w:style w:type="paragraph" w:styleId="25">
    <w:name w:val="footnote text"/>
    <w:basedOn w:val="1"/>
    <w:link w:val="62"/>
    <w:unhideWhenUsed/>
    <w:qFormat/>
    <w:uiPriority w:val="99"/>
    <w:pPr>
      <w:snapToGrid w:val="0"/>
      <w:ind w:firstLine="640"/>
    </w:pPr>
    <w:rPr>
      <w:rFonts w:ascii="仿宋_GB2312" w:hAnsi="仿宋_GB2312" w:cs="Times New Roman"/>
      <w:sz w:val="18"/>
      <w:szCs w:val="28"/>
    </w:rPr>
  </w:style>
  <w:style w:type="paragraph" w:styleId="26">
    <w:name w:val="toc 6"/>
    <w:basedOn w:val="1"/>
    <w:next w:val="1"/>
    <w:unhideWhenUsed/>
    <w:qFormat/>
    <w:uiPriority w:val="39"/>
    <w:pPr>
      <w:ind w:left="1200"/>
    </w:pPr>
    <w:rPr>
      <w:rFonts w:eastAsiaTheme="minorHAnsi"/>
      <w:sz w:val="18"/>
      <w:szCs w:val="18"/>
    </w:rPr>
  </w:style>
  <w:style w:type="paragraph" w:styleId="27">
    <w:name w:val="toc 2"/>
    <w:basedOn w:val="1"/>
    <w:next w:val="1"/>
    <w:unhideWhenUsed/>
    <w:qFormat/>
    <w:uiPriority w:val="39"/>
    <w:pPr>
      <w:tabs>
        <w:tab w:val="left" w:pos="960"/>
        <w:tab w:val="right" w:leader="dot" w:pos="8296"/>
      </w:tabs>
      <w:ind w:left="240"/>
    </w:pPr>
    <w:rPr>
      <w:rFonts w:ascii="楷体_GB2312" w:eastAsia="楷体_GB2312"/>
      <w:smallCaps/>
      <w:szCs w:val="32"/>
    </w:rPr>
  </w:style>
  <w:style w:type="paragraph" w:styleId="28">
    <w:name w:val="toc 9"/>
    <w:basedOn w:val="1"/>
    <w:next w:val="1"/>
    <w:unhideWhenUsed/>
    <w:qFormat/>
    <w:uiPriority w:val="39"/>
    <w:pPr>
      <w:ind w:left="1920"/>
    </w:pPr>
    <w:rPr>
      <w:rFonts w:eastAsiaTheme="minorHAnsi"/>
      <w:sz w:val="18"/>
      <w:szCs w:val="18"/>
    </w:rPr>
  </w:style>
  <w:style w:type="paragraph" w:styleId="29">
    <w:name w:val="annotation subject"/>
    <w:basedOn w:val="14"/>
    <w:next w:val="14"/>
    <w:link w:val="57"/>
    <w:unhideWhenUsed/>
    <w:qFormat/>
    <w:uiPriority w:val="99"/>
    <w:pPr>
      <w:widowControl/>
      <w:spacing w:line="560" w:lineRule="exact"/>
      <w:ind w:firstLine="0" w:firstLineChars="0"/>
    </w:pPr>
    <w:rPr>
      <w:rFonts w:eastAsia="微软雅黑" w:asciiTheme="minorHAnsi" w:hAnsiTheme="minorHAnsi" w:cstheme="minorBidi"/>
      <w:b/>
      <w:bCs/>
      <w:sz w:val="24"/>
      <w:szCs w:val="2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mphasis"/>
    <w:basedOn w:val="32"/>
    <w:qFormat/>
    <w:uiPriority w:val="20"/>
    <w:rPr>
      <w:i/>
      <w:iCs/>
    </w:rPr>
  </w:style>
  <w:style w:type="character" w:styleId="34">
    <w:name w:val="Hyperlink"/>
    <w:basedOn w:val="32"/>
    <w:unhideWhenUsed/>
    <w:qFormat/>
    <w:uiPriority w:val="99"/>
    <w:rPr>
      <w:color w:val="0563C1" w:themeColor="hyperlink"/>
      <w:u w:val="single"/>
      <w14:textFill>
        <w14:solidFill>
          <w14:schemeClr w14:val="hlink"/>
        </w14:solidFill>
      </w14:textFill>
    </w:rPr>
  </w:style>
  <w:style w:type="character" w:styleId="35">
    <w:name w:val="annotation reference"/>
    <w:basedOn w:val="32"/>
    <w:unhideWhenUsed/>
    <w:qFormat/>
    <w:uiPriority w:val="99"/>
    <w:rPr>
      <w:sz w:val="21"/>
      <w:szCs w:val="21"/>
    </w:rPr>
  </w:style>
  <w:style w:type="character" w:customStyle="1" w:styleId="36">
    <w:name w:val="标题 1 字符"/>
    <w:basedOn w:val="32"/>
    <w:link w:val="2"/>
    <w:qFormat/>
    <w:uiPriority w:val="9"/>
    <w:rPr>
      <w:rFonts w:ascii="Times New Roman" w:hAnsi="Times New Roman" w:eastAsia="黑体"/>
      <w:bCs/>
      <w:kern w:val="44"/>
      <w:sz w:val="44"/>
      <w:szCs w:val="44"/>
    </w:rPr>
  </w:style>
  <w:style w:type="character" w:customStyle="1" w:styleId="37">
    <w:name w:val="标题 2 字符"/>
    <w:basedOn w:val="32"/>
    <w:link w:val="3"/>
    <w:qFormat/>
    <w:uiPriority w:val="9"/>
    <w:rPr>
      <w:rFonts w:eastAsia="楷体_GB2312" w:asciiTheme="majorHAnsi" w:hAnsiTheme="majorHAnsi" w:cstheme="majorBidi"/>
      <w:bCs/>
      <w:kern w:val="2"/>
      <w:sz w:val="36"/>
      <w:szCs w:val="32"/>
    </w:rPr>
  </w:style>
  <w:style w:type="character" w:customStyle="1" w:styleId="38">
    <w:name w:val="标题 3 字符"/>
    <w:basedOn w:val="32"/>
    <w:link w:val="4"/>
    <w:qFormat/>
    <w:uiPriority w:val="9"/>
    <w:rPr>
      <w:rFonts w:ascii="Times New Roman" w:hAnsi="Times New Roman" w:eastAsia="仿宋_GB2312"/>
      <w:b/>
      <w:bCs/>
      <w:kern w:val="2"/>
      <w:sz w:val="32"/>
      <w:szCs w:val="32"/>
    </w:rPr>
  </w:style>
  <w:style w:type="character" w:customStyle="1" w:styleId="39">
    <w:name w:val="标题 4 字符"/>
    <w:basedOn w:val="32"/>
    <w:link w:val="5"/>
    <w:qFormat/>
    <w:uiPriority w:val="9"/>
    <w:rPr>
      <w:rFonts w:asciiTheme="majorHAnsi" w:hAnsiTheme="majorHAnsi" w:eastAsiaTheme="majorEastAsia" w:cstheme="majorBidi"/>
      <w:b/>
      <w:bCs/>
      <w:kern w:val="2"/>
      <w:sz w:val="28"/>
      <w:szCs w:val="28"/>
    </w:rPr>
  </w:style>
  <w:style w:type="character" w:customStyle="1" w:styleId="40">
    <w:name w:val="标题 5 字符"/>
    <w:basedOn w:val="32"/>
    <w:link w:val="6"/>
    <w:qFormat/>
    <w:uiPriority w:val="9"/>
    <w:rPr>
      <w:rFonts w:ascii="仿宋_GB2312" w:hAnsi="等线" w:eastAsia="仿宋_GB2312" w:cs="Times New Roman"/>
      <w:b/>
      <w:bCs/>
      <w:sz w:val="28"/>
      <w:szCs w:val="28"/>
    </w:rPr>
  </w:style>
  <w:style w:type="character" w:customStyle="1" w:styleId="41">
    <w:name w:val="标题 6 字符"/>
    <w:basedOn w:val="32"/>
    <w:link w:val="7"/>
    <w:qFormat/>
    <w:uiPriority w:val="9"/>
    <w:rPr>
      <w:rFonts w:asciiTheme="majorHAnsi" w:hAnsiTheme="majorHAnsi" w:eastAsiaTheme="majorEastAsia" w:cstheme="majorBidi"/>
      <w:b/>
      <w:bCs/>
      <w:sz w:val="24"/>
      <w:szCs w:val="24"/>
    </w:rPr>
  </w:style>
  <w:style w:type="character" w:customStyle="1" w:styleId="42">
    <w:name w:val="标题 7 字符"/>
    <w:basedOn w:val="32"/>
    <w:link w:val="8"/>
    <w:qFormat/>
    <w:uiPriority w:val="9"/>
    <w:rPr>
      <w:rFonts w:ascii="仿宋_GB2312" w:hAnsi="等线" w:eastAsia="仿宋_GB2312" w:cs="Times New Roman"/>
      <w:b/>
      <w:bCs/>
      <w:sz w:val="24"/>
      <w:szCs w:val="24"/>
    </w:rPr>
  </w:style>
  <w:style w:type="character" w:customStyle="1" w:styleId="43">
    <w:name w:val="标题 8 字符"/>
    <w:basedOn w:val="32"/>
    <w:link w:val="9"/>
    <w:qFormat/>
    <w:uiPriority w:val="9"/>
    <w:rPr>
      <w:rFonts w:asciiTheme="majorHAnsi" w:hAnsiTheme="majorHAnsi" w:eastAsiaTheme="majorEastAsia" w:cstheme="majorBidi"/>
      <w:sz w:val="24"/>
      <w:szCs w:val="24"/>
    </w:rPr>
  </w:style>
  <w:style w:type="character" w:customStyle="1" w:styleId="44">
    <w:name w:val="标题 9 字符"/>
    <w:basedOn w:val="32"/>
    <w:link w:val="10"/>
    <w:qFormat/>
    <w:uiPriority w:val="9"/>
    <w:rPr>
      <w:rFonts w:asciiTheme="majorHAnsi" w:hAnsiTheme="majorHAnsi" w:eastAsiaTheme="majorEastAsia" w:cstheme="majorBidi"/>
      <w:sz w:val="32"/>
      <w:szCs w:val="28"/>
    </w:rPr>
  </w:style>
  <w:style w:type="character" w:customStyle="1" w:styleId="45">
    <w:name w:val="日期 字符"/>
    <w:basedOn w:val="32"/>
    <w:link w:val="19"/>
    <w:semiHidden/>
    <w:qFormat/>
    <w:uiPriority w:val="99"/>
    <w:rPr>
      <w:rFonts w:eastAsia="微软雅黑"/>
      <w:sz w:val="24"/>
    </w:rPr>
  </w:style>
  <w:style w:type="character" w:customStyle="1" w:styleId="46">
    <w:name w:val="页眉 字符"/>
    <w:basedOn w:val="32"/>
    <w:link w:val="22"/>
    <w:qFormat/>
    <w:uiPriority w:val="99"/>
    <w:rPr>
      <w:rFonts w:ascii="Times New Roman" w:hAnsi="Times New Roman" w:eastAsia="仿宋_GB2312"/>
      <w:kern w:val="2"/>
      <w:sz w:val="18"/>
      <w:szCs w:val="18"/>
    </w:rPr>
  </w:style>
  <w:style w:type="character" w:customStyle="1" w:styleId="47">
    <w:name w:val="页脚 字符"/>
    <w:basedOn w:val="32"/>
    <w:link w:val="21"/>
    <w:qFormat/>
    <w:uiPriority w:val="99"/>
    <w:rPr>
      <w:rFonts w:ascii="Times New Roman" w:hAnsi="Times New Roman" w:eastAsia="仿宋_GB2312"/>
      <w:kern w:val="2"/>
      <w:sz w:val="18"/>
      <w:szCs w:val="18"/>
    </w:rPr>
  </w:style>
  <w:style w:type="paragraph" w:customStyle="1" w:styleId="48">
    <w:name w:val="列表段落1"/>
    <w:basedOn w:val="1"/>
    <w:qFormat/>
    <w:uiPriority w:val="34"/>
    <w:pPr>
      <w:ind w:firstLine="420"/>
    </w:pPr>
  </w:style>
  <w:style w:type="character" w:customStyle="1" w:styleId="49">
    <w:name w:val="fontstyle01"/>
    <w:basedOn w:val="32"/>
    <w:qFormat/>
    <w:uiPriority w:val="0"/>
    <w:rPr>
      <w:rFonts w:hint="eastAsia" w:ascii="仿宋_GB2312" w:eastAsia="仿宋_GB2312"/>
      <w:color w:val="000000"/>
      <w:sz w:val="32"/>
      <w:szCs w:val="32"/>
    </w:rPr>
  </w:style>
  <w:style w:type="character" w:customStyle="1" w:styleId="50">
    <w:name w:val="fontstyle21"/>
    <w:basedOn w:val="32"/>
    <w:qFormat/>
    <w:uiPriority w:val="0"/>
    <w:rPr>
      <w:rFonts w:hint="default" w:ascii="TimesNewRomanPSMT" w:hAnsi="TimesNewRomanPSMT"/>
      <w:color w:val="000000"/>
      <w:sz w:val="32"/>
      <w:szCs w:val="32"/>
    </w:rPr>
  </w:style>
  <w:style w:type="paragraph" w:customStyle="1" w:styleId="51">
    <w:name w:val="规划正文"/>
    <w:basedOn w:val="1"/>
    <w:link w:val="63"/>
    <w:qFormat/>
    <w:uiPriority w:val="0"/>
    <w:pPr>
      <w:ind w:firstLine="640"/>
    </w:pPr>
    <w:rPr>
      <w:rFonts w:cs="Times New Roman"/>
      <w:szCs w:val="32"/>
    </w:rPr>
  </w:style>
  <w:style w:type="paragraph" w:customStyle="1" w:styleId="52">
    <w:name w:val="列出段落2"/>
    <w:basedOn w:val="1"/>
    <w:qFormat/>
    <w:uiPriority w:val="0"/>
    <w:pPr>
      <w:ind w:firstLine="420"/>
    </w:pPr>
    <w:rPr>
      <w:rFonts w:ascii="Verdana" w:hAnsi="Verdana" w:cs="Times New Roman"/>
      <w:color w:val="000000"/>
      <w:sz w:val="28"/>
      <w:szCs w:val="21"/>
    </w:rPr>
  </w:style>
  <w:style w:type="paragraph" w:customStyle="1" w:styleId="53">
    <w:name w:val="TOC 标题1"/>
    <w:basedOn w:val="2"/>
    <w:next w:val="1"/>
    <w:unhideWhenUsed/>
    <w:qFormat/>
    <w:uiPriority w:val="39"/>
    <w:pPr>
      <w:numPr>
        <w:numId w:val="0"/>
      </w:numPr>
      <w:spacing w:before="240" w:line="259" w:lineRule="auto"/>
      <w:outlineLvl w:val="9"/>
    </w:pPr>
    <w:rPr>
      <w:rFonts w:asciiTheme="majorHAnsi" w:hAnsiTheme="majorHAnsi" w:eastAsiaTheme="majorEastAsia" w:cstheme="majorBidi"/>
      <w:b/>
      <w:color w:val="2F5597" w:themeColor="accent1" w:themeShade="BF"/>
      <w:kern w:val="0"/>
      <w:szCs w:val="32"/>
    </w:rPr>
  </w:style>
  <w:style w:type="character" w:customStyle="1" w:styleId="54">
    <w:name w:val="未处理的提及1"/>
    <w:basedOn w:val="32"/>
    <w:unhideWhenUsed/>
    <w:qFormat/>
    <w:uiPriority w:val="99"/>
    <w:rPr>
      <w:color w:val="605E5C"/>
      <w:shd w:val="clear" w:color="auto" w:fill="E1DFDD"/>
    </w:rPr>
  </w:style>
  <w:style w:type="character" w:customStyle="1" w:styleId="55">
    <w:name w:val="题注 字符"/>
    <w:link w:val="13"/>
    <w:qFormat/>
    <w:uiPriority w:val="0"/>
    <w:rPr>
      <w:rFonts w:ascii="黑体" w:hAnsi="黑体" w:eastAsia="黑体"/>
      <w:szCs w:val="24"/>
    </w:rPr>
  </w:style>
  <w:style w:type="character" w:customStyle="1" w:styleId="56">
    <w:name w:val="批注文字 字符"/>
    <w:basedOn w:val="32"/>
    <w:link w:val="14"/>
    <w:qFormat/>
    <w:uiPriority w:val="99"/>
    <w:rPr>
      <w:rFonts w:ascii="仿宋_GB2312" w:hAnsi="仿宋_GB2312" w:eastAsia="仿宋_GB2312" w:cs="Times New Roman"/>
      <w:sz w:val="32"/>
      <w:szCs w:val="28"/>
    </w:rPr>
  </w:style>
  <w:style w:type="character" w:customStyle="1" w:styleId="57">
    <w:name w:val="批注主题 字符"/>
    <w:basedOn w:val="56"/>
    <w:link w:val="29"/>
    <w:semiHidden/>
    <w:qFormat/>
    <w:uiPriority w:val="99"/>
    <w:rPr>
      <w:rFonts w:ascii="仿宋_GB2312" w:hAnsi="仿宋_GB2312" w:eastAsia="微软雅黑" w:cs="Times New Roman"/>
      <w:b/>
      <w:bCs/>
      <w:sz w:val="24"/>
      <w:szCs w:val="28"/>
    </w:rPr>
  </w:style>
  <w:style w:type="paragraph" w:styleId="58">
    <w:name w:val="List Paragraph"/>
    <w:basedOn w:val="1"/>
    <w:qFormat/>
    <w:uiPriority w:val="34"/>
    <w:pPr>
      <w:ind w:firstLine="420"/>
    </w:pPr>
  </w:style>
  <w:style w:type="table" w:customStyle="1" w:styleId="59">
    <w:name w:val="网格型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修订1"/>
    <w:hidden/>
    <w:semiHidden/>
    <w:qFormat/>
    <w:uiPriority w:val="99"/>
    <w:rPr>
      <w:rFonts w:eastAsia="微软雅黑" w:asciiTheme="minorHAnsi" w:hAnsiTheme="minorHAnsi" w:cstheme="minorBidi"/>
      <w:kern w:val="2"/>
      <w:sz w:val="24"/>
      <w:szCs w:val="22"/>
      <w:lang w:val="en-US" w:eastAsia="zh-CN" w:bidi="ar-SA"/>
    </w:rPr>
  </w:style>
  <w:style w:type="character" w:customStyle="1" w:styleId="61">
    <w:name w:val="批注框文本 字符"/>
    <w:basedOn w:val="32"/>
    <w:link w:val="20"/>
    <w:semiHidden/>
    <w:qFormat/>
    <w:uiPriority w:val="99"/>
    <w:rPr>
      <w:rFonts w:eastAsia="微软雅黑"/>
      <w:kern w:val="2"/>
      <w:sz w:val="18"/>
      <w:szCs w:val="18"/>
    </w:rPr>
  </w:style>
  <w:style w:type="character" w:customStyle="1" w:styleId="62">
    <w:name w:val="脚注文本 字符"/>
    <w:basedOn w:val="32"/>
    <w:link w:val="25"/>
    <w:qFormat/>
    <w:uiPriority w:val="99"/>
    <w:rPr>
      <w:rFonts w:ascii="仿宋_GB2312" w:hAnsi="仿宋_GB2312" w:eastAsia="仿宋_GB2312" w:cs="Times New Roman"/>
      <w:kern w:val="2"/>
      <w:sz w:val="18"/>
      <w:szCs w:val="28"/>
    </w:rPr>
  </w:style>
  <w:style w:type="character" w:customStyle="1" w:styleId="63">
    <w:name w:val="规划正文 Char"/>
    <w:link w:val="51"/>
    <w:qFormat/>
    <w:uiPriority w:val="0"/>
    <w:rPr>
      <w:rFonts w:ascii="Times New Roman" w:hAnsi="Times New Roman" w:eastAsia="仿宋_GB2312" w:cs="Times New Roman"/>
      <w:kern w:val="2"/>
      <w:sz w:val="32"/>
      <w:szCs w:val="32"/>
    </w:rPr>
  </w:style>
  <w:style w:type="paragraph" w:customStyle="1" w:styleId="64">
    <w:name w:val="方案正文"/>
    <w:basedOn w:val="1"/>
    <w:qFormat/>
    <w:uiPriority w:val="0"/>
    <w:pPr>
      <w:adjustRightInd w:val="0"/>
      <w:snapToGrid w:val="0"/>
      <w:ind w:firstLine="480"/>
    </w:pPr>
    <w:rPr>
      <w:rFonts w:ascii="宋体" w:hAnsi="宋体" w:eastAsia="宋体" w:cs="宋体"/>
      <w:color w:val="000000"/>
      <w:kern w:val="0"/>
      <w:szCs w:val="28"/>
    </w:rPr>
  </w:style>
  <w:style w:type="paragraph" w:customStyle="1" w:styleId="65">
    <w:name w:val="正文段落"/>
    <w:basedOn w:val="1"/>
    <w:qFormat/>
    <w:uiPriority w:val="0"/>
    <w:pPr>
      <w:ind w:firstLine="880"/>
    </w:pPr>
    <w:rPr>
      <w:rFonts w:ascii="仿宋_GB2312" w:hAnsi="仿宋_GB2312" w:cs="仿宋_GB2312"/>
      <w:szCs w:val="32"/>
    </w:rPr>
  </w:style>
  <w:style w:type="paragraph" w:customStyle="1" w:styleId="66">
    <w:name w:val="zhengwen4"/>
    <w:basedOn w:val="1"/>
    <w:link w:val="67"/>
    <w:qFormat/>
    <w:uiPriority w:val="0"/>
    <w:pPr>
      <w:spacing w:line="540" w:lineRule="exact"/>
      <w:ind w:firstLine="680"/>
    </w:pPr>
    <w:rPr>
      <w:rFonts w:ascii="仿宋_GB2312"/>
      <w:spacing w:val="10"/>
      <w:szCs w:val="32"/>
    </w:rPr>
  </w:style>
  <w:style w:type="character" w:customStyle="1" w:styleId="67">
    <w:name w:val="zhengwen4 字符"/>
    <w:basedOn w:val="32"/>
    <w:link w:val="66"/>
    <w:qFormat/>
    <w:uiPriority w:val="0"/>
    <w:rPr>
      <w:rFonts w:ascii="仿宋_GB2312" w:hAnsi="Times New Roman" w:eastAsia="仿宋_GB2312"/>
      <w:spacing w:val="10"/>
      <w:kern w:val="2"/>
      <w:sz w:val="32"/>
      <w:szCs w:val="32"/>
    </w:rPr>
  </w:style>
  <w:style w:type="character" w:customStyle="1" w:styleId="68">
    <w:name w:val="正文文本 字符"/>
    <w:basedOn w:val="32"/>
    <w:link w:val="15"/>
    <w:uiPriority w:val="1"/>
    <w:rPr>
      <w:rFonts w:ascii="等线" w:hAnsi="等线" w:eastAsia="等线"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202;&#37327;&#23567;&#30340;&#34892;&#36208;&#30340;&#23435;&#23435;\AppData\Roaming\Microsoft\Templates\30&#30917;&#35268;&#2101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30磅规划模板.dotx</Template>
  <Pages>83</Pages>
  <Words>7163</Words>
  <Characters>7945</Characters>
  <Lines>281</Lines>
  <Paragraphs>79</Paragraphs>
  <TotalTime>3</TotalTime>
  <ScaleCrop>false</ScaleCrop>
  <LinksUpToDate>false</LinksUpToDate>
  <CharactersWithSpaces>8024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2022-01-20T03:11:00Z</dcterms:created>
  <dc:creator>王祉钧</dc:creator>
  <cp:lastModifiedBy>HFWGZX</cp:lastModifiedBy>
  <cp:lastPrinted>2022-01-11T07:19:00Z</cp:lastPrinted>
  <dcterms:modified xsi:type="dcterms:W3CDTF">2025-03-06T02:26:39Z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C993BED6999541BFB375D32E49A2BAD5</vt:lpwstr>
  </property>
  <property fmtid="{D5CDD505-2E9C-101B-9397-08002B2CF9AE}" pid="4" name="KSOTemplateDocerSaveRecord">
    <vt:lpwstr>eyJoZGlkIjoiOTNmMTU2N2FhZTBiY2EzZmY0NzU5MTBlOTg4M2ZjMDEifQ==</vt:lpwstr>
  </property>
</Properties>
</file>